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19</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Regency Centers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03/13/2026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PENNSYLVANIA</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06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100" w:space="60"/>
            <w:col w:w="9960"/>
          </w:cols>
          <w:pgMar w:left="320" w:top="111" w:right="459" w:bottom="0" w:gutter="0" w:footer="0" w:header="0"/>
        </w:sectPr>
      </w:pPr>
    </w:p>
    <w:p>
      <w:pPr>
        <w:spacing w:after="0" w:line="70"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On January 12, 2026, The Vanguard Group, Inc. went through an internal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realignment. In accordance with SEC Release No. 34-39538 (January 12, 1998), certain subsidiaries or business divisions of subsidiaries of The Vanguard Group, Inc., that formerly had, or were deemed to have, beneficial ownership with The Vanguard Group, Inc., will report beneficial ownership separately (on a disaggregated basis) from The Vanguard Group, Inc. in reliance on such release. These subsidiaries and/or business divisions pursue the same investment strategies as previously pursued by The Vanguard Group, Inc. prior to the realignment. Further in accordance with SEC Release No. 34-39538 (January 12, 1998), The Vanguard Group, Inc. no longer has, or is deemed to have, beneficial ownership over securities beneficially owned by such subsidiaries and/or business divisions.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120"/>
          </w:cols>
          <w:pgMar w:left="320" w:top="111" w:right="459" w:bottom="0" w:gutter="0" w:footer="0" w:header="0"/>
          <w:type w:val="continuous"/>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Regency Centers Corp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 Independent Drive, Suite 114, Jacksonville, FL, 32202</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ectPr>
          <w:pgSz w:w="11900" w:h="16838" w:orient="portrait"/>
          <w:cols w:equalWidth="0" w:num="2">
            <w:col w:w="660" w:space="300"/>
            <w:col w:w="10160"/>
          </w:cols>
          <w:pgMar w:left="320" w:top="111" w:right="459" w:bottom="0" w:gutter="0" w:footer="0" w:header="0"/>
          <w:type w:val="continuous"/>
        </w:sectPr>
      </w:pPr>
    </w:p>
    <w:bookmarkStart w:id="2" w:name="page3"/>
    <w:bookmarkEnd w:id="2"/>
    <w:p>
      <w:pPr>
        <w:spacing w:after="0" w:line="49"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0 %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87"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22"/>
          <w:szCs w:val="22"/>
          <w:color w:val="auto"/>
        </w:rPr>
        <w:t>The Vanguard Group,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ectPr>
          <w:pgSz w:w="11900" w:h="16887" w:orient="portrait"/>
          <w:cols w:equalWidth="0" w:num="2">
            <w:col w:w="720" w:space="200"/>
            <w:col w:w="10220"/>
          </w:cols>
          <w:pgMar w:left="360" w:top="126" w:right="399" w:bottom="0" w:gutter="0" w:footer="0" w:header="0"/>
          <w:type w:val="continuous"/>
        </w:sectPr>
      </w:pPr>
    </w:p>
    <w:bookmarkStart w:id="3" w:name="page4"/>
    <w:bookmarkEnd w:id="3"/>
    <w:p>
      <w:pPr>
        <w:ind w:left="72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03/27/2026</w:t>
      </w:r>
    </w:p>
    <w:sectPr>
      <w:pgSz w:w="11900" w:h="16838" w:orient="portrait"/>
      <w:cols w:equalWidth="0" w:num="1">
        <w:col w:w="10920"/>
      </w:cols>
      <w:pgMar w:left="580" w:top="153"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5"/>
      <w:numFmt w:val="bullet"/>
      <w:start w:val="1"/>
    </w:lvl>
  </w:abstractNum>
  <w:abstractNum w:abstractNumId="3">
    <w:nsid w:val="3D1B58BA"/>
    <w:multiLevelType w:val="hybridMultilevel"/>
    <w:lvl w:ilvl="0">
      <w:lvlJc w:val="left"/>
      <w:lvlText w:val="(%1)"/>
      <w:numFmt w:val="lowerLetter"/>
      <w:start w:val="2"/>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2026-03-27T10:37:54Z</dcterms:created>
  <dcterms:modified xsi:type="dcterms:W3CDTF">2026-03-27T10:37:54Z</dcterms:modified>
</cp:coreProperties>
</file>