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eg-20260811.htm"/>
      <w:bookmarkStart w:id="1" w:name="ksreg20260811"/>
      <w:bookmarkEnd w:id="0"/>
      <w:bookmarkEnd w:id="1"/>
      <w:r>
        <w:rPr/>
        <w:t> </w:t>
      </w:r>
    </w:p>
    <w:p>
      <w:pPr>
        <w:pStyle w:val="TextBody"/>
        <w:pBdr>
          <w:bottom w:val="double" w:sz="4" w:space="1" w:color="000000"/>
        </w:pBdr>
        <w:bidi w:val="0"/>
        <w:jc w:val="left"/>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August 11, 2026</w:t>
      </w:r>
    </w:p>
    <w:p>
      <w:pPr>
        <w:pStyle w:val="TextBody"/>
        <w:bidi w:val="0"/>
        <w:jc w:val="center"/>
        <w:rPr>
          <w:rFonts w:ascii="Times New Roman" w:hAnsi="Times New Roman"/>
          <w:b/>
          <w:color w:val="000000"/>
          <w:sz w:val="24"/>
        </w:rPr>
      </w:pPr>
      <w:r>
        <w:rPr>
          <w:rFonts w:ascii="Times New Roman" w:hAnsi="Times New Roman"/>
          <w:b/>
          <w:color w:val="000000"/>
          <w:sz w:val="24"/>
        </w:rPr>
        <w:t>Date of Report (Date of earliest event reported)</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REGENCY CENTERS CORPORATION</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REGENCY CENTERS, L.P.</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161"/>
        <w:gridCol w:w="146"/>
        <w:gridCol w:w="3300"/>
        <w:gridCol w:w="176"/>
        <w:gridCol w:w="3422"/>
      </w:tblGrid>
      <w:tr>
        <w:trPr/>
        <w:tc>
          <w:tcPr>
            <w:tcW w:w="3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22" w:type="dxa"/>
            <w:tcBorders/>
            <w:vAlign w:val="center"/>
          </w:tcPr>
          <w:p>
            <w:pPr>
              <w:pStyle w:val="TableContents"/>
              <w:bidi w:val="0"/>
              <w:spacing w:before="0" w:after="283"/>
              <w:jc w:val="left"/>
              <w:rPr>
                <w:sz w:val="4"/>
                <w:szCs w:val="4"/>
              </w:rPr>
            </w:pPr>
            <w:r>
              <w:rPr>
                <w:sz w:val="4"/>
                <w:szCs w:val="4"/>
              </w:rPr>
            </w:r>
          </w:p>
        </w:tc>
      </w:tr>
      <w:tr>
        <w:trPr/>
        <w:tc>
          <w:tcPr>
            <w:tcW w:w="3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0"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12395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3950" cy="495300"/>
                          </a:xfrm>
                          <a:prstGeom prst="rect">
                            <a:avLst/>
                          </a:prstGeom>
                        </pic:spPr>
                      </pic:pic>
                    </a:graphicData>
                  </a:graphic>
                </wp:inline>
              </w:drawing>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6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Florida</w:t>
            </w:r>
            <w:r>
              <w:rPr>
                <w:rFonts w:ascii="Times New Roman" w:hAnsi="Times New Roman"/>
                <w:color w:val="000000"/>
                <w:sz w:val="20"/>
              </w:rPr>
              <w:t> </w:t>
            </w:r>
            <w:r>
              <w:rPr>
                <w:rFonts w:ascii="Times New Roman" w:hAnsi="Times New Roman"/>
                <w:b/>
                <w:color w:val="000000"/>
                <w:sz w:val="18"/>
              </w:rPr>
              <w:t>(Regency Centers Corporation)</w:t>
            </w:r>
          </w:p>
          <w:p>
            <w:pPr>
              <w:pStyle w:val="TableContents"/>
              <w:bidi w:val="0"/>
              <w:spacing w:before="0" w:after="283"/>
              <w:jc w:val="center"/>
              <w:rPr>
                <w:rFonts w:ascii="Times New Roman" w:hAnsi="Times New Roman"/>
                <w:sz w:val="20"/>
              </w:rPr>
            </w:pPr>
            <w:r>
              <w:rPr>
                <w:rFonts w:ascii="Times New Roman" w:hAnsi="Times New Roman"/>
                <w:b/>
                <w:color w:val="000000"/>
                <w:sz w:val="18"/>
              </w:rPr>
              <w:t>Delaware</w:t>
            </w:r>
            <w:r>
              <w:rPr>
                <w:rFonts w:ascii="Times New Roman" w:hAnsi="Times New Roman"/>
                <w:color w:val="000000"/>
                <w:sz w:val="20"/>
              </w:rPr>
              <w:t> </w:t>
            </w:r>
            <w:r>
              <w:rPr>
                <w:rFonts w:ascii="Times New Roman" w:hAnsi="Times New Roman"/>
                <w:b/>
                <w:color w:val="000000"/>
                <w:sz w:val="18"/>
              </w:rPr>
              <w:t>(Regency Centers, L. 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0"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001-12298</w:t>
            </w:r>
            <w:r>
              <w:rPr>
                <w:rFonts w:ascii="Times New Roman" w:hAnsi="Times New Roman"/>
                <w:color w:val="000000"/>
                <w:sz w:val="20"/>
              </w:rPr>
              <w:t> </w:t>
            </w:r>
            <w:r>
              <w:rPr>
                <w:rFonts w:ascii="Times New Roman" w:hAnsi="Times New Roman"/>
                <w:b/>
                <w:color w:val="000000"/>
                <w:sz w:val="18"/>
              </w:rPr>
              <w:t>(Regency Centers Corporation)</w:t>
            </w:r>
          </w:p>
          <w:p>
            <w:pPr>
              <w:pStyle w:val="TableContents"/>
              <w:bidi w:val="0"/>
              <w:spacing w:before="0" w:after="283"/>
              <w:jc w:val="center"/>
              <w:rPr>
                <w:rFonts w:ascii="Times New Roman" w:hAnsi="Times New Roman"/>
                <w:sz w:val="20"/>
              </w:rPr>
            </w:pPr>
            <w:r>
              <w:rPr>
                <w:rFonts w:ascii="Times New Roman" w:hAnsi="Times New Roman"/>
                <w:b/>
                <w:color w:val="000000"/>
                <w:sz w:val="18"/>
              </w:rPr>
              <w:t>0-24763</w:t>
            </w:r>
            <w:r>
              <w:rPr>
                <w:rFonts w:ascii="Times New Roman" w:hAnsi="Times New Roman"/>
                <w:color w:val="000000"/>
                <w:sz w:val="20"/>
              </w:rPr>
              <w:t> </w:t>
            </w:r>
            <w:r>
              <w:rPr>
                <w:rFonts w:ascii="Times New Roman" w:hAnsi="Times New Roman"/>
                <w:b/>
                <w:color w:val="000000"/>
                <w:sz w:val="18"/>
              </w:rPr>
              <w:t>(Regency Centers, L.P.)</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2"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59-3191743</w:t>
            </w:r>
            <w:r>
              <w:rPr>
                <w:rFonts w:ascii="Times New Roman" w:hAnsi="Times New Roman"/>
                <w:color w:val="000000"/>
                <w:sz w:val="20"/>
              </w:rPr>
              <w:t> </w:t>
            </w:r>
            <w:r>
              <w:rPr>
                <w:rFonts w:ascii="Times New Roman" w:hAnsi="Times New Roman"/>
                <w:b/>
                <w:color w:val="000000"/>
                <w:sz w:val="18"/>
              </w:rPr>
              <w:t>(Regency Centers Corporation)</w:t>
            </w:r>
          </w:p>
          <w:p>
            <w:pPr>
              <w:pStyle w:val="TableContents"/>
              <w:bidi w:val="0"/>
              <w:spacing w:before="0" w:after="283"/>
              <w:ind w:left="0" w:right="0" w:firstLine="30"/>
              <w:jc w:val="center"/>
              <w:rPr>
                <w:rFonts w:ascii="Times New Roman" w:hAnsi="Times New Roman"/>
                <w:sz w:val="20"/>
              </w:rPr>
            </w:pPr>
            <w:r>
              <w:rPr>
                <w:rFonts w:ascii="Times New Roman" w:hAnsi="Times New Roman"/>
                <w:b/>
                <w:color w:val="000000"/>
                <w:sz w:val="18"/>
              </w:rPr>
              <w:t>59-3429602</w:t>
            </w:r>
            <w:r>
              <w:rPr>
                <w:rFonts w:ascii="Times New Roman" w:hAnsi="Times New Roman"/>
                <w:color w:val="000000"/>
                <w:sz w:val="20"/>
              </w:rPr>
              <w:t> </w:t>
            </w:r>
            <w:r>
              <w:rPr>
                <w:rFonts w:ascii="Times New Roman" w:hAnsi="Times New Roman"/>
                <w:b/>
                <w:color w:val="000000"/>
                <w:sz w:val="18"/>
              </w:rPr>
              <w:t>(Regency Centers, L.P.)</w:t>
            </w:r>
          </w:p>
        </w:tc>
      </w:tr>
      <w:tr>
        <w:trPr/>
        <w:tc>
          <w:tcPr>
            <w:tcW w:w="31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6"/>
              </w:rPr>
            </w:pPr>
            <w:r>
              <w:rPr>
                <w:rFonts w:ascii="Times New Roman" w:hAnsi="Times New Roman"/>
                <w:color w:val="000000"/>
                <w:sz w:val="16"/>
              </w:rPr>
              <w:t>(State or other jurisdiction 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Commission File Number)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42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6"/>
              </w:rPr>
            </w:pPr>
            <w:r>
              <w:rPr>
                <w:rFonts w:ascii="Times New Roman" w:hAnsi="Times New Roman"/>
                <w:color w:val="000000"/>
                <w:sz w:val="16"/>
              </w:rPr>
              <w:t>(IRS Employer Identification No.)</w:t>
            </w:r>
          </w:p>
        </w:tc>
      </w:tr>
    </w:tbl>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One Independent Drive, Suite 114</w:t>
      </w:r>
    </w:p>
    <w:p>
      <w:pPr>
        <w:pStyle w:val="TextBody"/>
        <w:bidi w:val="0"/>
        <w:jc w:val="center"/>
        <w:rPr>
          <w:rFonts w:ascii="Times New Roman" w:hAnsi="Times New Roman"/>
          <w:sz w:val="20"/>
        </w:rPr>
      </w:pPr>
      <w:r>
        <w:rPr>
          <w:rFonts w:ascii="Times New Roman" w:hAnsi="Times New Roman"/>
          <w:b/>
          <w:color w:val="000000"/>
          <w:sz w:val="24"/>
        </w:rPr>
        <w:t>Jacksonville, Florida</w:t>
      </w:r>
      <w:r>
        <w:rPr>
          <w:rFonts w:ascii="Times New Roman" w:hAnsi="Times New Roman"/>
          <w:color w:val="000000"/>
          <w:sz w:val="20"/>
        </w:rPr>
        <w:t xml:space="preserve"> </w:t>
      </w:r>
      <w:r>
        <w:rPr>
          <w:rFonts w:ascii="Times New Roman" w:hAnsi="Times New Roman"/>
          <w:b/>
          <w:color w:val="000000"/>
          <w:sz w:val="24"/>
        </w:rPr>
        <w:t>32202</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(Zip Code)</w:t>
      </w:r>
    </w:p>
    <w:p>
      <w:pPr>
        <w:pStyle w:val="TextBody"/>
        <w:bidi w:val="0"/>
        <w:jc w:val="center"/>
        <w:rPr>
          <w:rFonts w:ascii="Times New Roman" w:hAnsi="Times New Roman"/>
          <w:b/>
          <w:color w:val="000000"/>
          <w:sz w:val="20"/>
        </w:rPr>
      </w:pPr>
      <w:r>
        <w:rPr>
          <w:rFonts w:ascii="Times New Roman" w:hAnsi="Times New Roman"/>
          <w:b/>
          <w:color w:val="000000"/>
          <w:sz w:val="20"/>
        </w:rPr>
        <w:t>(904) 598-7000</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color w:val="000000"/>
          <w:sz w:val="16"/>
        </w:rPr>
      </w:pPr>
      <w:r>
        <w:rPr>
          <w:rFonts w:ascii="Times New Roman" w:hAnsi="Times New Roman"/>
          <w:color w:val="000000"/>
          <w:sz w:val="16"/>
        </w:rPr>
        <w:t>(Former name or former address, if changed since last report)</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Regency Centers Corporation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65"/>
        <w:gridCol w:w="146"/>
        <w:gridCol w:w="1212"/>
        <w:gridCol w:w="146"/>
        <w:gridCol w:w="3036"/>
      </w:tblGrid>
      <w:tr>
        <w:trPr/>
        <w:tc>
          <w:tcPr>
            <w:tcW w:w="5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r>
      <w:tr>
        <w:trPr/>
        <w:tc>
          <w:tcPr>
            <w:tcW w:w="566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2"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56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$0.01 par value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56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6.250% Series A Cumulative Redeemable Preferred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REGCP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56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5.875% Series B Cumulative Redeemable Preferred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REGCO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Regency Centers, L.P.</w:t>
      </w:r>
    </w:p>
    <w:p>
      <w:pPr>
        <w:pStyle w:val="TextBody"/>
        <w:bidi w:val="0"/>
        <w:jc w:val="left"/>
        <w:rPr/>
      </w:pPr>
      <w:r>
        <w:rPr/>
        <w:t> </w:t>
      </w:r>
    </w:p>
    <w:tbl>
      <w:tblPr>
        <w:tblW w:w="6206" w:type="dxa"/>
        <w:jc w:val="left"/>
        <w:tblInd w:w="0" w:type="dxa"/>
        <w:tblLayout w:type="fixed"/>
        <w:tblCellMar>
          <w:top w:w="28" w:type="dxa"/>
          <w:left w:w="28" w:type="dxa"/>
          <w:bottom w:w="28" w:type="dxa"/>
          <w:right w:w="28" w:type="dxa"/>
        </w:tblCellMar>
      </w:tblPr>
      <w:tblGrid>
        <w:gridCol w:w="1396"/>
        <w:gridCol w:w="109"/>
        <w:gridCol w:w="1276"/>
        <w:gridCol w:w="109"/>
        <w:gridCol w:w="3316"/>
      </w:tblGrid>
      <w:tr>
        <w:trPr/>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w:t>
            </w:r>
          </w:p>
        </w:tc>
      </w:tr>
    </w:tbl>
    <w:p>
      <w:pPr>
        <w:pStyle w:val="TextBody"/>
        <w:bidi w:val="0"/>
        <w:spacing w:before="80" w:after="283"/>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 .425)</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3227" w:type="dxa"/>
        <w:jc w:val="left"/>
        <w:tblInd w:w="0" w:type="dxa"/>
        <w:tblLayout w:type="fixed"/>
        <w:tblCellMar>
          <w:top w:w="28" w:type="dxa"/>
          <w:left w:w="28" w:type="dxa"/>
          <w:bottom w:w="28" w:type="dxa"/>
          <w:right w:w="28" w:type="dxa"/>
        </w:tblCellMar>
      </w:tblPr>
      <w:tblGrid>
        <w:gridCol w:w="916"/>
        <w:gridCol w:w="2311"/>
      </w:tblGrid>
      <w:tr>
        <w:trPr/>
        <w:tc>
          <w:tcPr>
            <w:tcW w:w="9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11, 2026, Regency Centers Corporation (“Regency”) made available an updated investor presentation. The presentation is accessible through the investor relations section of Regency's website at investors.regencycenters.com.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information furnished under item 7.01, incorporated by reference herein, shall not be deemed “filed” for purposes of Section 18 of the Securities Exchange Act of 1934, as amended (the “Exchange Act”), or otherwise subject to the liabilities of that section and shall not be deemed to be incorporated by reference into any filing under the Securities Act of 1933, as amended, or the Exchange Act.</w:t>
      </w:r>
    </w:p>
    <w:p>
      <w:pPr>
        <w:pStyle w:val="TextBody"/>
        <w:bidi w:val="0"/>
        <w:jc w:val="both"/>
        <w:rPr/>
      </w:pPr>
      <w:r>
        <w:rPr/>
        <w:t> </w:t>
      </w:r>
    </w:p>
    <w:tbl>
      <w:tblPr>
        <w:tblW w:w="4127" w:type="dxa"/>
        <w:jc w:val="left"/>
        <w:tblInd w:w="0" w:type="dxa"/>
        <w:tblLayout w:type="fixed"/>
        <w:tblCellMar>
          <w:top w:w="28" w:type="dxa"/>
          <w:left w:w="28" w:type="dxa"/>
          <w:bottom w:w="28" w:type="dxa"/>
          <w:right w:w="28" w:type="dxa"/>
        </w:tblCellMar>
      </w:tblPr>
      <w:tblGrid>
        <w:gridCol w:w="1096"/>
        <w:gridCol w:w="3031"/>
      </w:tblGrid>
      <w:tr>
        <w:trPr/>
        <w:tc>
          <w:tcPr>
            <w:tcW w:w="109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Financial Statements and Exhibits</w:t>
            </w:r>
          </w:p>
        </w:tc>
      </w:tr>
      <w:tr>
        <w:trPr/>
        <w:tc>
          <w:tcPr>
            <w:tcW w:w="109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 Exhibits</w:t>
            </w:r>
          </w:p>
        </w:tc>
        <w:tc>
          <w:tcPr>
            <w:tcW w:w="303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tbl>
      <w:tblPr>
        <w:tblW w:w="9572" w:type="dxa"/>
        <w:jc w:val="left"/>
        <w:tblInd w:w="0" w:type="dxa"/>
        <w:tblLayout w:type="fixed"/>
        <w:tblCellMar>
          <w:top w:w="28" w:type="dxa"/>
          <w:left w:w="28" w:type="dxa"/>
          <w:bottom w:w="28" w:type="dxa"/>
          <w:right w:w="28" w:type="dxa"/>
        </w:tblCellMar>
      </w:tblPr>
      <w:tblGrid>
        <w:gridCol w:w="436"/>
        <w:gridCol w:w="9136"/>
      </w:tblGrid>
      <w:tr>
        <w:trPr/>
        <w:tc>
          <w:tcPr>
            <w:tcW w:w="436" w:type="dxa"/>
            <w:tcBorders/>
            <w:vAlign w:val="center"/>
          </w:tcPr>
          <w:p>
            <w:pPr>
              <w:pStyle w:val="TableContents"/>
              <w:bidi w:val="0"/>
              <w:spacing w:before="0" w:after="283"/>
              <w:jc w:val="left"/>
              <w:rPr>
                <w:sz w:val="4"/>
                <w:szCs w:val="4"/>
              </w:rPr>
            </w:pPr>
            <w:r>
              <w:rPr>
                <w:sz w:val="4"/>
                <w:szCs w:val="4"/>
              </w:rPr>
            </w:r>
          </w:p>
        </w:tc>
        <w:tc>
          <w:tcPr>
            <w:tcW w:w="9136"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1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(the cover page XBRL tags are embedded within the inline XBRL documents)</w:t>
            </w:r>
          </w:p>
        </w:tc>
      </w:tr>
    </w:tbl>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6150" w:type="dxa"/>
        <w:jc w:val="left"/>
        <w:tblInd w:w="0" w:type="dxa"/>
        <w:tblLayout w:type="fixed"/>
        <w:tblCellMar>
          <w:top w:w="28" w:type="dxa"/>
          <w:left w:w="28" w:type="dxa"/>
          <w:bottom w:w="28" w:type="dxa"/>
          <w:right w:w="28" w:type="dxa"/>
        </w:tblCellMar>
      </w:tblPr>
      <w:tblGrid>
        <w:gridCol w:w="1471"/>
        <w:gridCol w:w="455"/>
        <w:gridCol w:w="197"/>
        <w:gridCol w:w="4027"/>
      </w:tblGrid>
      <w:tr>
        <w:trPr/>
        <w:tc>
          <w:tcPr>
            <w:tcW w:w="147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027"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7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REGENCY CENTERS CORPORATION</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40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11, 2026</w:t>
            </w:r>
          </w:p>
        </w:tc>
        <w:tc>
          <w:tcPr>
            <w:tcW w:w="4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402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 Michael R. Herman</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027" w:type="dxa"/>
            <w:tcBorders/>
            <w:tcMar>
              <w:top w:w="0" w:type="dxa"/>
              <w:left w:w="0" w:type="dxa"/>
              <w:bottom w:w="0" w:type="dxa"/>
              <w:right w:w="0" w:type="dxa"/>
            </w:tcMar>
            <w:vAlign w:val="center"/>
          </w:tcPr>
          <w:p>
            <w:pPr>
              <w:pStyle w:val="TableContents"/>
              <w:bidi w:val="0"/>
              <w:ind w:left="0" w:right="0" w:firstLine="30"/>
              <w:jc w:val="left"/>
              <w:rPr>
                <w:rFonts w:ascii="Times New Roman" w:hAnsi="Times New Roman"/>
                <w:color w:val="000000"/>
                <w:sz w:val="20"/>
              </w:rPr>
            </w:pPr>
            <w:r>
              <w:rPr>
                <w:rFonts w:ascii="Times New Roman" w:hAnsi="Times New Roman"/>
                <w:color w:val="000000"/>
                <w:sz w:val="20"/>
              </w:rPr>
              <w:t>Michael R. Herman, Senior Vice President</w:t>
            </w:r>
          </w:p>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General Counsel and Corporate Secretary</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02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02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02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7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REGENCY CENTERS, L.P.</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40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7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By: Regency Centers Corporation, its general partner</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40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11, 2026</w:t>
            </w:r>
          </w:p>
        </w:tc>
        <w:tc>
          <w:tcPr>
            <w:tcW w:w="4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402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 Michael R. Herman</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027" w:type="dxa"/>
            <w:tcBorders/>
            <w:tcMar>
              <w:top w:w="0" w:type="dxa"/>
              <w:left w:w="0" w:type="dxa"/>
              <w:bottom w:w="0" w:type="dxa"/>
              <w:right w:w="0" w:type="dxa"/>
            </w:tcMar>
            <w:vAlign w:val="center"/>
          </w:tcPr>
          <w:p>
            <w:pPr>
              <w:pStyle w:val="TableContents"/>
              <w:bidi w:val="0"/>
              <w:ind w:left="0" w:right="0" w:firstLine="30"/>
              <w:jc w:val="left"/>
              <w:rPr>
                <w:rFonts w:ascii="Times New Roman" w:hAnsi="Times New Roman"/>
                <w:color w:val="000000"/>
                <w:sz w:val="20"/>
              </w:rPr>
            </w:pPr>
            <w:r>
              <w:rPr>
                <w:rFonts w:ascii="Times New Roman" w:hAnsi="Times New Roman"/>
                <w:color w:val="000000"/>
                <w:sz w:val="20"/>
              </w:rPr>
              <w:t>Michael R. Herman, Senior Vice President</w:t>
            </w:r>
          </w:p>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General Counsel and Corporate Secretary</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595</Words>
  <Characters>3353</Characters>
  <CharactersWithSpaces>3941</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