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2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9" w:lineRule="exact"/>
        <w:rPr>
          <w:sz w:val="24"/>
          <w:szCs w:val="24"/>
          <w:color w:val="auto"/>
        </w:rPr>
      </w:pPr>
    </w:p>
    <w:p>
      <w:pPr>
        <w:ind w:left="120"/>
        <w:spacing w:after="0" w:line="207" w:lineRule="exact"/>
        <w:tabs>
          <w:tab w:leader="none" w:pos="35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5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170"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89" w:lineRule="exact"/>
        <w:rPr>
          <w:sz w:val="24"/>
          <w:szCs w:val="24"/>
          <w:color w:val="auto"/>
        </w:rPr>
      </w:pPr>
    </w:p>
    <w:p>
      <w:pPr>
        <w:jc w:val="center"/>
        <w:ind w:right="-1100"/>
        <w:spacing w:after="0"/>
        <w:rPr>
          <w:sz w:val="20"/>
          <w:szCs w:val="20"/>
          <w:color w:val="auto"/>
        </w:rPr>
      </w:pPr>
      <w:r>
        <w:rPr>
          <w:rFonts w:ascii="Arial" w:cs="Arial" w:eastAsia="Arial" w:hAnsi="Arial"/>
          <w:sz w:val="39"/>
          <w:szCs w:val="39"/>
          <w:b w:val="1"/>
          <w:bCs w:val="1"/>
          <w:color w:val="auto"/>
        </w:rPr>
        <w:t>REGENCY CENTERS CORPORATION</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154940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224155</wp:posOffset>
            </wp:positionV>
            <wp:extent cx="6275070" cy="9258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5070" cy="92583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5"/>
          <w:szCs w:val="35"/>
          <w:b w:val="1"/>
          <w:bCs w:val="1"/>
          <w:color w:val="E56D3D"/>
        </w:rPr>
        <w:t>Notice of 2026 Annual Meeting of Shareholders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To Our Shareholders:</w:t>
      </w:r>
    </w:p>
    <w:p>
      <w:pPr>
        <w:spacing w:after="0" w:line="7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Notice is hereby given that the 2026 Annual Meeting of Shareholders (the “Annual Meeting”) of Regency Centers Corporation will be held exclusively online at www.virtualshareholdermeeting.com/REG2026 on Wednesday, May 6, 2026, beginning at 8:00 A.M., Eastern Time.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meeting will be held for the following purposes:</w:t>
      </w:r>
    </w:p>
    <w:p>
      <w:pPr>
        <w:spacing w:after="0" w:line="127" w:lineRule="exact"/>
        <w:rPr>
          <w:sz w:val="20"/>
          <w:szCs w:val="20"/>
          <w:color w:val="auto"/>
        </w:rPr>
      </w:pPr>
    </w:p>
    <w:p>
      <w:pPr>
        <w:jc w:val="both"/>
        <w:ind w:left="440" w:right="200" w:hanging="324"/>
        <w:spacing w:after="0" w:line="266"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as directors the 11 nominees named in the attached proxy statement, to serve until the 2027 Annual Meeting of Shareholders and until their successors have been duly elected and qualified.</w:t>
      </w:r>
    </w:p>
    <w:p>
      <w:pPr>
        <w:spacing w:after="0" w:line="76" w:lineRule="exact"/>
        <w:rPr>
          <w:rFonts w:ascii="Arial" w:cs="Arial" w:eastAsia="Arial" w:hAnsi="Arial"/>
          <w:sz w:val="16"/>
          <w:szCs w:val="16"/>
          <w:color w:val="auto"/>
        </w:rPr>
      </w:pPr>
    </w:p>
    <w:p>
      <w:pPr>
        <w:ind w:left="440" w:right="140" w:hanging="324"/>
        <w:spacing w:after="0" w:line="286"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in a non-binding vote, an advisory resolution approving the company’s executive compensation for fiscal year 2025.</w:t>
      </w:r>
    </w:p>
    <w:p>
      <w:pPr>
        <w:spacing w:after="0" w:line="61" w:lineRule="exact"/>
        <w:rPr>
          <w:rFonts w:ascii="Arial" w:cs="Arial" w:eastAsia="Arial" w:hAnsi="Arial"/>
          <w:sz w:val="16"/>
          <w:szCs w:val="16"/>
          <w:color w:val="auto"/>
        </w:rPr>
      </w:pPr>
    </w:p>
    <w:p>
      <w:pPr>
        <w:ind w:left="440" w:right="240" w:hanging="324"/>
        <w:spacing w:after="0" w:line="286"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KPMG LLP as the Company’s independent registered public accounting firm for fiscal year 2026.</w:t>
      </w:r>
    </w:p>
    <w:p>
      <w:pPr>
        <w:spacing w:after="0" w:line="61" w:lineRule="exact"/>
        <w:rPr>
          <w:rFonts w:ascii="Arial" w:cs="Arial" w:eastAsia="Arial" w:hAnsi="Arial"/>
          <w:sz w:val="16"/>
          <w:szCs w:val="16"/>
          <w:color w:val="auto"/>
        </w:rPr>
      </w:pPr>
    </w:p>
    <w:p>
      <w:pPr>
        <w:ind w:left="440" w:right="260" w:hanging="324"/>
        <w:spacing w:after="0" w:line="286"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adjournments or postponements thereof.</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accompanying proxy statement more fully describes these matters.</w:t>
      </w:r>
    </w:p>
    <w:p>
      <w:pPr>
        <w:spacing w:after="0" w:line="181"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Shareholders of record at the close of business on March 13, 2026 will be entitled to notice of the Annual Meeting and any adjournments or postponements thereof, and to vote on the matters above.</w:t>
      </w:r>
    </w:p>
    <w:p>
      <w:pPr>
        <w:spacing w:after="0" w:line="131"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Annual Meeting will be virtual-only and held exclusively online. The platform for the virtual Annual Meeting includes functionality that affords authenticated shareholders comparable meeting participation rights and opportunities as they would have at an in-person meeting. Instructions to access and log-in to the virtual Annual Meeting are provided under “What are the procedures for attending and participating in the virtual Annual Meeting?” on page 57 in the accompanying proxy statement.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1731645"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16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Michael R. Herman</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Senior Vice President,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Counsel and 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Dated: March 25,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E56D3D"/>
        </w:rPr>
        <w:t>2026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-179070</wp:posOffset>
            </wp:positionV>
            <wp:extent cx="3429000" cy="6189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00" cy="6189345"/>
                    </a:xfrm>
                    <a:prstGeom prst="rect">
                      <a:avLst/>
                    </a:prstGeom>
                    <a:noFill/>
                  </pic:spPr>
                </pic:pic>
              </a:graphicData>
            </a:graphic>
          </wp:anchor>
        </w:drawing>
      </w: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DATE: </w:t>
      </w:r>
      <w:r>
        <w:rPr>
          <w:sz w:val="20"/>
          <w:szCs w:val="20"/>
          <w:color w:val="auto"/>
        </w:rPr>
        <w:tab/>
      </w:r>
      <w:r>
        <w:rPr>
          <w:rFonts w:ascii="Arial" w:cs="Arial" w:eastAsia="Arial" w:hAnsi="Arial"/>
          <w:sz w:val="16"/>
          <w:szCs w:val="16"/>
          <w:color w:val="auto"/>
        </w:rPr>
        <w:t>Wednesday, May 6, 2026</w:t>
      </w:r>
    </w:p>
    <w:p>
      <w:pPr>
        <w:spacing w:after="0" w:line="11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TIME: </w:t>
      </w:r>
      <w:r>
        <w:rPr>
          <w:sz w:val="20"/>
          <w:szCs w:val="20"/>
          <w:color w:val="auto"/>
        </w:rPr>
        <w:tab/>
      </w:r>
      <w:r>
        <w:rPr>
          <w:rFonts w:ascii="Arial" w:cs="Arial" w:eastAsia="Arial" w:hAnsi="Arial"/>
          <w:sz w:val="16"/>
          <w:szCs w:val="16"/>
          <w:color w:val="auto"/>
        </w:rPr>
        <w:t>8:00 A.M., Eastern Time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will be exclusively online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www.virtualshareholdermeeting.com/REG2026.</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You are eligible to vote if you were a shareholder of record at the close of business on March 13, 2026.</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E56D3D"/>
        </w:rPr>
        <w:t>HOW TO VOTE:</w:t>
      </w:r>
    </w:p>
    <w:p>
      <w:pPr>
        <w:spacing w:after="0" w:line="181"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Your vote is important. Even if you plan to attend the virtual Annual Meeting, we encourage you to vote your shares before the meeting by one of the methods described below to ensure they are counted. Shareholders of record have until 11:59 P.M, Eastern Time on May 5, 2026 to vote, by use of any of the following options:</w:t>
      </w:r>
    </w:p>
    <w:p>
      <w:pPr>
        <w:spacing w:after="0" w:line="180"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BY INTERNET PRIOR TO MEETING</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www.proxyvote.com</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BY INTERNET DURING MEETING</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www.virtualshareholdermeeting.com/</w:t>
      </w:r>
    </w:p>
    <w:p>
      <w:pPr>
        <w:spacing w:after="0" w:line="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REG2026</w:t>
      </w:r>
    </w:p>
    <w:p>
      <w:pPr>
        <w:spacing w:after="0" w:line="313" w:lineRule="exact"/>
        <w:rPr>
          <w:sz w:val="20"/>
          <w:szCs w:val="20"/>
          <w:color w:val="auto"/>
        </w:rPr>
      </w:pPr>
    </w:p>
    <w:p>
      <w:pPr>
        <w:ind w:left="1060" w:right="1820"/>
        <w:spacing w:after="0" w:line="286" w:lineRule="auto"/>
        <w:rPr>
          <w:sz w:val="20"/>
          <w:szCs w:val="20"/>
          <w:color w:val="auto"/>
        </w:rPr>
      </w:pPr>
      <w:r>
        <w:rPr>
          <w:rFonts w:ascii="Arial" w:cs="Arial" w:eastAsia="Arial" w:hAnsi="Arial"/>
          <w:sz w:val="16"/>
          <w:szCs w:val="16"/>
          <w:b w:val="1"/>
          <w:bCs w:val="1"/>
          <w:color w:val="auto"/>
        </w:rPr>
        <w:t xml:space="preserve">BY PHONE PRIOR TO MEETING </w:t>
      </w:r>
      <w:r>
        <w:rPr>
          <w:rFonts w:ascii="Arial" w:cs="Arial" w:eastAsia="Arial" w:hAnsi="Arial"/>
          <w:sz w:val="16"/>
          <w:szCs w:val="16"/>
          <w:color w:val="auto"/>
        </w:rPr>
        <w:t>Call 1.800.690.6903</w:t>
      </w: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BY MAIL PRIOR TO MEETING</w:t>
      </w:r>
    </w:p>
    <w:p>
      <w:pPr>
        <w:spacing w:after="0" w:line="21" w:lineRule="exact"/>
        <w:rPr>
          <w:sz w:val="20"/>
          <w:szCs w:val="20"/>
          <w:color w:val="auto"/>
        </w:rPr>
      </w:pPr>
    </w:p>
    <w:p>
      <w:pPr>
        <w:ind w:left="1060" w:right="180"/>
        <w:spacing w:after="0" w:line="265" w:lineRule="auto"/>
        <w:rPr>
          <w:sz w:val="20"/>
          <w:szCs w:val="20"/>
          <w:color w:val="auto"/>
        </w:rPr>
      </w:pPr>
      <w:r>
        <w:rPr>
          <w:rFonts w:ascii="Arial" w:cs="Arial" w:eastAsia="Arial" w:hAnsi="Arial"/>
          <w:sz w:val="16"/>
          <w:szCs w:val="16"/>
          <w:color w:val="auto"/>
        </w:rPr>
        <w:t>Complete, sign and return proxy card in the postage-paid envelope</w:t>
      </w:r>
    </w:p>
    <w:p>
      <w:pPr>
        <w:spacing w:after="0" w:line="145"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To vote or participate in the virtual meeting, you must have the control number that appears on your Notice of Internet Availability of Proxy Materials or proxy card.</w:t>
      </w:r>
    </w:p>
    <w:p>
      <w:pPr>
        <w:spacing w:after="0" w:line="14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Our Board of Directors is soliciting proxies to be voted at the Annual Meeting on May 6, 2026 and at any adjournments or postponements thereof. We expect that this proxy statement and form of proxy will be mailed and made available to shareholders beginning on or about March 25, 2026.</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Shareholders to be held on Wednesday, May 6, 2026: </w:t>
      </w:r>
      <w:r>
        <w:rPr>
          <w:rFonts w:ascii="Arial" w:cs="Arial" w:eastAsia="Arial" w:hAnsi="Arial"/>
          <w:sz w:val="16"/>
          <w:szCs w:val="16"/>
          <w:color w:val="auto"/>
        </w:rPr>
        <w:t>The Proxy Statement for the 2026 Annual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and 2025 Annual Report to Shareholders are available at: https://investors.regencycenters.com.</w:t>
      </w:r>
    </w:p>
    <w:p>
      <w:pPr>
        <w:spacing w:after="0" w:line="200" w:lineRule="exact"/>
        <w:rPr>
          <w:sz w:val="20"/>
          <w:szCs w:val="20"/>
          <w:color w:val="auto"/>
        </w:rPr>
      </w:pPr>
    </w:p>
    <w:p>
      <w:pPr>
        <w:sectPr>
          <w:pgSz w:w="11900" w:h="16838" w:orient="portrait"/>
          <w:cols w:equalWidth="0" w:num="2">
            <w:col w:w="5400" w:space="420"/>
            <w:col w:w="5320"/>
          </w:cols>
          <w:pgMar w:left="320" w:top="482" w:right="439" w:bottom="1440" w:gutter="0" w:footer="0" w:header="0"/>
          <w:type w:val="continuous"/>
        </w:sectPr>
      </w:pPr>
    </w:p>
    <w:p>
      <w:pPr>
        <w:spacing w:after="0" w:line="204" w:lineRule="exact"/>
        <w:rPr>
          <w:sz w:val="20"/>
          <w:szCs w:val="20"/>
          <w:color w:val="auto"/>
        </w:rPr>
      </w:pPr>
    </w:p>
    <w:p>
      <w:pPr>
        <w:ind w:left="812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i</w:t>
      </w:r>
    </w:p>
    <w:p>
      <w:pPr>
        <w:sectPr>
          <w:pgSz w:w="11900" w:h="16838" w:orient="portrait"/>
          <w:cols w:equalWidth="0" w:num="1">
            <w:col w:w="11140"/>
          </w:cols>
          <w:pgMar w:left="320" w:top="482"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Table of Contents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E56D3D"/>
        </w:rPr>
        <w:t>Table of Contents</w:t>
      </w: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6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b w:val="1"/>
                <w:bCs w:val="1"/>
                <w:color w:val="0000EE"/>
              </w:rPr>
              <w:t>Notice of Annual Meeting of Shareholders</w:t>
            </w:r>
          </w:p>
        </w:tc>
        <w:tc>
          <w:tcPr>
            <w:tcW w:w="1960" w:type="dxa"/>
            <w:vAlign w:val="bottom"/>
            <w:gridSpan w:val="20"/>
          </w:tcPr>
          <w:p>
            <w:pPr>
              <w:spacing w:after="0"/>
              <w:rPr>
                <w:sz w:val="14"/>
                <w:szCs w:val="14"/>
                <w:color w:val="auto"/>
              </w:rPr>
            </w:pPr>
          </w:p>
        </w:tc>
        <w:tc>
          <w:tcPr>
            <w:tcW w:w="340" w:type="dxa"/>
            <w:vAlign w:val="bottom"/>
          </w:tcPr>
          <w:p>
            <w:pPr>
              <w:ind w:left="240"/>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385"/>
        </w:trPr>
        <w:tc>
          <w:tcPr>
            <w:tcW w:w="120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9"/>
              </w:rPr>
              <w:t>Table of Contents</w:t>
            </w:r>
          </w:p>
        </w:tc>
        <w:tc>
          <w:tcPr>
            <w:tcW w:w="3620" w:type="dxa"/>
            <w:vAlign w:val="bottom"/>
            <w:gridSpan w:val="30"/>
          </w:tcPr>
          <w:p>
            <w:pPr>
              <w:spacing w:after="0"/>
              <w:rPr>
                <w:sz w:val="24"/>
                <w:szCs w:val="24"/>
                <w:color w:val="auto"/>
              </w:rPr>
            </w:pPr>
          </w:p>
        </w:tc>
        <w:tc>
          <w:tcPr>
            <w:tcW w:w="340" w:type="dxa"/>
            <w:vAlign w:val="bottom"/>
          </w:tcPr>
          <w:p>
            <w:pPr>
              <w:ind w:left="220"/>
              <w:spacing w:after="0"/>
              <w:rPr>
                <w:sz w:val="20"/>
                <w:szCs w:val="20"/>
                <w:color w:val="auto"/>
              </w:rPr>
            </w:pPr>
            <w:r>
              <w:rPr>
                <w:rFonts w:ascii="Arial" w:cs="Arial" w:eastAsia="Arial" w:hAnsi="Arial"/>
                <w:sz w:val="14"/>
                <w:szCs w:val="14"/>
                <w:b w:val="1"/>
                <w:bCs w:val="1"/>
                <w:color w:val="auto"/>
              </w:rPr>
              <w:t>ii</w:t>
            </w:r>
          </w:p>
        </w:tc>
        <w:tc>
          <w:tcPr>
            <w:tcW w:w="0" w:type="dxa"/>
            <w:vAlign w:val="bottom"/>
          </w:tcPr>
          <w:p>
            <w:pPr>
              <w:spacing w:after="0"/>
              <w:rPr>
                <w:sz w:val="1"/>
                <w:szCs w:val="1"/>
                <w:color w:val="auto"/>
              </w:rPr>
            </w:pPr>
          </w:p>
        </w:tc>
      </w:tr>
      <w:tr>
        <w:trPr>
          <w:trHeight w:val="385"/>
        </w:trPr>
        <w:tc>
          <w:tcPr>
            <w:tcW w:w="110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w w:val="99"/>
              </w:rPr>
              <w:t>Proxy Summary</w:t>
            </w:r>
          </w:p>
        </w:tc>
        <w:tc>
          <w:tcPr>
            <w:tcW w:w="3720" w:type="dxa"/>
            <w:vAlign w:val="bottom"/>
            <w:gridSpan w:val="31"/>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385"/>
        </w:trPr>
        <w:tc>
          <w:tcPr>
            <w:tcW w:w="1100" w:type="dxa"/>
            <w:vAlign w:val="bottom"/>
          </w:tcPr>
          <w:p>
            <w:pPr>
              <w:spacing w:after="0"/>
              <w:rPr>
                <w:sz w:val="24"/>
                <w:szCs w:val="24"/>
                <w:color w:val="auto"/>
              </w:rPr>
            </w:pPr>
          </w:p>
        </w:tc>
        <w:tc>
          <w:tcPr>
            <w:tcW w:w="140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b w:val="1"/>
                <w:bCs w:val="1"/>
                <w:color w:val="0000EE"/>
              </w:rPr>
              <w:t>Election of Directors</w:t>
            </w:r>
          </w:p>
        </w:tc>
        <w:tc>
          <w:tcPr>
            <w:tcW w:w="2320" w:type="dxa"/>
            <w:vAlign w:val="bottom"/>
            <w:gridSpan w:val="24"/>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b w:val="1"/>
                <w:bCs w:val="1"/>
                <w:color w:val="E56D3D"/>
              </w:rPr>
              <w:t>8</w:t>
            </w: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Our Director Nominee</w:t>
            </w:r>
            <w:r>
              <w:rPr>
                <w:rFonts w:ascii="Arial" w:cs="Arial" w:eastAsia="Arial" w:hAnsi="Arial"/>
                <w:sz w:val="14"/>
                <w:szCs w:val="14"/>
                <w:color w:val="000000"/>
              </w:rPr>
              <w:t>s</w:t>
            </w:r>
          </w:p>
        </w:tc>
        <w:tc>
          <w:tcPr>
            <w:tcW w:w="340" w:type="dxa"/>
            <w:vAlign w:val="bottom"/>
            <w:vMerge w:val="restart"/>
          </w:tcPr>
          <w:p>
            <w:pPr>
              <w:jc w:val="center"/>
              <w:ind w:left="10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1100" w:type="dxa"/>
            <w:vAlign w:val="bottom"/>
          </w:tcPr>
          <w:p>
            <w:pPr>
              <w:spacing w:after="0"/>
              <w:rPr>
                <w:sz w:val="6"/>
                <w:szCs w:val="6"/>
                <w:color w:val="auto"/>
              </w:rPr>
            </w:pPr>
          </w:p>
        </w:tc>
        <w:tc>
          <w:tcPr>
            <w:tcW w:w="3720" w:type="dxa"/>
            <w:vAlign w:val="bottom"/>
            <w:gridSpan w:val="31"/>
            <w:vMerge w:val="restart"/>
          </w:tcPr>
          <w:p>
            <w:pPr>
              <w:spacing w:after="0"/>
              <w:rPr>
                <w:sz w:val="20"/>
                <w:szCs w:val="20"/>
                <w:color w:val="auto"/>
              </w:rPr>
            </w:pPr>
            <w:r>
              <w:rPr>
                <w:rFonts w:ascii="Arial" w:cs="Arial" w:eastAsia="Arial" w:hAnsi="Arial"/>
                <w:sz w:val="14"/>
                <w:szCs w:val="14"/>
                <w:color w:val="0000EE"/>
              </w:rPr>
              <w:t>Director Nominee Qualifications</w:t>
            </w:r>
          </w:p>
        </w:tc>
        <w:tc>
          <w:tcPr>
            <w:tcW w:w="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100" w:type="dxa"/>
            <w:vAlign w:val="bottom"/>
          </w:tcPr>
          <w:p>
            <w:pPr>
              <w:spacing w:after="0"/>
              <w:rPr>
                <w:sz w:val="17"/>
                <w:szCs w:val="17"/>
                <w:color w:val="auto"/>
              </w:rPr>
            </w:pPr>
          </w:p>
        </w:tc>
        <w:tc>
          <w:tcPr>
            <w:tcW w:w="3720" w:type="dxa"/>
            <w:vAlign w:val="bottom"/>
            <w:gridSpan w:val="31"/>
            <w:vMerge w:val="continue"/>
          </w:tcPr>
          <w:p>
            <w:pPr>
              <w:spacing w:after="0"/>
              <w:rPr>
                <w:sz w:val="17"/>
                <w:szCs w:val="17"/>
                <w:color w:val="auto"/>
              </w:rPr>
            </w:pPr>
          </w:p>
        </w:tc>
        <w:tc>
          <w:tcPr>
            <w:tcW w:w="340" w:type="dxa"/>
            <w:vAlign w:val="bottom"/>
            <w:vMerge w:val="restart"/>
          </w:tcPr>
          <w:p>
            <w:pPr>
              <w:jc w:val="center"/>
              <w:ind w:left="10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80"/>
        </w:trPr>
        <w:tc>
          <w:tcPr>
            <w:tcW w:w="1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b w:val="1"/>
                <w:bCs w:val="1"/>
                <w:color w:val="0000EE"/>
              </w:rPr>
              <w:t>Corporate Governance</w:t>
            </w:r>
          </w:p>
        </w:tc>
        <w:tc>
          <w:tcPr>
            <w:tcW w:w="340" w:type="dxa"/>
            <w:vAlign w:val="bottom"/>
          </w:tcPr>
          <w:p>
            <w:pPr>
              <w:jc w:val="center"/>
              <w:ind w:left="108"/>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Corporate Governance Guidelines</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160" w:type="dxa"/>
            <w:vAlign w:val="bottom"/>
            <w:tcBorders>
              <w:top w:val="single" w:sz="8" w:color="0000EE"/>
            </w:tcBorders>
            <w:gridSpan w:val="18"/>
          </w:tcPr>
          <w:p>
            <w:pPr>
              <w:spacing w:after="0"/>
              <w:rPr>
                <w:sz w:val="20"/>
                <w:szCs w:val="20"/>
                <w:color w:val="auto"/>
              </w:rPr>
            </w:pPr>
            <w:r>
              <w:rPr>
                <w:rFonts w:ascii="Arial" w:cs="Arial" w:eastAsia="Arial" w:hAnsi="Arial"/>
                <w:sz w:val="14"/>
                <w:szCs w:val="14"/>
                <w:color w:val="0000EE"/>
              </w:rPr>
              <w:t>Director Independence</w:t>
            </w:r>
          </w:p>
        </w:tc>
        <w:tc>
          <w:tcPr>
            <w:tcW w:w="1560" w:type="dxa"/>
            <w:vAlign w:val="bottom"/>
            <w:gridSpan w:val="13"/>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Board Leadership Structure</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Role of Independent Lead Director</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94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rPr>
              <w:t>Meetings of Board of Directors</w:t>
            </w:r>
          </w:p>
        </w:tc>
        <w:tc>
          <w:tcPr>
            <w:tcW w:w="240" w:type="dxa"/>
            <w:vAlign w:val="bottom"/>
            <w:tcBorders>
              <w:top w:val="single" w:sz="8" w:color="0000EE"/>
            </w:tcBorders>
            <w:gridSpan w:val="4"/>
          </w:tcPr>
          <w:p>
            <w:pPr>
              <w:spacing w:after="0"/>
              <w:rPr>
                <w:sz w:val="24"/>
                <w:szCs w:val="24"/>
                <w:color w:val="auto"/>
              </w:rPr>
            </w:pPr>
          </w:p>
        </w:tc>
        <w:tc>
          <w:tcPr>
            <w:tcW w:w="1540" w:type="dxa"/>
            <w:vAlign w:val="bottom"/>
            <w:gridSpan w:val="12"/>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Executive Sessions of Independent Directors</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840" w:type="dxa"/>
            <w:vAlign w:val="bottom"/>
            <w:tcBorders>
              <w:top w:val="single" w:sz="8" w:color="0000EE"/>
            </w:tcBorders>
            <w:gridSpan w:val="25"/>
          </w:tcPr>
          <w:p>
            <w:pPr>
              <w:spacing w:after="0"/>
              <w:rPr>
                <w:sz w:val="20"/>
                <w:szCs w:val="20"/>
                <w:color w:val="auto"/>
              </w:rPr>
            </w:pPr>
            <w:r>
              <w:rPr>
                <w:rFonts w:ascii="Arial" w:cs="Arial" w:eastAsia="Arial" w:hAnsi="Arial"/>
                <w:sz w:val="14"/>
                <w:szCs w:val="14"/>
                <w:color w:val="0000EE"/>
              </w:rPr>
              <w:t>Board Membership</w:t>
            </w:r>
          </w:p>
        </w:tc>
        <w:tc>
          <w:tcPr>
            <w:tcW w:w="880" w:type="dxa"/>
            <w:vAlign w:val="bottom"/>
            <w:gridSpan w:val="6"/>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Succession Planning and Board Refreshment</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300" w:type="dxa"/>
            <w:vAlign w:val="bottom"/>
            <w:tcBorders>
              <w:top w:val="single" w:sz="8" w:color="0000EE"/>
              <w:bottom w:val="single" w:sz="8" w:color="0000EE"/>
            </w:tcBorders>
            <w:gridSpan w:val="21"/>
          </w:tcPr>
          <w:p>
            <w:pPr>
              <w:spacing w:after="0"/>
              <w:rPr>
                <w:sz w:val="20"/>
                <w:szCs w:val="20"/>
                <w:color w:val="auto"/>
              </w:rPr>
            </w:pPr>
            <w:r>
              <w:rPr>
                <w:rFonts w:ascii="Arial" w:cs="Arial" w:eastAsia="Arial" w:hAnsi="Arial"/>
                <w:sz w:val="14"/>
                <w:szCs w:val="14"/>
                <w:color w:val="0000EE"/>
              </w:rPr>
              <w:t>Director Nominee Selection Process</w:t>
            </w:r>
          </w:p>
        </w:tc>
        <w:tc>
          <w:tcPr>
            <w:tcW w:w="580" w:type="dxa"/>
            <w:vAlign w:val="bottom"/>
            <w:tcBorders>
              <w:top w:val="single" w:sz="8" w:color="0000EE"/>
            </w:tcBorders>
            <w:gridSpan w:val="5"/>
          </w:tcPr>
          <w:p>
            <w:pPr>
              <w:spacing w:after="0"/>
              <w:rPr>
                <w:sz w:val="24"/>
                <w:szCs w:val="24"/>
                <w:color w:val="auto"/>
              </w:rPr>
            </w:pPr>
          </w:p>
        </w:tc>
        <w:tc>
          <w:tcPr>
            <w:tcW w:w="840" w:type="dxa"/>
            <w:vAlign w:val="bottom"/>
            <w:gridSpan w:val="5"/>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Director Candidate Nominations through Proxy Access</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3460" w:type="dxa"/>
            <w:vAlign w:val="bottom"/>
            <w:tcBorders>
              <w:top w:val="single" w:sz="8" w:color="0000EE"/>
            </w:tcBorders>
            <w:gridSpan w:val="29"/>
          </w:tcPr>
          <w:p>
            <w:pPr>
              <w:spacing w:after="0"/>
              <w:rPr>
                <w:sz w:val="20"/>
                <w:szCs w:val="20"/>
                <w:color w:val="auto"/>
              </w:rPr>
            </w:pPr>
            <w:r>
              <w:rPr>
                <w:rFonts w:ascii="Arial" w:cs="Arial" w:eastAsia="Arial" w:hAnsi="Arial"/>
                <w:sz w:val="14"/>
                <w:szCs w:val="14"/>
                <w:color w:val="0000EE"/>
              </w:rPr>
              <w:t>Limits on Board Service</w:t>
            </w:r>
          </w:p>
        </w:tc>
        <w:tc>
          <w:tcPr>
            <w:tcW w:w="260" w:type="dxa"/>
            <w:vAlign w:val="bottom"/>
            <w:gridSpan w:val="2"/>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Board Self-Assessment and Evaluation</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480" w:type="dxa"/>
            <w:vAlign w:val="bottom"/>
            <w:tcBorders>
              <w:top w:val="single" w:sz="8" w:color="0000EE"/>
            </w:tcBorders>
            <w:gridSpan w:val="23"/>
          </w:tcPr>
          <w:p>
            <w:pPr>
              <w:spacing w:after="0"/>
              <w:rPr>
                <w:sz w:val="20"/>
                <w:szCs w:val="20"/>
                <w:color w:val="auto"/>
              </w:rPr>
            </w:pPr>
            <w:r>
              <w:rPr>
                <w:rFonts w:ascii="Arial" w:cs="Arial" w:eastAsia="Arial" w:hAnsi="Arial"/>
                <w:sz w:val="14"/>
                <w:szCs w:val="14"/>
                <w:color w:val="0000EE"/>
              </w:rPr>
              <w:t>Risk Oversight</w:t>
            </w:r>
          </w:p>
        </w:tc>
        <w:tc>
          <w:tcPr>
            <w:tcW w:w="1240" w:type="dxa"/>
            <w:vAlign w:val="bottom"/>
            <w:gridSpan w:val="8"/>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Standing Committees</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380" w:type="dxa"/>
            <w:vAlign w:val="bottom"/>
            <w:tcBorders>
              <w:top w:val="single" w:sz="8" w:color="0000EE"/>
            </w:tcBorders>
            <w:gridSpan w:val="6"/>
          </w:tcPr>
          <w:p>
            <w:pPr>
              <w:spacing w:after="0"/>
              <w:rPr>
                <w:sz w:val="20"/>
                <w:szCs w:val="20"/>
                <w:color w:val="auto"/>
              </w:rPr>
            </w:pPr>
            <w:r>
              <w:rPr>
                <w:rFonts w:ascii="Arial" w:cs="Arial" w:eastAsia="Arial" w:hAnsi="Arial"/>
                <w:sz w:val="14"/>
                <w:szCs w:val="14"/>
                <w:color w:val="0000EE"/>
              </w:rPr>
              <w:t>Executive Committee</w:t>
            </w:r>
          </w:p>
        </w:tc>
        <w:tc>
          <w:tcPr>
            <w:tcW w:w="2340" w:type="dxa"/>
            <w:vAlign w:val="bottom"/>
            <w:gridSpan w:val="25"/>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Code of Business Conduct and Ethics</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6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4"/>
                <w:szCs w:val="14"/>
                <w:b w:val="1"/>
                <w:bCs w:val="1"/>
                <w:color w:val="0000EE"/>
              </w:rPr>
              <w:t>Related Party Transactions</w:t>
            </w:r>
          </w:p>
        </w:tc>
        <w:tc>
          <w:tcPr>
            <w:tcW w:w="540" w:type="dxa"/>
            <w:vAlign w:val="bottom"/>
            <w:tcBorders>
              <w:top w:val="single" w:sz="8" w:color="0000EE"/>
            </w:tcBorders>
            <w:gridSpan w:val="9"/>
          </w:tcPr>
          <w:p>
            <w:pPr>
              <w:spacing w:after="0"/>
              <w:rPr>
                <w:sz w:val="24"/>
                <w:szCs w:val="24"/>
                <w:color w:val="auto"/>
              </w:rPr>
            </w:pPr>
          </w:p>
        </w:tc>
        <w:tc>
          <w:tcPr>
            <w:tcW w:w="1320" w:type="dxa"/>
            <w:vAlign w:val="bottom"/>
            <w:gridSpan w:val="9"/>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4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b w:val="1"/>
                <w:bCs w:val="1"/>
                <w:color w:val="0000EE"/>
              </w:rPr>
              <w:t>Compensation of Directors</w:t>
            </w:r>
          </w:p>
        </w:tc>
        <w:tc>
          <w:tcPr>
            <w:tcW w:w="1880" w:type="dxa"/>
            <w:vAlign w:val="bottom"/>
            <w:gridSpan w:val="19"/>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601"/>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b w:val="1"/>
                <w:bCs w:val="1"/>
                <w:color w:val="0000EE"/>
              </w:rPr>
              <w:t>Advisory Approval Of The Company’s Executive</w:t>
            </w:r>
          </w:p>
        </w:tc>
        <w:tc>
          <w:tcPr>
            <w:tcW w:w="340" w:type="dxa"/>
            <w:vAlign w:val="bottom"/>
          </w:tcPr>
          <w:p>
            <w:pPr>
              <w:jc w:val="center"/>
              <w:ind w:left="108"/>
              <w:spacing w:after="0"/>
              <w:rPr>
                <w:sz w:val="20"/>
                <w:szCs w:val="20"/>
                <w:color w:val="auto"/>
              </w:rPr>
            </w:pPr>
            <w:r>
              <w:rPr>
                <w:rFonts w:ascii="Arial" w:cs="Arial" w:eastAsia="Arial" w:hAnsi="Arial"/>
                <w:sz w:val="14"/>
                <w:szCs w:val="14"/>
                <w:b w:val="1"/>
                <w:bCs w:val="1"/>
                <w:color w:val="E56D3D"/>
              </w:rPr>
              <w:t>25</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3280" w:type="dxa"/>
            <w:vAlign w:val="bottom"/>
            <w:tcBorders>
              <w:top w:val="single" w:sz="8" w:color="0000EE"/>
            </w:tcBorders>
            <w:gridSpan w:val="28"/>
          </w:tcPr>
          <w:p>
            <w:pPr>
              <w:spacing w:after="0" w:line="142" w:lineRule="exact"/>
              <w:rPr>
                <w:sz w:val="20"/>
                <w:szCs w:val="20"/>
                <w:color w:val="auto"/>
              </w:rPr>
            </w:pPr>
            <w:r>
              <w:rPr>
                <w:rFonts w:ascii="Arial" w:cs="Arial" w:eastAsia="Arial" w:hAnsi="Arial"/>
                <w:sz w:val="14"/>
                <w:szCs w:val="14"/>
                <w:b w:val="1"/>
                <w:bCs w:val="1"/>
                <w:color w:val="0000EE"/>
              </w:rPr>
              <w:t>Compensation</w:t>
            </w:r>
          </w:p>
        </w:tc>
        <w:tc>
          <w:tcPr>
            <w:tcW w:w="2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Executive Compensation Highlights</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720" w:type="dxa"/>
            <w:vAlign w:val="bottom"/>
            <w:gridSpan w:val="10"/>
            <w:shd w:val="clear" w:color="auto" w:fill="0000EE"/>
          </w:tcPr>
          <w:p>
            <w:pPr>
              <w:spacing w:after="0" w:line="20" w:lineRule="exact"/>
              <w:rPr>
                <w:sz w:val="1"/>
                <w:szCs w:val="1"/>
                <w:color w:val="auto"/>
              </w:rPr>
            </w:pPr>
          </w:p>
        </w:tc>
        <w:tc>
          <w:tcPr>
            <w:tcW w:w="20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720" w:type="dxa"/>
            <w:vAlign w:val="bottom"/>
            <w:tcBorders>
              <w:bottom w:val="single" w:sz="8" w:color="0000EE"/>
            </w:tcBorders>
            <w:gridSpan w:val="24"/>
          </w:tcPr>
          <w:p>
            <w:pPr>
              <w:spacing w:after="0"/>
              <w:rPr>
                <w:sz w:val="20"/>
                <w:szCs w:val="20"/>
                <w:color w:val="auto"/>
              </w:rPr>
            </w:pPr>
            <w:r>
              <w:rPr>
                <w:rFonts w:ascii="Arial" w:cs="Arial" w:eastAsia="Arial" w:hAnsi="Arial"/>
                <w:sz w:val="14"/>
                <w:szCs w:val="14"/>
                <w:b w:val="1"/>
                <w:bCs w:val="1"/>
                <w:color w:val="0000EE"/>
              </w:rPr>
              <w:t>Compensation Discussion and Analysis</w:t>
            </w:r>
          </w:p>
        </w:tc>
        <w:tc>
          <w:tcPr>
            <w:tcW w:w="1000" w:type="dxa"/>
            <w:vAlign w:val="bottom"/>
            <w:gridSpan w:val="7"/>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331"/>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Letter from Our Compensation Committee Chair</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317"/>
        </w:trPr>
        <w:tc>
          <w:tcPr>
            <w:tcW w:w="1100" w:type="dxa"/>
            <w:vAlign w:val="bottom"/>
          </w:tcPr>
          <w:p>
            <w:pPr>
              <w:spacing w:after="0"/>
              <w:rPr>
                <w:sz w:val="24"/>
                <w:szCs w:val="24"/>
                <w:color w:val="auto"/>
              </w:rPr>
            </w:pPr>
          </w:p>
        </w:tc>
        <w:tc>
          <w:tcPr>
            <w:tcW w:w="3040" w:type="dxa"/>
            <w:vAlign w:val="bottom"/>
            <w:tcBorders>
              <w:top w:val="single" w:sz="8" w:color="0000EE"/>
            </w:tcBorders>
            <w:gridSpan w:val="27"/>
          </w:tcPr>
          <w:p>
            <w:pPr>
              <w:spacing w:after="0"/>
              <w:rPr>
                <w:sz w:val="20"/>
                <w:szCs w:val="20"/>
                <w:color w:val="auto"/>
              </w:rPr>
            </w:pPr>
            <w:r>
              <w:rPr>
                <w:rFonts w:ascii="Arial" w:cs="Arial" w:eastAsia="Arial" w:hAnsi="Arial"/>
                <w:sz w:val="14"/>
                <w:szCs w:val="14"/>
                <w:color w:val="0000EE"/>
              </w:rPr>
              <w:t>Our Named Executive Officers</w:t>
            </w:r>
          </w:p>
        </w:tc>
        <w:tc>
          <w:tcPr>
            <w:tcW w:w="680" w:type="dxa"/>
            <w:vAlign w:val="bottom"/>
            <w:gridSpan w:val="4"/>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720" w:type="dxa"/>
            <w:vAlign w:val="bottom"/>
            <w:gridSpan w:val="10"/>
            <w:shd w:val="clear" w:color="auto" w:fill="0000EE"/>
          </w:tcPr>
          <w:p>
            <w:pPr>
              <w:spacing w:after="0" w:line="20" w:lineRule="exact"/>
              <w:rPr>
                <w:sz w:val="1"/>
                <w:szCs w:val="1"/>
                <w:color w:val="auto"/>
              </w:rPr>
            </w:pPr>
          </w:p>
        </w:tc>
        <w:tc>
          <w:tcPr>
            <w:tcW w:w="20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0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94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rPr>
              <w:t>Our Compensation Philosophy</w:t>
            </w:r>
          </w:p>
        </w:tc>
        <w:tc>
          <w:tcPr>
            <w:tcW w:w="1780" w:type="dxa"/>
            <w:vAlign w:val="bottom"/>
            <w:gridSpan w:val="16"/>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Oversight of Compensation</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720" w:type="dxa"/>
            <w:vAlign w:val="bottom"/>
            <w:gridSpan w:val="10"/>
            <w:shd w:val="clear" w:color="auto" w:fill="0000EE"/>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50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3720" w:type="dxa"/>
            <w:vAlign w:val="bottom"/>
            <w:gridSpan w:val="31"/>
          </w:tcPr>
          <w:p>
            <w:pPr>
              <w:spacing w:after="0"/>
              <w:rPr>
                <w:sz w:val="20"/>
                <w:szCs w:val="20"/>
                <w:color w:val="auto"/>
              </w:rPr>
            </w:pPr>
            <w:r>
              <w:rPr>
                <w:rFonts w:ascii="Arial" w:cs="Arial" w:eastAsia="Arial" w:hAnsi="Arial"/>
                <w:sz w:val="14"/>
                <w:szCs w:val="14"/>
                <w:color w:val="0000EE"/>
              </w:rPr>
              <w:t>2025 Say on Pay Results and Shareholder Engagement</w:t>
            </w: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4"/>
                <w:szCs w:val="14"/>
                <w:color w:val="0000EE"/>
              </w:rPr>
              <w:t>Targeted Level of Compensation</w:t>
            </w:r>
          </w:p>
        </w:tc>
        <w:tc>
          <w:tcPr>
            <w:tcW w:w="1500" w:type="dxa"/>
            <w:vAlign w:val="bottom"/>
            <w:tcBorders>
              <w:top w:val="single" w:sz="8" w:color="0000EE"/>
            </w:tcBorders>
            <w:gridSpan w:val="13"/>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center"/>
              <w:ind w:left="10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-6762750</wp:posOffset>
            </wp:positionV>
            <wp:extent cx="514350"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 cy="52260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-1876425</wp:posOffset>
            </wp:positionV>
            <wp:extent cx="51435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rPr>
              <w:t>Compensation Committee Actions &amp; Decisions</w:t>
            </w:r>
          </w:p>
        </w:tc>
        <w:tc>
          <w:tcPr>
            <w:tcW w:w="820" w:type="dxa"/>
            <w:vAlign w:val="bottom"/>
            <w:gridSpan w:val="12"/>
          </w:tcPr>
          <w:p>
            <w:pPr>
              <w:spacing w:after="0"/>
              <w:rPr>
                <w:sz w:val="14"/>
                <w:szCs w:val="1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318"/>
        </w:trPr>
        <w:tc>
          <w:tcPr>
            <w:tcW w:w="3800" w:type="dxa"/>
            <w:vAlign w:val="bottom"/>
            <w:gridSpan w:val="32"/>
          </w:tcPr>
          <w:p>
            <w:pPr>
              <w:spacing w:after="0"/>
              <w:rPr>
                <w:sz w:val="20"/>
                <w:szCs w:val="20"/>
                <w:color w:val="auto"/>
              </w:rPr>
            </w:pPr>
            <w:r>
              <w:rPr>
                <w:rFonts w:ascii="Arial" w:cs="Arial" w:eastAsia="Arial" w:hAnsi="Arial"/>
                <w:sz w:val="14"/>
                <w:szCs w:val="14"/>
                <w:color w:val="0000EE"/>
              </w:rPr>
              <w:t>Elements of Compensation</w:t>
            </w: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2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rPr>
              <w:t>Recoupment/Clawback Policies</w:t>
            </w:r>
          </w:p>
        </w:tc>
        <w:tc>
          <w:tcPr>
            <w:tcW w:w="1780" w:type="dxa"/>
            <w:vAlign w:val="bottom"/>
            <w:gridSpan w:val="18"/>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18"/>
        </w:trPr>
        <w:tc>
          <w:tcPr>
            <w:tcW w:w="3200" w:type="dxa"/>
            <w:vAlign w:val="bottom"/>
            <w:tcBorders>
              <w:bottom w:val="single" w:sz="8" w:color="0000EE"/>
            </w:tcBorders>
            <w:gridSpan w:val="24"/>
          </w:tcPr>
          <w:p>
            <w:pPr>
              <w:spacing w:after="0"/>
              <w:rPr>
                <w:sz w:val="20"/>
                <w:szCs w:val="20"/>
                <w:color w:val="auto"/>
              </w:rPr>
            </w:pPr>
            <w:r>
              <w:rPr>
                <w:rFonts w:ascii="Arial" w:cs="Arial" w:eastAsia="Arial" w:hAnsi="Arial"/>
                <w:sz w:val="14"/>
                <w:szCs w:val="14"/>
                <w:color w:val="0000EE"/>
              </w:rPr>
              <w:t>Risk Consideration in Our Compensation Program</w:t>
            </w:r>
          </w:p>
        </w:tc>
        <w:tc>
          <w:tcPr>
            <w:tcW w:w="600" w:type="dxa"/>
            <w:vAlign w:val="bottom"/>
            <w:gridSpan w:val="8"/>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18"/>
        </w:trPr>
        <w:tc>
          <w:tcPr>
            <w:tcW w:w="3800" w:type="dxa"/>
            <w:vAlign w:val="bottom"/>
            <w:gridSpan w:val="32"/>
          </w:tcPr>
          <w:p>
            <w:pPr>
              <w:spacing w:after="0"/>
              <w:rPr>
                <w:sz w:val="20"/>
                <w:szCs w:val="20"/>
                <w:color w:val="auto"/>
              </w:rPr>
            </w:pPr>
            <w:r>
              <w:rPr>
                <w:rFonts w:ascii="Arial" w:cs="Arial" w:eastAsia="Arial" w:hAnsi="Arial"/>
                <w:sz w:val="14"/>
                <w:szCs w:val="14"/>
                <w:color w:val="0000EE"/>
              </w:rPr>
              <w:t>Compensation Committee Interlocks and Insider</w:t>
            </w:r>
          </w:p>
        </w:tc>
        <w:tc>
          <w:tcPr>
            <w:tcW w:w="360" w:type="dxa"/>
            <w:vAlign w:val="bottom"/>
            <w:vMerge w:val="restart"/>
          </w:tcPr>
          <w:p>
            <w:pPr>
              <w:jc w:val="center"/>
              <w:ind w:left="8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800" w:type="dxa"/>
            <w:vAlign w:val="bottom"/>
            <w:tcBorders>
              <w:top w:val="single" w:sz="8" w:color="0000EE"/>
              <w:bottom w:val="single" w:sz="8" w:color="0000EE"/>
            </w:tcBorders>
            <w:gridSpan w:val="3"/>
          </w:tcPr>
          <w:p>
            <w:pPr>
              <w:spacing w:after="0" w:line="142" w:lineRule="exact"/>
              <w:rPr>
                <w:sz w:val="20"/>
                <w:szCs w:val="20"/>
                <w:color w:val="auto"/>
              </w:rPr>
            </w:pPr>
            <w:r>
              <w:rPr>
                <w:rFonts w:ascii="Arial" w:cs="Arial" w:eastAsia="Arial" w:hAnsi="Arial"/>
                <w:sz w:val="14"/>
                <w:szCs w:val="14"/>
                <w:color w:val="0000EE"/>
              </w:rPr>
              <w:t>Participation</w:t>
            </w:r>
          </w:p>
        </w:tc>
        <w:tc>
          <w:tcPr>
            <w:tcW w:w="2260" w:type="dxa"/>
            <w:vAlign w:val="bottom"/>
            <w:tcBorders>
              <w:top w:val="single" w:sz="8" w:color="0000EE"/>
            </w:tcBorders>
            <w:gridSpan w:val="20"/>
          </w:tcPr>
          <w:p>
            <w:pPr>
              <w:spacing w:after="0"/>
              <w:rPr>
                <w:sz w:val="12"/>
                <w:szCs w:val="12"/>
                <w:color w:val="auto"/>
              </w:rPr>
            </w:pPr>
          </w:p>
        </w:tc>
        <w:tc>
          <w:tcPr>
            <w:tcW w:w="2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800" w:type="dxa"/>
            <w:vAlign w:val="bottom"/>
            <w:gridSpan w:val="32"/>
          </w:tcPr>
          <w:p>
            <w:pPr>
              <w:spacing w:after="0"/>
              <w:rPr>
                <w:sz w:val="20"/>
                <w:szCs w:val="20"/>
                <w:color w:val="auto"/>
              </w:rPr>
            </w:pPr>
            <w:r>
              <w:rPr>
                <w:rFonts w:ascii="Arial" w:cs="Arial" w:eastAsia="Arial" w:hAnsi="Arial"/>
                <w:sz w:val="14"/>
                <w:szCs w:val="14"/>
                <w:color w:val="0000EE"/>
              </w:rPr>
              <w:t>Stock Ownership Policy</w:t>
            </w: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0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color w:val="0000EE"/>
              </w:rPr>
              <w:t>Policy Prohibiting Hedging and Pledging of Our Stock</w:t>
            </w:r>
          </w:p>
        </w:tc>
        <w:tc>
          <w:tcPr>
            <w:tcW w:w="400" w:type="dxa"/>
            <w:vAlign w:val="bottom"/>
            <w:gridSpan w:val="5"/>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318"/>
        </w:trPr>
        <w:tc>
          <w:tcPr>
            <w:tcW w:w="192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rPr>
              <w:t>Deductibility of Compensation</w:t>
            </w:r>
          </w:p>
        </w:tc>
        <w:tc>
          <w:tcPr>
            <w:tcW w:w="1880" w:type="dxa"/>
            <w:vAlign w:val="bottom"/>
            <w:gridSpan w:val="21"/>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318"/>
        </w:trPr>
        <w:tc>
          <w:tcPr>
            <w:tcW w:w="3800" w:type="dxa"/>
            <w:vAlign w:val="bottom"/>
            <w:gridSpan w:val="32"/>
          </w:tcPr>
          <w:p>
            <w:pPr>
              <w:spacing w:after="0"/>
              <w:rPr>
                <w:sz w:val="20"/>
                <w:szCs w:val="20"/>
                <w:color w:val="auto"/>
              </w:rPr>
            </w:pPr>
            <w:r>
              <w:rPr>
                <w:rFonts w:ascii="Arial" w:cs="Arial" w:eastAsia="Arial" w:hAnsi="Arial"/>
                <w:sz w:val="14"/>
                <w:szCs w:val="14"/>
                <w:b w:val="1"/>
                <w:bCs w:val="1"/>
                <w:color w:val="0000EE"/>
              </w:rPr>
              <w:t>Compensation Committee Report</w:t>
            </w:r>
          </w:p>
        </w:tc>
        <w:tc>
          <w:tcPr>
            <w:tcW w:w="360" w:type="dxa"/>
            <w:vAlign w:val="bottom"/>
          </w:tcPr>
          <w:p>
            <w:pPr>
              <w:jc w:val="center"/>
              <w:ind w:left="88"/>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318"/>
        </w:trPr>
        <w:tc>
          <w:tcPr>
            <w:tcW w:w="2280" w:type="dxa"/>
            <w:vAlign w:val="bottom"/>
            <w:tcBorders>
              <w:top w:val="single" w:sz="8" w:color="0000EE"/>
            </w:tcBorders>
            <w:gridSpan w:val="15"/>
          </w:tcPr>
          <w:p>
            <w:pPr>
              <w:spacing w:after="0"/>
              <w:rPr>
                <w:sz w:val="20"/>
                <w:szCs w:val="20"/>
                <w:color w:val="auto"/>
              </w:rPr>
            </w:pPr>
            <w:r>
              <w:rPr>
                <w:rFonts w:ascii="Arial" w:cs="Arial" w:eastAsia="Arial" w:hAnsi="Arial"/>
                <w:sz w:val="14"/>
                <w:szCs w:val="14"/>
                <w:b w:val="1"/>
                <w:bCs w:val="1"/>
                <w:color w:val="0000EE"/>
              </w:rPr>
              <w:t>Executive Compensation</w:t>
            </w:r>
          </w:p>
        </w:tc>
        <w:tc>
          <w:tcPr>
            <w:tcW w:w="1520" w:type="dxa"/>
            <w:vAlign w:val="bottom"/>
            <w:gridSpan w:val="17"/>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98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0000EE"/>
              </w:rPr>
              <w:t>Summary Compensation Table</w:t>
            </w:r>
          </w:p>
        </w:tc>
        <w:tc>
          <w:tcPr>
            <w:tcW w:w="1820" w:type="dxa"/>
            <w:vAlign w:val="bottom"/>
            <w:gridSpan w:val="19"/>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317"/>
        </w:trPr>
        <w:tc>
          <w:tcPr>
            <w:tcW w:w="190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rPr>
              <w:t>Grants of Plan-Based Awards</w:t>
            </w:r>
          </w:p>
        </w:tc>
        <w:tc>
          <w:tcPr>
            <w:tcW w:w="1900" w:type="dxa"/>
            <w:vAlign w:val="bottom"/>
            <w:gridSpan w:val="22"/>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318"/>
        </w:trPr>
        <w:tc>
          <w:tcPr>
            <w:tcW w:w="174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Outstanding Equity Awards</w:t>
            </w:r>
          </w:p>
        </w:tc>
        <w:tc>
          <w:tcPr>
            <w:tcW w:w="2060" w:type="dxa"/>
            <w:vAlign w:val="bottom"/>
            <w:gridSpan w:val="23"/>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318"/>
        </w:trPr>
        <w:tc>
          <w:tcPr>
            <w:tcW w:w="3800" w:type="dxa"/>
            <w:vAlign w:val="bottom"/>
            <w:gridSpan w:val="32"/>
          </w:tcPr>
          <w:p>
            <w:pPr>
              <w:spacing w:after="0"/>
              <w:rPr>
                <w:sz w:val="20"/>
                <w:szCs w:val="20"/>
                <w:color w:val="auto"/>
              </w:rPr>
            </w:pPr>
            <w:r>
              <w:rPr>
                <w:rFonts w:ascii="Arial" w:cs="Arial" w:eastAsia="Arial" w:hAnsi="Arial"/>
                <w:sz w:val="14"/>
                <w:szCs w:val="14"/>
                <w:color w:val="0000EE"/>
              </w:rPr>
              <w:t>Options Exercises and Stock Vested in 2025</w:t>
            </w: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318"/>
        </w:trPr>
        <w:tc>
          <w:tcPr>
            <w:tcW w:w="2820" w:type="dxa"/>
            <w:vAlign w:val="bottom"/>
            <w:tcBorders>
              <w:top w:val="single" w:sz="8" w:color="0000EE"/>
            </w:tcBorders>
            <w:gridSpan w:val="17"/>
          </w:tcPr>
          <w:p>
            <w:pPr>
              <w:spacing w:after="0"/>
              <w:rPr>
                <w:sz w:val="20"/>
                <w:szCs w:val="20"/>
                <w:color w:val="auto"/>
              </w:rPr>
            </w:pPr>
            <w:r>
              <w:rPr>
                <w:rFonts w:ascii="Arial" w:cs="Arial" w:eastAsia="Arial" w:hAnsi="Arial"/>
                <w:sz w:val="14"/>
                <w:szCs w:val="14"/>
                <w:color w:val="0000EE"/>
              </w:rPr>
              <w:t>Summary of Our Non-Qualified Deferred</w:t>
            </w:r>
          </w:p>
        </w:tc>
        <w:tc>
          <w:tcPr>
            <w:tcW w:w="980" w:type="dxa"/>
            <w:vAlign w:val="bottom"/>
            <w:gridSpan w:val="15"/>
          </w:tcPr>
          <w:p>
            <w:pPr>
              <w:spacing w:after="0"/>
              <w:rPr>
                <w:sz w:val="24"/>
                <w:szCs w:val="24"/>
                <w:color w:val="auto"/>
              </w:rPr>
            </w:pPr>
          </w:p>
        </w:tc>
        <w:tc>
          <w:tcPr>
            <w:tcW w:w="360" w:type="dxa"/>
            <w:vAlign w:val="bottom"/>
            <w:vMerge w:val="restart"/>
          </w:tcPr>
          <w:p>
            <w:pPr>
              <w:jc w:val="center"/>
              <w:ind w:left="8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580" w:type="dxa"/>
            <w:vAlign w:val="bottom"/>
            <w:tcBorders>
              <w:top w:val="single" w:sz="8" w:color="0000EE"/>
            </w:tcBorders>
            <w:gridSpan w:val="16"/>
          </w:tcPr>
          <w:p>
            <w:pPr>
              <w:spacing w:after="0" w:line="142" w:lineRule="exact"/>
              <w:rPr>
                <w:sz w:val="20"/>
                <w:szCs w:val="20"/>
                <w:color w:val="auto"/>
              </w:rPr>
            </w:pPr>
            <w:r>
              <w:rPr>
                <w:rFonts w:ascii="Arial" w:cs="Arial" w:eastAsia="Arial" w:hAnsi="Arial"/>
                <w:sz w:val="14"/>
                <w:szCs w:val="14"/>
                <w:color w:val="0000EE"/>
              </w:rPr>
              <w:t>Compensation Plans</w:t>
            </w:r>
          </w:p>
        </w:tc>
        <w:tc>
          <w:tcPr>
            <w:tcW w:w="2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800" w:type="dxa"/>
            <w:vAlign w:val="bottom"/>
            <w:gridSpan w:val="32"/>
          </w:tcPr>
          <w:p>
            <w:pPr>
              <w:spacing w:after="0"/>
              <w:rPr>
                <w:sz w:val="20"/>
                <w:szCs w:val="20"/>
                <w:color w:val="auto"/>
              </w:rPr>
            </w:pPr>
            <w:r>
              <w:rPr>
                <w:rFonts w:ascii="Arial" w:cs="Arial" w:eastAsia="Arial" w:hAnsi="Arial"/>
                <w:sz w:val="14"/>
                <w:szCs w:val="14"/>
                <w:color w:val="0000EE"/>
              </w:rPr>
              <w:t>Potential Payments Upon Termination or Change-in-</w:t>
            </w:r>
          </w:p>
        </w:tc>
        <w:tc>
          <w:tcPr>
            <w:tcW w:w="360" w:type="dxa"/>
            <w:vAlign w:val="bottom"/>
            <w:vMerge w:val="restart"/>
          </w:tcPr>
          <w:p>
            <w:pPr>
              <w:jc w:val="center"/>
              <w:ind w:left="8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2"/>
        </w:trPr>
        <w:tc>
          <w:tcPr>
            <w:tcW w:w="3320" w:type="dxa"/>
            <w:vAlign w:val="bottom"/>
            <w:tcBorders>
              <w:top w:val="single" w:sz="8" w:color="0000EE"/>
            </w:tcBorders>
            <w:gridSpan w:val="25"/>
          </w:tcPr>
          <w:p>
            <w:pPr>
              <w:spacing w:after="0" w:line="142" w:lineRule="exact"/>
              <w:rPr>
                <w:sz w:val="20"/>
                <w:szCs w:val="20"/>
                <w:color w:val="auto"/>
              </w:rPr>
            </w:pPr>
            <w:r>
              <w:rPr>
                <w:rFonts w:ascii="Arial" w:cs="Arial" w:eastAsia="Arial" w:hAnsi="Arial"/>
                <w:sz w:val="14"/>
                <w:szCs w:val="14"/>
                <w:color w:val="0000EE"/>
              </w:rPr>
              <w:t>Control</w:t>
            </w: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96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0000EE"/>
              </w:rPr>
              <w:t>Pay versus Performance Table</w:t>
            </w:r>
          </w:p>
        </w:tc>
        <w:tc>
          <w:tcPr>
            <w:tcW w:w="1840" w:type="dxa"/>
            <w:vAlign w:val="bottom"/>
            <w:gridSpan w:val="20"/>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318"/>
        </w:trPr>
        <w:tc>
          <w:tcPr>
            <w:tcW w:w="304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Pay versus Performance Descriptive Disclosure</w:t>
            </w:r>
          </w:p>
        </w:tc>
        <w:tc>
          <w:tcPr>
            <w:tcW w:w="760" w:type="dxa"/>
            <w:vAlign w:val="bottom"/>
            <w:gridSpan w:val="10"/>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318"/>
        </w:trPr>
        <w:tc>
          <w:tcPr>
            <w:tcW w:w="98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CEO Pay Ratio</w:t>
            </w:r>
          </w:p>
        </w:tc>
        <w:tc>
          <w:tcPr>
            <w:tcW w:w="2820" w:type="dxa"/>
            <w:vAlign w:val="bottom"/>
            <w:gridSpan w:val="28"/>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18"/>
        </w:trPr>
        <w:tc>
          <w:tcPr>
            <w:tcW w:w="170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b w:val="1"/>
                <w:bCs w:val="1"/>
                <w:color w:val="0000EE"/>
              </w:rPr>
              <w:t>Audit Committee Report</w:t>
            </w:r>
          </w:p>
        </w:tc>
        <w:tc>
          <w:tcPr>
            <w:tcW w:w="2100" w:type="dxa"/>
            <w:vAlign w:val="bottom"/>
            <w:gridSpan w:val="24"/>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425"/>
        </w:trPr>
        <w:tc>
          <w:tcPr>
            <w:tcW w:w="3800" w:type="dxa"/>
            <w:vAlign w:val="bottom"/>
            <w:gridSpan w:val="32"/>
          </w:tcPr>
          <w:p>
            <w:pPr>
              <w:spacing w:after="0"/>
              <w:rPr>
                <w:sz w:val="20"/>
                <w:szCs w:val="20"/>
                <w:color w:val="auto"/>
              </w:rPr>
            </w:pPr>
            <w:r>
              <w:rPr>
                <w:rFonts w:ascii="Arial" w:cs="Arial" w:eastAsia="Arial" w:hAnsi="Arial"/>
                <w:sz w:val="14"/>
                <w:szCs w:val="14"/>
                <w:b w:val="1"/>
                <w:bCs w:val="1"/>
                <w:color w:val="0000EE"/>
              </w:rPr>
              <w:t>Ratification Of Appointment Of KPMG LLP As The</w:t>
            </w:r>
          </w:p>
        </w:tc>
        <w:tc>
          <w:tcPr>
            <w:tcW w:w="360" w:type="dxa"/>
            <w:vAlign w:val="bottom"/>
          </w:tcPr>
          <w:p>
            <w:pPr>
              <w:jc w:val="center"/>
              <w:ind w:left="88"/>
              <w:spacing w:after="0"/>
              <w:rPr>
                <w:sz w:val="20"/>
                <w:szCs w:val="20"/>
                <w:color w:val="auto"/>
              </w:rPr>
            </w:pPr>
            <w:r>
              <w:rPr>
                <w:rFonts w:ascii="Arial" w:cs="Arial" w:eastAsia="Arial" w:hAnsi="Arial"/>
                <w:sz w:val="14"/>
                <w:szCs w:val="14"/>
                <w:b w:val="1"/>
                <w:bCs w:val="1"/>
                <w:color w:val="E56D3D"/>
              </w:rPr>
              <w:t>53</w:t>
            </w:r>
          </w:p>
        </w:tc>
        <w:tc>
          <w:tcPr>
            <w:tcW w:w="0" w:type="dxa"/>
            <w:vAlign w:val="bottom"/>
          </w:tcPr>
          <w:p>
            <w:pPr>
              <w:spacing w:after="0"/>
              <w:rPr>
                <w:sz w:val="1"/>
                <w:szCs w:val="1"/>
                <w:color w:val="auto"/>
              </w:rPr>
            </w:pPr>
          </w:p>
        </w:tc>
      </w:tr>
      <w:tr>
        <w:trPr>
          <w:trHeight w:val="142"/>
        </w:trPr>
        <w:tc>
          <w:tcPr>
            <w:tcW w:w="3420" w:type="dxa"/>
            <w:vAlign w:val="bottom"/>
            <w:tcBorders>
              <w:top w:val="single" w:sz="8" w:color="0000EE"/>
            </w:tcBorders>
            <w:gridSpan w:val="28"/>
          </w:tcPr>
          <w:p>
            <w:pPr>
              <w:spacing w:after="0" w:line="142" w:lineRule="exact"/>
              <w:rPr>
                <w:sz w:val="20"/>
                <w:szCs w:val="20"/>
                <w:color w:val="auto"/>
              </w:rPr>
            </w:pPr>
            <w:r>
              <w:rPr>
                <w:rFonts w:ascii="Arial" w:cs="Arial" w:eastAsia="Arial" w:hAnsi="Arial"/>
                <w:sz w:val="14"/>
                <w:szCs w:val="14"/>
                <w:b w:val="1"/>
                <w:bCs w:val="1"/>
                <w:color w:val="0000EE"/>
              </w:rPr>
              <w:t>Company’s Independent Registered Public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Borders>
              <w:top w:val="single" w:sz="8" w:color="0000EE"/>
            </w:tcBorders>
            <w:gridSpan w:val="19"/>
          </w:tcPr>
          <w:p>
            <w:pPr>
              <w:spacing w:after="0" w:line="142" w:lineRule="exact"/>
              <w:rPr>
                <w:sz w:val="20"/>
                <w:szCs w:val="20"/>
                <w:color w:val="auto"/>
              </w:rPr>
            </w:pPr>
            <w:r>
              <w:rPr>
                <w:rFonts w:ascii="Arial" w:cs="Arial" w:eastAsia="Arial" w:hAnsi="Arial"/>
                <w:sz w:val="14"/>
                <w:szCs w:val="14"/>
                <w:b w:val="1"/>
                <w:bCs w:val="1"/>
                <w:color w:val="0000EE"/>
              </w:rPr>
              <w:t>Accounting Firm</w:t>
            </w:r>
          </w:p>
        </w:tc>
        <w:tc>
          <w:tcPr>
            <w:tcW w:w="80" w:type="dxa"/>
            <w:vAlign w:val="bottom"/>
            <w:gridSpan w:val="2"/>
          </w:tcPr>
          <w:p>
            <w:pPr>
              <w:spacing w:after="0"/>
              <w:rPr>
                <w:sz w:val="12"/>
                <w:szCs w:val="12"/>
                <w:color w:val="auto"/>
              </w:rPr>
            </w:pPr>
          </w:p>
        </w:tc>
        <w:tc>
          <w:tcPr>
            <w:tcW w:w="340" w:type="dxa"/>
            <w:vAlign w:val="bottom"/>
            <w:gridSpan w:val="5"/>
          </w:tcPr>
          <w:p>
            <w:pPr>
              <w:spacing w:after="0"/>
              <w:rPr>
                <w:sz w:val="12"/>
                <w:szCs w:val="12"/>
                <w:color w:val="auto"/>
              </w:rPr>
            </w:pPr>
          </w:p>
        </w:tc>
        <w:tc>
          <w:tcPr>
            <w:tcW w:w="18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800" w:type="dxa"/>
            <w:vAlign w:val="bottom"/>
            <w:gridSpan w:val="32"/>
          </w:tcPr>
          <w:p>
            <w:pPr>
              <w:spacing w:after="0"/>
              <w:rPr>
                <w:sz w:val="20"/>
                <w:szCs w:val="20"/>
                <w:color w:val="auto"/>
              </w:rPr>
            </w:pPr>
            <w:r>
              <w:rPr>
                <w:rFonts w:ascii="Arial" w:cs="Arial" w:eastAsia="Arial" w:hAnsi="Arial"/>
                <w:sz w:val="14"/>
                <w:szCs w:val="14"/>
                <w:b w:val="1"/>
                <w:bCs w:val="1"/>
                <w:color w:val="0000EE"/>
              </w:rPr>
              <w:t>Beneficial Ownership</w:t>
            </w:r>
          </w:p>
        </w:tc>
        <w:tc>
          <w:tcPr>
            <w:tcW w:w="360" w:type="dxa"/>
            <w:vAlign w:val="bottom"/>
          </w:tcPr>
          <w:p>
            <w:pPr>
              <w:jc w:val="center"/>
              <w:ind w:left="88"/>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color w:val="0000EE"/>
              </w:rPr>
              <w:t>Beneficial Ownership of Principal Shareholders</w:t>
            </w:r>
          </w:p>
        </w:tc>
        <w:tc>
          <w:tcPr>
            <w:tcW w:w="800" w:type="dxa"/>
            <w:vAlign w:val="bottom"/>
            <w:gridSpan w:val="11"/>
          </w:tcPr>
          <w:p>
            <w:pPr>
              <w:spacing w:after="0"/>
              <w:rPr>
                <w:sz w:val="24"/>
                <w:szCs w:val="24"/>
                <w:color w:val="auto"/>
              </w:rPr>
            </w:pP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331"/>
        </w:trPr>
        <w:tc>
          <w:tcPr>
            <w:tcW w:w="3800" w:type="dxa"/>
            <w:vAlign w:val="bottom"/>
            <w:gridSpan w:val="32"/>
          </w:tcPr>
          <w:p>
            <w:pPr>
              <w:spacing w:after="0"/>
              <w:rPr>
                <w:sz w:val="20"/>
                <w:szCs w:val="20"/>
                <w:color w:val="auto"/>
              </w:rPr>
            </w:pPr>
            <w:r>
              <w:rPr>
                <w:rFonts w:ascii="Arial" w:cs="Arial" w:eastAsia="Arial" w:hAnsi="Arial"/>
                <w:sz w:val="14"/>
                <w:szCs w:val="14"/>
                <w:color w:val="0000EE"/>
              </w:rPr>
              <w:t>Beneficial Ownership of Directors and Executive Officers</w:t>
            </w:r>
          </w:p>
        </w:tc>
        <w:tc>
          <w:tcPr>
            <w:tcW w:w="360" w:type="dxa"/>
            <w:vAlign w:val="bottom"/>
          </w:tcPr>
          <w:p>
            <w:pPr>
              <w:jc w:val="center"/>
              <w:ind w:left="8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600" w:type="dxa"/>
            <w:vAlign w:val="bottom"/>
            <w:tcBorders>
              <w:left w:val="single" w:sz="8" w:color="0000EE"/>
            </w:tcBorders>
            <w:gridSpan w:val="12"/>
            <w:shd w:val="clear" w:color="auto" w:fill="0000EE"/>
          </w:tcPr>
          <w:p>
            <w:pPr>
              <w:spacing w:after="0" w:line="20" w:lineRule="exact"/>
              <w:rPr>
                <w:sz w:val="1"/>
                <w:szCs w:val="1"/>
                <w:color w:val="auto"/>
              </w:rPr>
            </w:pPr>
          </w:p>
        </w:tc>
        <w:tc>
          <w:tcPr>
            <w:tcW w:w="480" w:type="dxa"/>
            <w:vAlign w:val="bottom"/>
            <w:gridSpan w:val="8"/>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gridSpan w:val="32"/>
          </w:tcPr>
          <w:p>
            <w:pPr>
              <w:spacing w:after="0"/>
              <w:rPr>
                <w:sz w:val="20"/>
                <w:szCs w:val="20"/>
                <w:color w:val="auto"/>
              </w:rPr>
            </w:pPr>
            <w:r>
              <w:rPr>
                <w:rFonts w:ascii="Arial" w:cs="Arial" w:eastAsia="Arial" w:hAnsi="Arial"/>
                <w:sz w:val="14"/>
                <w:szCs w:val="14"/>
                <w:b w:val="1"/>
                <w:bCs w:val="1"/>
                <w:color w:val="0000EE"/>
              </w:rPr>
              <w:t>Shareholder Proposals and Communications with the</w:t>
            </w:r>
          </w:p>
        </w:tc>
        <w:tc>
          <w:tcPr>
            <w:tcW w:w="360" w:type="dxa"/>
            <w:vAlign w:val="bottom"/>
          </w:tcPr>
          <w:p>
            <w:pPr>
              <w:jc w:val="center"/>
              <w:ind w:left="88"/>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42"/>
        </w:trPr>
        <w:tc>
          <w:tcPr>
            <w:tcW w:w="3660" w:type="dxa"/>
            <w:vAlign w:val="bottom"/>
            <w:tcBorders>
              <w:top w:val="single" w:sz="8" w:color="0000EE"/>
            </w:tcBorders>
            <w:gridSpan w:val="31"/>
          </w:tcPr>
          <w:p>
            <w:pPr>
              <w:spacing w:after="0" w:line="142" w:lineRule="exact"/>
              <w:rPr>
                <w:sz w:val="20"/>
                <w:szCs w:val="20"/>
                <w:color w:val="auto"/>
              </w:rPr>
            </w:pPr>
            <w:r>
              <w:rPr>
                <w:rFonts w:ascii="Arial" w:cs="Arial" w:eastAsia="Arial" w:hAnsi="Arial"/>
                <w:sz w:val="14"/>
                <w:szCs w:val="14"/>
                <w:b w:val="1"/>
                <w:bCs w:val="1"/>
                <w:color w:val="0000EE"/>
              </w:rPr>
              <w:t>Board of Directors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600" w:type="dxa"/>
            <w:vAlign w:val="bottom"/>
            <w:gridSpan w:val="12"/>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gridSpan w:val="32"/>
          </w:tcPr>
          <w:p>
            <w:pPr>
              <w:spacing w:after="0"/>
              <w:rPr>
                <w:sz w:val="20"/>
                <w:szCs w:val="20"/>
                <w:color w:val="auto"/>
              </w:rPr>
            </w:pPr>
            <w:r>
              <w:rPr>
                <w:rFonts w:ascii="Arial" w:cs="Arial" w:eastAsia="Arial" w:hAnsi="Arial"/>
                <w:sz w:val="14"/>
                <w:szCs w:val="14"/>
                <w:b w:val="1"/>
                <w:bCs w:val="1"/>
                <w:color w:val="0000EE"/>
              </w:rPr>
              <w:t>Frequently Asked Questions Regarding Our Annual</w:t>
            </w:r>
          </w:p>
        </w:tc>
        <w:tc>
          <w:tcPr>
            <w:tcW w:w="360" w:type="dxa"/>
            <w:vAlign w:val="bottom"/>
          </w:tcPr>
          <w:p>
            <w:pPr>
              <w:jc w:val="center"/>
              <w:ind w:left="88"/>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142"/>
        </w:trPr>
        <w:tc>
          <w:tcPr>
            <w:tcW w:w="3520" w:type="dxa"/>
            <w:vAlign w:val="bottom"/>
            <w:tcBorders>
              <w:top w:val="single" w:sz="8" w:color="0000EE"/>
            </w:tcBorders>
            <w:gridSpan w:val="29"/>
          </w:tcPr>
          <w:p>
            <w:pPr>
              <w:spacing w:after="0" w:line="142" w:lineRule="exact"/>
              <w:rPr>
                <w:sz w:val="20"/>
                <w:szCs w:val="20"/>
                <w:color w:val="auto"/>
              </w:rPr>
            </w:pPr>
            <w:r>
              <w:rPr>
                <w:rFonts w:ascii="Arial" w:cs="Arial" w:eastAsia="Arial" w:hAnsi="Arial"/>
                <w:sz w:val="14"/>
                <w:szCs w:val="14"/>
                <w:b w:val="1"/>
                <w:bCs w:val="1"/>
                <w:color w:val="0000EE"/>
              </w:rPr>
              <w:t>Meeting</w:t>
            </w:r>
          </w:p>
        </w:tc>
        <w:tc>
          <w:tcPr>
            <w:tcW w:w="280" w:type="dxa"/>
            <w:vAlign w:val="bottom"/>
            <w:gridSpan w:val="3"/>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320" w:type="dxa"/>
            <w:vAlign w:val="bottom"/>
            <w:gridSpan w:val="16"/>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gridSpan w:val="32"/>
          </w:tcPr>
          <w:p>
            <w:pPr>
              <w:spacing w:after="0"/>
              <w:rPr>
                <w:sz w:val="20"/>
                <w:szCs w:val="20"/>
                <w:color w:val="auto"/>
              </w:rPr>
            </w:pPr>
            <w:r>
              <w:rPr>
                <w:rFonts w:ascii="Arial" w:cs="Arial" w:eastAsia="Arial" w:hAnsi="Arial"/>
                <w:sz w:val="14"/>
                <w:szCs w:val="14"/>
                <w:b w:val="1"/>
                <w:bCs w:val="1"/>
                <w:color w:val="0000EE"/>
              </w:rPr>
              <w:t>Appendix A — Definitions and Reconciliations of</w:t>
            </w:r>
          </w:p>
        </w:tc>
        <w:tc>
          <w:tcPr>
            <w:tcW w:w="36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A-1</w:t>
            </w:r>
          </w:p>
        </w:tc>
        <w:tc>
          <w:tcPr>
            <w:tcW w:w="0" w:type="dxa"/>
            <w:vAlign w:val="bottom"/>
          </w:tcPr>
          <w:p>
            <w:pPr>
              <w:spacing w:after="0"/>
              <w:rPr>
                <w:sz w:val="1"/>
                <w:szCs w:val="1"/>
                <w:color w:val="auto"/>
              </w:rPr>
            </w:pPr>
          </w:p>
        </w:tc>
      </w:tr>
      <w:tr>
        <w:trPr>
          <w:trHeight w:val="142"/>
        </w:trPr>
        <w:tc>
          <w:tcPr>
            <w:tcW w:w="2860" w:type="dxa"/>
            <w:vAlign w:val="bottom"/>
            <w:tcBorders>
              <w:top w:val="single" w:sz="8" w:color="0000EE"/>
              <w:bottom w:val="single" w:sz="8" w:color="0000EE"/>
            </w:tcBorders>
            <w:gridSpan w:val="18"/>
          </w:tcPr>
          <w:p>
            <w:pPr>
              <w:spacing w:after="0" w:line="142" w:lineRule="exact"/>
              <w:rPr>
                <w:sz w:val="20"/>
                <w:szCs w:val="20"/>
                <w:color w:val="auto"/>
              </w:rPr>
            </w:pPr>
            <w:r>
              <w:rPr>
                <w:rFonts w:ascii="Arial" w:cs="Arial" w:eastAsia="Arial" w:hAnsi="Arial"/>
                <w:sz w:val="14"/>
                <w:szCs w:val="14"/>
                <w:b w:val="1"/>
                <w:bCs w:val="1"/>
                <w:color w:val="0000EE"/>
              </w:rPr>
              <w:t>GAAP and Non-GAAP Financial Measures</w:t>
            </w:r>
          </w:p>
        </w:tc>
        <w:tc>
          <w:tcPr>
            <w:tcW w:w="480" w:type="dxa"/>
            <w:vAlign w:val="bottom"/>
            <w:tcBorders>
              <w:top w:val="single" w:sz="8" w:color="0000EE"/>
            </w:tcBorders>
            <w:gridSpan w:val="8"/>
          </w:tcPr>
          <w:p>
            <w:pPr>
              <w:spacing w:after="0"/>
              <w:rPr>
                <w:sz w:val="12"/>
                <w:szCs w:val="12"/>
                <w:color w:val="auto"/>
              </w:rPr>
            </w:pPr>
          </w:p>
        </w:tc>
        <w:tc>
          <w:tcPr>
            <w:tcW w:w="460" w:type="dxa"/>
            <w:vAlign w:val="bottom"/>
            <w:gridSpan w:val="6"/>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-1885315</wp:posOffset>
            </wp:positionV>
            <wp:extent cx="514350"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1711" w:lineRule="exact"/>
        <w:rPr>
          <w:sz w:val="20"/>
          <w:szCs w:val="20"/>
          <w:color w:val="auto"/>
        </w:rPr>
      </w:pPr>
    </w:p>
    <w:p>
      <w:pPr>
        <w:sectPr>
          <w:pgSz w:w="11900" w:h="16838" w:orient="portrait"/>
          <w:cols w:equalWidth="0" w:num="2">
            <w:col w:w="6200" w:space="720"/>
            <w:col w:w="4160"/>
          </w:cols>
          <w:pgMar w:left="320" w:top="482" w:right="499" w:bottom="1440" w:gutter="0" w:footer="0" w:header="0"/>
        </w:sectPr>
      </w:pPr>
    </w:p>
    <w:p>
      <w:pPr>
        <w:spacing w:after="0" w:line="132"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ii</w:t>
      </w:r>
      <w:r>
        <w:rPr>
          <w:rFonts w:ascii="Arial" w:cs="Arial" w:eastAsia="Arial" w:hAnsi="Arial"/>
          <w:sz w:val="12"/>
          <w:szCs w:val="12"/>
          <w:color w:val="auto"/>
        </w:rPr>
        <w:t xml:space="preserve"> </w:t>
      </w:r>
      <w:r>
        <w:rPr>
          <w:rFonts w:ascii="Arial" w:cs="Arial" w:eastAsia="Arial" w:hAnsi="Arial"/>
          <w:sz w:val="16"/>
          <w:szCs w:val="16"/>
          <w:color w:val="6A6E6F"/>
        </w:rPr>
        <w:t>|</w:t>
      </w:r>
      <w:r>
        <w:rPr>
          <w:rFonts w:ascii="Arial" w:cs="Arial" w:eastAsia="Arial" w:hAnsi="Arial"/>
          <w:sz w:val="12"/>
          <w:szCs w:val="12"/>
          <w:color w:val="6A6E6F"/>
        </w:rPr>
        <w:t> REGENCY CENTERS </w:t>
      </w:r>
      <w:r>
        <w:rPr>
          <w:rFonts w:ascii="Arial" w:cs="Arial" w:eastAsia="Arial" w:hAnsi="Arial"/>
          <w:sz w:val="16"/>
          <w:szCs w:val="16"/>
          <w:color w:val="6A6E6F"/>
        </w:rPr>
        <w:t>|</w:t>
      </w:r>
      <w:r>
        <w:rPr>
          <w:rFonts w:ascii="Arial" w:cs="Arial" w:eastAsia="Arial" w:hAnsi="Arial"/>
          <w:sz w:val="12"/>
          <w:szCs w:val="12"/>
          <w:color w:val="6A6E6F"/>
        </w:rPr>
        <w:t> 2026 PROXY STATEMENT</w:t>
      </w:r>
    </w:p>
    <w:p>
      <w:pPr>
        <w:sectPr>
          <w:pgSz w:w="11900" w:h="16838" w:orient="portrait"/>
          <w:cols w:equalWidth="0" w:num="1">
            <w:col w:w="11080"/>
          </w:cols>
          <w:pgMar w:left="320" w:top="482" w:right="4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Table of Contents </w:t>
      </w:r>
      <w:r>
        <w:rPr>
          <w:rFonts w:ascii="Arial" w:cs="Arial" w:eastAsia="Arial" w:hAnsi="Arial"/>
          <w:sz w:val="19"/>
          <w:szCs w:val="19"/>
          <w:b w:val="1"/>
          <w:bCs w:val="1"/>
          <w:color w:val="E56D3D"/>
        </w:rPr>
        <w: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Forward-Looking Statements</w:t>
      </w:r>
    </w:p>
    <w:p>
      <w:pPr>
        <w:spacing w:after="0" w:line="72"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 factors, including, without limitation, risk factors relating to:</w:t>
      </w:r>
    </w:p>
    <w:p>
      <w:pPr>
        <w:spacing w:after="0" w:line="95" w:lineRule="exact"/>
        <w:rPr>
          <w:sz w:val="20"/>
          <w:szCs w:val="20"/>
          <w:color w:val="auto"/>
        </w:rPr>
      </w:pPr>
    </w:p>
    <w:p>
      <w:pPr>
        <w:ind w:left="660" w:hanging="22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Current Economic and Geopolitical Environment</w:t>
      </w:r>
    </w:p>
    <w:p>
      <w:pPr>
        <w:spacing w:after="0" w:line="21" w:lineRule="exact"/>
        <w:rPr>
          <w:rFonts w:ascii="Arial" w:cs="Arial" w:eastAsia="Arial" w:hAnsi="Arial"/>
          <w:sz w:val="16"/>
          <w:szCs w:val="16"/>
          <w:color w:val="auto"/>
        </w:rPr>
      </w:pPr>
    </w:p>
    <w:p>
      <w:pPr>
        <w:ind w:left="660" w:hanging="22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Pandemics or Other Health Crises</w:t>
      </w:r>
    </w:p>
    <w:p>
      <w:pPr>
        <w:spacing w:after="0" w:line="5" w:lineRule="exact"/>
        <w:rPr>
          <w:rFonts w:ascii="Arial" w:cs="Arial" w:eastAsia="Arial" w:hAnsi="Arial"/>
          <w:sz w:val="16"/>
          <w:szCs w:val="16"/>
          <w:color w:val="auto"/>
        </w:rPr>
      </w:pPr>
    </w:p>
    <w:p>
      <w:pPr>
        <w:ind w:left="660" w:hanging="22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Retail-Based Shopping Centers</w:t>
      </w:r>
    </w:p>
    <w:p>
      <w:pPr>
        <w:spacing w:after="0" w:line="5" w:lineRule="exact"/>
        <w:rPr>
          <w:rFonts w:ascii="Arial" w:cs="Arial" w:eastAsia="Arial" w:hAnsi="Arial"/>
          <w:sz w:val="16"/>
          <w:szCs w:val="16"/>
          <w:color w:val="auto"/>
        </w:rPr>
      </w:pPr>
    </w:p>
    <w:p>
      <w:pPr>
        <w:ind w:left="660" w:hanging="22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Real Estate Investments</w:t>
      </w:r>
    </w:p>
    <w:p>
      <w:pPr>
        <w:spacing w:after="0" w:line="5" w:lineRule="exact"/>
        <w:rPr>
          <w:rFonts w:ascii="Arial" w:cs="Arial" w:eastAsia="Arial" w:hAnsi="Arial"/>
          <w:sz w:val="16"/>
          <w:szCs w:val="16"/>
          <w:color w:val="auto"/>
        </w:rPr>
      </w:pPr>
    </w:p>
    <w:p>
      <w:pPr>
        <w:ind w:left="660" w:hanging="22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Environment Affecting Our Properties</w:t>
      </w:r>
    </w:p>
    <w:p>
      <w:pPr>
        <w:spacing w:after="0" w:line="5" w:lineRule="exact"/>
        <w:rPr>
          <w:rFonts w:ascii="Arial" w:cs="Arial" w:eastAsia="Arial" w:hAnsi="Arial"/>
          <w:sz w:val="16"/>
          <w:szCs w:val="16"/>
          <w:color w:val="auto"/>
        </w:rPr>
      </w:pPr>
    </w:p>
    <w:p>
      <w:pPr>
        <w:ind w:left="660" w:hanging="22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Corporate Matters</w:t>
      </w:r>
    </w:p>
    <w:p>
      <w:pPr>
        <w:spacing w:after="0" w:line="5" w:lineRule="exact"/>
        <w:rPr>
          <w:rFonts w:ascii="Arial" w:cs="Arial" w:eastAsia="Arial" w:hAnsi="Arial"/>
          <w:sz w:val="16"/>
          <w:szCs w:val="16"/>
          <w:color w:val="auto"/>
        </w:rPr>
      </w:pPr>
    </w:p>
    <w:p>
      <w:pPr>
        <w:ind w:left="660" w:hanging="22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Partnerships and Joint Ventures</w:t>
      </w:r>
    </w:p>
    <w:p>
      <w:pPr>
        <w:spacing w:after="0" w:line="5" w:lineRule="exact"/>
        <w:rPr>
          <w:rFonts w:ascii="Arial" w:cs="Arial" w:eastAsia="Arial" w:hAnsi="Arial"/>
          <w:sz w:val="16"/>
          <w:szCs w:val="16"/>
          <w:color w:val="auto"/>
        </w:rPr>
      </w:pPr>
    </w:p>
    <w:p>
      <w:pPr>
        <w:ind w:left="660" w:hanging="22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Funding Strategies and Capital Structure</w:t>
      </w:r>
    </w:p>
    <w:p>
      <w:pPr>
        <w:spacing w:after="0" w:line="5" w:lineRule="exact"/>
        <w:rPr>
          <w:rFonts w:ascii="Arial" w:cs="Arial" w:eastAsia="Arial" w:hAnsi="Arial"/>
          <w:sz w:val="16"/>
          <w:szCs w:val="16"/>
          <w:color w:val="auto"/>
        </w:rPr>
      </w:pPr>
    </w:p>
    <w:p>
      <w:pPr>
        <w:ind w:left="660" w:hanging="22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Management and Technology</w:t>
      </w:r>
    </w:p>
    <w:p>
      <w:pPr>
        <w:spacing w:after="0" w:line="5" w:lineRule="exact"/>
        <w:rPr>
          <w:rFonts w:ascii="Arial" w:cs="Arial" w:eastAsia="Arial" w:hAnsi="Arial"/>
          <w:sz w:val="16"/>
          <w:szCs w:val="16"/>
          <w:color w:val="auto"/>
        </w:rPr>
      </w:pPr>
    </w:p>
    <w:p>
      <w:pPr>
        <w:ind w:left="660" w:hanging="22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Taxes and the Parent Company’s Qualification as a real estate investment trust (“REIT”)</w:t>
      </w:r>
    </w:p>
    <w:p>
      <w:pPr>
        <w:spacing w:after="0" w:line="5" w:lineRule="exact"/>
        <w:rPr>
          <w:rFonts w:ascii="Arial" w:cs="Arial" w:eastAsia="Arial" w:hAnsi="Arial"/>
          <w:sz w:val="16"/>
          <w:szCs w:val="16"/>
          <w:color w:val="auto"/>
        </w:rPr>
      </w:pPr>
    </w:p>
    <w:p>
      <w:pPr>
        <w:ind w:left="660" w:hanging="22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Company’s Stock,</w:t>
      </w:r>
    </w:p>
    <w:p>
      <w:pPr>
        <w:spacing w:after="0" w:line="20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as more specifically described in “Item 1A. Risk Factors” of the Company’s most recent Annual Report on Form 10-K (the “Annual Report”). When considering an investment in our securities, you should carefully read the risk factors described in Item 1A and consider these risks, together with all other information in our Annual Report, Quarterly Reports on Form 10-Q (the “Quarterly Reports”), and our other filings with and submissions to the Securities and Exchange Commission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and to the extent required by law.</w:t>
      </w:r>
    </w:p>
    <w:p>
      <w:pPr>
        <w:spacing w:after="0" w:line="181" w:lineRule="exact"/>
        <w:rPr>
          <w:sz w:val="20"/>
          <w:szCs w:val="20"/>
          <w:color w:val="auto"/>
        </w:rPr>
      </w:pPr>
    </w:p>
    <w:p>
      <w:pPr>
        <w:ind w:left="120" w:right="200"/>
        <w:spacing w:after="0" w:line="254" w:lineRule="auto"/>
        <w:rPr>
          <w:sz w:val="20"/>
          <w:szCs w:val="20"/>
          <w:color w:val="auto"/>
        </w:rPr>
      </w:pPr>
      <w:r>
        <w:rPr>
          <w:rFonts w:ascii="Arial" w:cs="Arial" w:eastAsia="Arial" w:hAnsi="Arial"/>
          <w:sz w:val="16"/>
          <w:szCs w:val="16"/>
          <w:color w:val="auto"/>
        </w:rPr>
        <w:t>Certain forward-looking and other statements in the Annual Report, Quarterly Reports, or other locations, such as on our corporate website, may also contain references to various corporate responsibility or environmental, social, and governance (“ESG”) standards and frameworks, which are used or followed by certain of our investors. These standards and frameworks are often reliant on third-party information or methodologies that are subject to evolving expectations and practices, and our approach to and discussion of these matters may continue to evolve as well. For example, our disclosures may change due to changes in the expectations of our investors, the requirements of these standards and frameworks, availability of information, our business, applicable governmental law or policies, or other factors, some of which may be beyond our control.</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3"/>
          <w:szCs w:val="13"/>
          <w:color w:val="6A6E6F"/>
        </w:rPr>
        <w:t>REGENCY CENTERS </w:t>
      </w:r>
      <w:r>
        <w:rPr>
          <w:rFonts w:ascii="Arial" w:cs="Arial" w:eastAsia="Arial" w:hAnsi="Arial"/>
          <w:sz w:val="17"/>
          <w:szCs w:val="17"/>
          <w:color w:val="6A6E6F"/>
        </w:rPr>
        <w:t>|</w:t>
      </w:r>
      <w:r>
        <w:rPr>
          <w:rFonts w:ascii="Arial" w:cs="Arial" w:eastAsia="Arial" w:hAnsi="Arial"/>
          <w:sz w:val="13"/>
          <w:szCs w:val="13"/>
          <w:color w:val="6A6E6F"/>
        </w:rPr>
        <w:t> 2026 PROXY STATEMENT </w:t>
      </w:r>
      <w:r>
        <w:rPr>
          <w:rFonts w:ascii="Arial" w:cs="Arial" w:eastAsia="Arial" w:hAnsi="Arial"/>
          <w:sz w:val="17"/>
          <w:szCs w:val="17"/>
          <w:color w:val="6A6E6F"/>
        </w:rPr>
        <w:t>|</w:t>
      </w:r>
      <w:r>
        <w:rPr>
          <w:rFonts w:ascii="Arial" w:cs="Arial" w:eastAsia="Arial" w:hAnsi="Arial"/>
          <w:sz w:val="13"/>
          <w:szCs w:val="13"/>
          <w:color w:val="000000"/>
        </w:rPr>
        <w:t xml:space="preserve"> </w:t>
      </w:r>
      <w:r>
        <w:rPr>
          <w:rFonts w:ascii="Arial" w:cs="Arial" w:eastAsia="Arial" w:hAnsi="Arial"/>
          <w:sz w:val="13"/>
          <w:szCs w:val="13"/>
          <w:b w:val="1"/>
          <w:bCs w:val="1"/>
          <w:color w:val="000000"/>
        </w:rPr>
        <w:t>iii</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200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4"/>
          <w:szCs w:val="54"/>
          <w:b w:val="1"/>
          <w:bCs w:val="1"/>
          <w:color w:val="FFFFFF"/>
        </w:rPr>
        <w:t>   Proxy Summary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In this proxy statement, the terms “we,” “our,” “us,” “the Company,” “Regency Centers,” and “Regency” refer to Regency Centers Corporation. In this proxy summary, we present an overview of information that you will find throughout this proxy statement. As this is only a summary, we strongly encourage you to read the entire proxy statement for more information about these topics prior to voting.</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Voting Matters</w:t>
      </w:r>
    </w:p>
    <w:p>
      <w:pPr>
        <w:spacing w:after="0" w:line="112"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The following table summarizes the proposals to be voted on prior to or at our 2026 Annual Meeting of Shareholders of Regency Centers and the voting recommendations of our Board of Directors (our “Board”) with respect to each proposal.</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80" w:type="dxa"/>
            <w:vAlign w:val="bottom"/>
          </w:tcPr>
          <w:p>
            <w:pPr>
              <w:spacing w:after="0"/>
              <w:rPr>
                <w:sz w:val="14"/>
                <w:szCs w:val="14"/>
                <w:color w:val="auto"/>
              </w:rPr>
            </w:pPr>
          </w:p>
        </w:tc>
        <w:tc>
          <w:tcPr>
            <w:tcW w:w="2420" w:type="dxa"/>
            <w:vAlign w:val="bottom"/>
          </w:tcPr>
          <w:p>
            <w:pPr>
              <w:jc w:val="center"/>
              <w:ind w:left="328"/>
              <w:spacing w:after="0"/>
              <w:rPr>
                <w:sz w:val="20"/>
                <w:szCs w:val="20"/>
                <w:color w:val="auto"/>
              </w:rPr>
            </w:pPr>
            <w:r>
              <w:rPr>
                <w:rFonts w:ascii="Arial" w:cs="Arial" w:eastAsia="Arial" w:hAnsi="Arial"/>
                <w:sz w:val="14"/>
                <w:szCs w:val="14"/>
                <w:b w:val="1"/>
                <w:bCs w:val="1"/>
                <w:color w:val="6A6E6F"/>
              </w:rPr>
              <w:t>BOARD’S VOTING</w:t>
            </w: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6A6E6F"/>
              </w:rPr>
              <w:t>PAGE</w:t>
            </w:r>
          </w:p>
        </w:tc>
      </w:tr>
      <w:tr>
        <w:trPr>
          <w:trHeight w:val="196"/>
        </w:trPr>
        <w:tc>
          <w:tcPr>
            <w:tcW w:w="7380" w:type="dxa"/>
            <w:vAlign w:val="bottom"/>
          </w:tcPr>
          <w:p>
            <w:pPr>
              <w:ind w:left="60"/>
              <w:spacing w:after="0"/>
              <w:rPr>
                <w:sz w:val="20"/>
                <w:szCs w:val="20"/>
                <w:color w:val="auto"/>
              </w:rPr>
            </w:pPr>
            <w:r>
              <w:rPr>
                <w:rFonts w:ascii="Arial" w:cs="Arial" w:eastAsia="Arial" w:hAnsi="Arial"/>
                <w:sz w:val="14"/>
                <w:szCs w:val="14"/>
                <w:b w:val="1"/>
                <w:bCs w:val="1"/>
                <w:color w:val="6A6E6F"/>
              </w:rPr>
              <w:t>PROPOSAL</w:t>
            </w:r>
          </w:p>
        </w:tc>
        <w:tc>
          <w:tcPr>
            <w:tcW w:w="2420" w:type="dxa"/>
            <w:vAlign w:val="bottom"/>
          </w:tcPr>
          <w:p>
            <w:pPr>
              <w:jc w:val="center"/>
              <w:ind w:left="308"/>
              <w:spacing w:after="0"/>
              <w:rPr>
                <w:sz w:val="20"/>
                <w:szCs w:val="20"/>
                <w:color w:val="auto"/>
              </w:rPr>
            </w:pPr>
            <w:r>
              <w:rPr>
                <w:rFonts w:ascii="Arial" w:cs="Arial" w:eastAsia="Arial" w:hAnsi="Arial"/>
                <w:sz w:val="14"/>
                <w:szCs w:val="14"/>
                <w:b w:val="1"/>
                <w:bCs w:val="1"/>
                <w:color w:val="6A6E6F"/>
              </w:rPr>
              <w:t>RECOMMENDATION</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6A6E6F"/>
              </w:rPr>
              <w:t>REFERENCE</w:t>
            </w:r>
          </w:p>
        </w:tc>
      </w:tr>
      <w:tr>
        <w:trPr>
          <w:trHeight w:val="43"/>
        </w:trPr>
        <w:tc>
          <w:tcPr>
            <w:tcW w:w="7380" w:type="dxa"/>
            <w:vAlign w:val="bottom"/>
            <w:tcBorders>
              <w:bottom w:val="single" w:sz="8" w:color="E56D3D"/>
            </w:tcBorders>
          </w:tcPr>
          <w:p>
            <w:pPr>
              <w:spacing w:after="0"/>
              <w:rPr>
                <w:sz w:val="3"/>
                <w:szCs w:val="3"/>
                <w:color w:val="auto"/>
              </w:rPr>
            </w:pPr>
          </w:p>
        </w:tc>
        <w:tc>
          <w:tcPr>
            <w:tcW w:w="2420" w:type="dxa"/>
            <w:vAlign w:val="bottom"/>
            <w:tcBorders>
              <w:bottom w:val="single" w:sz="8" w:color="E56D3D"/>
            </w:tcBorders>
          </w:tcPr>
          <w:p>
            <w:pPr>
              <w:spacing w:after="0"/>
              <w:rPr>
                <w:sz w:val="3"/>
                <w:szCs w:val="3"/>
                <w:color w:val="auto"/>
              </w:rPr>
            </w:pPr>
          </w:p>
        </w:tc>
        <w:tc>
          <w:tcPr>
            <w:tcW w:w="1220" w:type="dxa"/>
            <w:vAlign w:val="bottom"/>
            <w:tcBorders>
              <w:bottom w:val="single" w:sz="8" w:color="E56D3D"/>
            </w:tcBorders>
          </w:tcPr>
          <w:p>
            <w:pPr>
              <w:spacing w:after="0"/>
              <w:rPr>
                <w:sz w:val="3"/>
                <w:szCs w:val="3"/>
                <w:color w:val="auto"/>
              </w:rPr>
            </w:pPr>
          </w:p>
        </w:tc>
      </w:tr>
      <w:tr>
        <w:trPr>
          <w:trHeight w:val="200"/>
        </w:trPr>
        <w:tc>
          <w:tcPr>
            <w:tcW w:w="7380" w:type="dxa"/>
            <w:vAlign w:val="bottom"/>
          </w:tcPr>
          <w:p>
            <w:pPr>
              <w:ind w:left="60"/>
              <w:spacing w:after="0"/>
              <w:rPr>
                <w:sz w:val="20"/>
                <w:szCs w:val="20"/>
                <w:color w:val="auto"/>
              </w:rPr>
            </w:pPr>
            <w:r>
              <w:rPr>
                <w:rFonts w:ascii="Arial" w:cs="Arial" w:eastAsia="Arial" w:hAnsi="Arial"/>
                <w:sz w:val="14"/>
                <w:szCs w:val="14"/>
                <w:b w:val="1"/>
                <w:bCs w:val="1"/>
                <w:color w:val="auto"/>
              </w:rPr>
              <w:t>Proposal 1:</w:t>
            </w:r>
          </w:p>
        </w:tc>
        <w:tc>
          <w:tcPr>
            <w:tcW w:w="2420" w:type="dxa"/>
            <w:vAlign w:val="bottom"/>
          </w:tcPr>
          <w:p>
            <w:pPr>
              <w:jc w:val="center"/>
              <w:ind w:left="428"/>
              <w:spacing w:after="0"/>
              <w:rPr>
                <w:sz w:val="20"/>
                <w:szCs w:val="20"/>
                <w:color w:val="auto"/>
              </w:rPr>
            </w:pPr>
            <w:r>
              <w:rPr>
                <w:rFonts w:ascii="Arial" w:cs="Arial" w:eastAsia="Arial" w:hAnsi="Arial"/>
                <w:sz w:val="14"/>
                <w:szCs w:val="14"/>
                <w:color w:val="auto"/>
              </w:rPr>
              <w:t>FOR Each Nominee</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8</w:t>
            </w:r>
          </w:p>
        </w:tc>
      </w:tr>
      <w:tr>
        <w:trPr>
          <w:trHeight w:val="190"/>
        </w:trPr>
        <w:tc>
          <w:tcPr>
            <w:tcW w:w="7380" w:type="dxa"/>
            <w:vAlign w:val="bottom"/>
          </w:tcPr>
          <w:p>
            <w:pPr>
              <w:ind w:left="60"/>
              <w:spacing w:after="0"/>
              <w:rPr>
                <w:sz w:val="20"/>
                <w:szCs w:val="20"/>
                <w:color w:val="auto"/>
              </w:rPr>
            </w:pPr>
            <w:r>
              <w:rPr>
                <w:rFonts w:ascii="Arial" w:cs="Arial" w:eastAsia="Arial" w:hAnsi="Arial"/>
                <w:sz w:val="14"/>
                <w:szCs w:val="14"/>
                <w:color w:val="auto"/>
              </w:rPr>
              <w:t>Election of our Board’s 11 nominees for director to each serve for a one-year term.</w:t>
            </w:r>
          </w:p>
        </w:tc>
        <w:tc>
          <w:tcPr>
            <w:tcW w:w="2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62"/>
        </w:trPr>
        <w:tc>
          <w:tcPr>
            <w:tcW w:w="7380" w:type="dxa"/>
            <w:vAlign w:val="bottom"/>
            <w:tcBorders>
              <w:bottom w:val="single" w:sz="8" w:color="B2B2B2"/>
            </w:tcBorders>
          </w:tcPr>
          <w:p>
            <w:pPr>
              <w:spacing w:after="0"/>
              <w:rPr>
                <w:sz w:val="5"/>
                <w:szCs w:val="5"/>
                <w:color w:val="auto"/>
              </w:rPr>
            </w:pPr>
          </w:p>
        </w:tc>
        <w:tc>
          <w:tcPr>
            <w:tcW w:w="2420" w:type="dxa"/>
            <w:vAlign w:val="bottom"/>
            <w:tcBorders>
              <w:bottom w:val="single" w:sz="8" w:color="B2B2B2"/>
            </w:tcBorders>
          </w:tcPr>
          <w:p>
            <w:pPr>
              <w:spacing w:after="0"/>
              <w:rPr>
                <w:sz w:val="5"/>
                <w:szCs w:val="5"/>
                <w:color w:val="auto"/>
              </w:rPr>
            </w:pPr>
          </w:p>
        </w:tc>
        <w:tc>
          <w:tcPr>
            <w:tcW w:w="1220" w:type="dxa"/>
            <w:vAlign w:val="bottom"/>
            <w:tcBorders>
              <w:bottom w:val="single" w:sz="8" w:color="B2B2B2"/>
            </w:tcBorders>
          </w:tcPr>
          <w:p>
            <w:pPr>
              <w:spacing w:after="0"/>
              <w:rPr>
                <w:sz w:val="5"/>
                <w:szCs w:val="5"/>
                <w:color w:val="auto"/>
              </w:rPr>
            </w:pPr>
          </w:p>
        </w:tc>
      </w:tr>
      <w:tr>
        <w:trPr>
          <w:trHeight w:val="200"/>
        </w:trPr>
        <w:tc>
          <w:tcPr>
            <w:tcW w:w="7380" w:type="dxa"/>
            <w:vAlign w:val="bottom"/>
          </w:tcPr>
          <w:p>
            <w:pPr>
              <w:ind w:left="60"/>
              <w:spacing w:after="0"/>
              <w:rPr>
                <w:sz w:val="20"/>
                <w:szCs w:val="20"/>
                <w:color w:val="auto"/>
              </w:rPr>
            </w:pPr>
            <w:r>
              <w:rPr>
                <w:rFonts w:ascii="Arial" w:cs="Arial" w:eastAsia="Arial" w:hAnsi="Arial"/>
                <w:sz w:val="14"/>
                <w:szCs w:val="14"/>
                <w:b w:val="1"/>
                <w:bCs w:val="1"/>
                <w:color w:val="auto"/>
              </w:rPr>
              <w:t>Proposal 2:</w:t>
            </w:r>
          </w:p>
        </w:tc>
        <w:tc>
          <w:tcPr>
            <w:tcW w:w="2420" w:type="dxa"/>
            <w:vAlign w:val="bottom"/>
          </w:tcPr>
          <w:p>
            <w:pPr>
              <w:jc w:val="center"/>
              <w:ind w:left="428"/>
              <w:spacing w:after="0"/>
              <w:rPr>
                <w:sz w:val="20"/>
                <w:szCs w:val="20"/>
                <w:color w:val="auto"/>
              </w:rPr>
            </w:pPr>
            <w:r>
              <w:rPr>
                <w:rFonts w:ascii="Arial" w:cs="Arial" w:eastAsia="Arial" w:hAnsi="Arial"/>
                <w:sz w:val="14"/>
                <w:szCs w:val="14"/>
                <w:color w:val="auto"/>
              </w:rPr>
              <w:t>FOR</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25</w:t>
            </w:r>
          </w:p>
        </w:tc>
      </w:tr>
      <w:tr>
        <w:trPr>
          <w:trHeight w:val="190"/>
        </w:trPr>
        <w:tc>
          <w:tcPr>
            <w:tcW w:w="7380" w:type="dxa"/>
            <w:vAlign w:val="bottom"/>
          </w:tcPr>
          <w:p>
            <w:pPr>
              <w:ind w:left="60"/>
              <w:spacing w:after="0"/>
              <w:rPr>
                <w:sz w:val="20"/>
                <w:szCs w:val="20"/>
                <w:color w:val="auto"/>
              </w:rPr>
            </w:pPr>
            <w:r>
              <w:rPr>
                <w:rFonts w:ascii="Arial" w:cs="Arial" w:eastAsia="Arial" w:hAnsi="Arial"/>
                <w:sz w:val="14"/>
                <w:szCs w:val="14"/>
                <w:color w:val="auto"/>
              </w:rPr>
              <w:t>Advisory approval of the Company’s executive compensation for 2025.</w:t>
            </w:r>
          </w:p>
        </w:tc>
        <w:tc>
          <w:tcPr>
            <w:tcW w:w="2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62"/>
        </w:trPr>
        <w:tc>
          <w:tcPr>
            <w:tcW w:w="7380" w:type="dxa"/>
            <w:vAlign w:val="bottom"/>
            <w:tcBorders>
              <w:bottom w:val="single" w:sz="8" w:color="B2B2B2"/>
            </w:tcBorders>
          </w:tcPr>
          <w:p>
            <w:pPr>
              <w:spacing w:after="0"/>
              <w:rPr>
                <w:sz w:val="5"/>
                <w:szCs w:val="5"/>
                <w:color w:val="auto"/>
              </w:rPr>
            </w:pPr>
          </w:p>
        </w:tc>
        <w:tc>
          <w:tcPr>
            <w:tcW w:w="2420" w:type="dxa"/>
            <w:vAlign w:val="bottom"/>
            <w:tcBorders>
              <w:bottom w:val="single" w:sz="8" w:color="B2B2B2"/>
            </w:tcBorders>
          </w:tcPr>
          <w:p>
            <w:pPr>
              <w:spacing w:after="0"/>
              <w:rPr>
                <w:sz w:val="5"/>
                <w:szCs w:val="5"/>
                <w:color w:val="auto"/>
              </w:rPr>
            </w:pPr>
          </w:p>
        </w:tc>
        <w:tc>
          <w:tcPr>
            <w:tcW w:w="1220" w:type="dxa"/>
            <w:vAlign w:val="bottom"/>
            <w:tcBorders>
              <w:bottom w:val="single" w:sz="8" w:color="B2B2B2"/>
            </w:tcBorders>
          </w:tcPr>
          <w:p>
            <w:pPr>
              <w:spacing w:after="0"/>
              <w:rPr>
                <w:sz w:val="5"/>
                <w:szCs w:val="5"/>
                <w:color w:val="auto"/>
              </w:rPr>
            </w:pPr>
          </w:p>
        </w:tc>
      </w:tr>
      <w:tr>
        <w:trPr>
          <w:trHeight w:val="200"/>
        </w:trPr>
        <w:tc>
          <w:tcPr>
            <w:tcW w:w="7380" w:type="dxa"/>
            <w:vAlign w:val="bottom"/>
          </w:tcPr>
          <w:p>
            <w:pPr>
              <w:ind w:left="60"/>
              <w:spacing w:after="0"/>
              <w:rPr>
                <w:sz w:val="20"/>
                <w:szCs w:val="20"/>
                <w:color w:val="auto"/>
              </w:rPr>
            </w:pPr>
            <w:r>
              <w:rPr>
                <w:rFonts w:ascii="Arial" w:cs="Arial" w:eastAsia="Arial" w:hAnsi="Arial"/>
                <w:sz w:val="14"/>
                <w:szCs w:val="14"/>
                <w:b w:val="1"/>
                <w:bCs w:val="1"/>
                <w:color w:val="auto"/>
              </w:rPr>
              <w:t>Proposal 3:</w:t>
            </w:r>
          </w:p>
        </w:tc>
        <w:tc>
          <w:tcPr>
            <w:tcW w:w="2420" w:type="dxa"/>
            <w:vAlign w:val="bottom"/>
          </w:tcPr>
          <w:p>
            <w:pPr>
              <w:jc w:val="center"/>
              <w:ind w:left="428"/>
              <w:spacing w:after="0"/>
              <w:rPr>
                <w:sz w:val="20"/>
                <w:szCs w:val="20"/>
                <w:color w:val="auto"/>
              </w:rPr>
            </w:pPr>
            <w:r>
              <w:rPr>
                <w:rFonts w:ascii="Arial" w:cs="Arial" w:eastAsia="Arial" w:hAnsi="Arial"/>
                <w:sz w:val="14"/>
                <w:szCs w:val="14"/>
                <w:color w:val="auto"/>
              </w:rPr>
              <w:t>FOR</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53</w:t>
            </w:r>
          </w:p>
        </w:tc>
      </w:tr>
      <w:tr>
        <w:trPr>
          <w:trHeight w:val="190"/>
        </w:trPr>
        <w:tc>
          <w:tcPr>
            <w:tcW w:w="7380" w:type="dxa"/>
            <w:vAlign w:val="bottom"/>
          </w:tcPr>
          <w:p>
            <w:pPr>
              <w:ind w:left="60"/>
              <w:spacing w:after="0"/>
              <w:rPr>
                <w:sz w:val="20"/>
                <w:szCs w:val="20"/>
                <w:color w:val="auto"/>
              </w:rPr>
            </w:pPr>
            <w:r>
              <w:rPr>
                <w:rFonts w:ascii="Arial" w:cs="Arial" w:eastAsia="Arial" w:hAnsi="Arial"/>
                <w:sz w:val="14"/>
                <w:szCs w:val="14"/>
                <w:color w:val="auto"/>
              </w:rPr>
              <w:t>Ratification of appointment of KPMG LLP as our independent registered public accounting firm for 2026.</w:t>
            </w:r>
          </w:p>
        </w:tc>
        <w:tc>
          <w:tcPr>
            <w:tcW w:w="2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62"/>
        </w:trPr>
        <w:tc>
          <w:tcPr>
            <w:tcW w:w="7380" w:type="dxa"/>
            <w:vAlign w:val="bottom"/>
            <w:tcBorders>
              <w:bottom w:val="single" w:sz="8" w:color="E56D3D"/>
            </w:tcBorders>
          </w:tcPr>
          <w:p>
            <w:pPr>
              <w:spacing w:after="0"/>
              <w:rPr>
                <w:sz w:val="5"/>
                <w:szCs w:val="5"/>
                <w:color w:val="auto"/>
              </w:rPr>
            </w:pPr>
          </w:p>
        </w:tc>
        <w:tc>
          <w:tcPr>
            <w:tcW w:w="2420" w:type="dxa"/>
            <w:vAlign w:val="bottom"/>
            <w:tcBorders>
              <w:bottom w:val="single" w:sz="8" w:color="E56D3D"/>
            </w:tcBorders>
          </w:tcPr>
          <w:p>
            <w:pPr>
              <w:spacing w:after="0"/>
              <w:rPr>
                <w:sz w:val="5"/>
                <w:szCs w:val="5"/>
                <w:color w:val="auto"/>
              </w:rPr>
            </w:pPr>
          </w:p>
        </w:tc>
        <w:tc>
          <w:tcPr>
            <w:tcW w:w="1220" w:type="dxa"/>
            <w:vAlign w:val="bottom"/>
            <w:tcBorders>
              <w:bottom w:val="single" w:sz="8" w:color="E56D3D"/>
            </w:tcBorders>
          </w:tcPr>
          <w:p>
            <w:pPr>
              <w:spacing w:after="0"/>
              <w:rPr>
                <w:sz w:val="5"/>
                <w:szCs w:val="5"/>
                <w:color w:val="auto"/>
              </w:rPr>
            </w:pPr>
          </w:p>
        </w:tc>
      </w:tr>
    </w:tbl>
    <w:p>
      <w:pPr>
        <w:spacing w:after="0" w:line="2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About Regency Centers</w:t>
      </w:r>
    </w:p>
    <w:p>
      <w:pPr>
        <w:spacing w:after="0" w:line="112"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Regency Centers is a fully integrated real estate company and self-administered and self-managed real estate investment trust that began its operations as a publicly-traded REIT in 1993. The Company conducts substantially all of its operations, and owns, directly or indirectly, substantially all of its assets. Our business consists of acquiring, developing, owning, and operating income-producing retail real estate principally located in suburban trade areas with compelling demographics within the United States of America. Regency has been an S&amp;P 500 Index member since 2017. We are a preeminent national owner, operator, and developer of neighborhood and community shopping centers. Our portfolio includes thriving properties merchandised with highly productive grocers, restaurants, service providers, and best-in-class retailers that connect with their neighborhoods, communities, and customers.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Our Core Values</w:t>
      </w:r>
    </w:p>
    <w:p>
      <w:pPr>
        <w:spacing w:after="0" w:line="112"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At Regency Centers, we have lived our Core Values for more than 60 years by successfully meeting our commitments to our people, our customers, our communities and our shareholders. We hold ourselves to this high standard every day. We believe our exceptional culture will continue to set Regency apart into the future through our unwavering dedication to these beliefs: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7029450" cy="2588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25888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8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1</w:t>
      </w:r>
    </w:p>
    <w:p>
      <w:pPr>
        <w:sectPr>
          <w:pgSz w:w="11900" w:h="16838" w:orient="portrait"/>
          <w:cols w:equalWidth="0" w:num="1">
            <w:col w:w="11140"/>
          </w:cols>
          <w:pgMar w:left="320" w:top="482"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Proxy Summary</w:t>
      </w:r>
    </w:p>
    <w:p>
      <w:pPr>
        <w:spacing w:after="0" w:line="113" w:lineRule="exact"/>
        <w:rPr>
          <w:sz w:val="20"/>
          <w:szCs w:val="20"/>
          <w:color w:val="auto"/>
        </w:rPr>
      </w:pPr>
    </w:p>
    <w:p>
      <w:pPr>
        <w:ind w:left="120" w:right="4940"/>
        <w:spacing w:after="0" w:line="295" w:lineRule="auto"/>
        <w:rPr>
          <w:sz w:val="20"/>
          <w:szCs w:val="20"/>
          <w:color w:val="auto"/>
        </w:rPr>
      </w:pPr>
      <w:r>
        <w:rPr>
          <w:rFonts w:ascii="Times New Roman" w:cs="Times New Roman" w:eastAsia="Times New Roman" w:hAnsi="Times New Roman"/>
          <w:sz w:val="35"/>
          <w:szCs w:val="35"/>
          <w:b w:val="1"/>
          <w:bCs w:val="1"/>
          <w:color w:val="E56D3D"/>
        </w:rPr>
        <w:t>Excellence in Operational Performance and Financial Management</w:t>
      </w:r>
    </w:p>
    <w:p>
      <w:pPr>
        <w:spacing w:after="0" w:line="13"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Regency Centers continues to create value for our shareholders through our exceptional financial and operational performance, high-quality portfolio, strong balance sheet, superior asset management, unique development capabilities, and a talented team located across more than 25 offices nationwide. During 2025, our team had an exceptionally strong operational year, and was able to execute on several acquisition opportunities and development and redevelopment projects, to further enhance our sector-leading portfolio of over 480 properties in top trade areas around the country.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2025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200660</wp:posOffset>
            </wp:positionV>
            <wp:extent cx="6995160" cy="1054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05410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Operational Excellence</w:t>
      </w:r>
    </w:p>
    <w:p>
      <w:pPr>
        <w:spacing w:after="0" w:line="86" w:lineRule="exact"/>
        <w:rPr>
          <w:sz w:val="20"/>
          <w:szCs w:val="20"/>
          <w:color w:val="auto"/>
        </w:rPr>
      </w:pPr>
    </w:p>
    <w:p>
      <w:pPr>
        <w:ind w:left="500" w:hanging="168"/>
        <w:spacing w:after="0"/>
        <w:tabs>
          <w:tab w:leader="none" w:pos="500" w:val="left"/>
        </w:tabs>
        <w:numPr>
          <w:ilvl w:val="0"/>
          <w:numId w:val="6"/>
        </w:numPr>
        <w:rPr>
          <w:rFonts w:ascii="Wingdings" w:cs="Wingdings" w:eastAsia="Wingdings" w:hAnsi="Wingdings"/>
          <w:sz w:val="14"/>
          <w:szCs w:val="14"/>
          <w:b w:val="1"/>
          <w:bCs w:val="1"/>
          <w:color w:val="auto"/>
        </w:rPr>
      </w:pPr>
      <w:r>
        <w:rPr>
          <w:rFonts w:ascii="Arial" w:cs="Arial" w:eastAsia="Arial" w:hAnsi="Arial"/>
          <w:sz w:val="14"/>
          <w:szCs w:val="14"/>
          <w:color w:val="auto"/>
        </w:rPr>
        <w:t>Executed over 8 million square feet of new and renewal leases</w:t>
      </w:r>
    </w:p>
    <w:p>
      <w:pPr>
        <w:spacing w:after="0" w:line="68" w:lineRule="exact"/>
        <w:rPr>
          <w:rFonts w:ascii="Wingdings" w:cs="Wingdings" w:eastAsia="Wingdings" w:hAnsi="Wingdings"/>
          <w:sz w:val="14"/>
          <w:szCs w:val="14"/>
          <w:b w:val="1"/>
          <w:bCs w:val="1"/>
          <w:color w:val="auto"/>
        </w:rPr>
      </w:pPr>
    </w:p>
    <w:p>
      <w:pPr>
        <w:ind w:left="500" w:right="320" w:hanging="168"/>
        <w:spacing w:after="0" w:line="285" w:lineRule="auto"/>
        <w:tabs>
          <w:tab w:leader="none" w:pos="500" w:val="left"/>
        </w:tabs>
        <w:numPr>
          <w:ilvl w:val="0"/>
          <w:numId w:val="6"/>
        </w:numPr>
        <w:rPr>
          <w:rFonts w:ascii="Wingdings" w:cs="Wingdings" w:eastAsia="Wingdings" w:hAnsi="Wingdings"/>
          <w:sz w:val="14"/>
          <w:szCs w:val="14"/>
          <w:b w:val="1"/>
          <w:bCs w:val="1"/>
          <w:color w:val="auto"/>
        </w:rPr>
      </w:pPr>
      <w:r>
        <w:rPr>
          <w:rFonts w:ascii="Arial" w:cs="Arial" w:eastAsia="Arial" w:hAnsi="Arial"/>
          <w:sz w:val="14"/>
          <w:szCs w:val="14"/>
          <w:color w:val="auto"/>
        </w:rPr>
        <w:t>Achieved blended rent spreads of 11% on a cash basis and 21% on a straight-lined basis on comparable new and renewal leases</w:t>
      </w:r>
    </w:p>
    <w:p>
      <w:pPr>
        <w:spacing w:after="0" w:line="9" w:lineRule="exact"/>
        <w:rPr>
          <w:rFonts w:ascii="Wingdings" w:cs="Wingdings" w:eastAsia="Wingdings" w:hAnsi="Wingdings"/>
          <w:sz w:val="14"/>
          <w:szCs w:val="14"/>
          <w:b w:val="1"/>
          <w:bCs w:val="1"/>
          <w:color w:val="auto"/>
        </w:rPr>
      </w:pPr>
    </w:p>
    <w:p>
      <w:pPr>
        <w:ind w:left="500" w:hanging="168"/>
        <w:spacing w:after="0" w:line="263" w:lineRule="auto"/>
        <w:tabs>
          <w:tab w:leader="none" w:pos="500" w:val="left"/>
        </w:tabs>
        <w:numPr>
          <w:ilvl w:val="0"/>
          <w:numId w:val="6"/>
        </w:numPr>
        <w:rPr>
          <w:rFonts w:ascii="Wingdings" w:cs="Wingdings" w:eastAsia="Wingdings" w:hAnsi="Wingdings"/>
          <w:sz w:val="14"/>
          <w:szCs w:val="14"/>
          <w:b w:val="1"/>
          <w:bCs w:val="1"/>
          <w:color w:val="auto"/>
        </w:rPr>
      </w:pPr>
      <w:r>
        <w:rPr>
          <w:rFonts w:ascii="Arial" w:cs="Arial" w:eastAsia="Arial" w:hAnsi="Arial"/>
          <w:sz w:val="14"/>
          <w:szCs w:val="14"/>
          <w:color w:val="auto"/>
        </w:rPr>
        <w:t>Ended 2025 with a same-property near-record leased rate of 96.5% and grew shop (&lt;10K square feet) occupancy 70 basis points year-over-year to a record leased rate of 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278130</wp:posOffset>
            </wp:positionV>
            <wp:extent cx="3360420" cy="840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0420" cy="840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sz w:val="1"/>
          <w:szCs w:val="1"/>
          <w:color w:val="auto"/>
        </w:rPr>
        <w:drawing>
          <wp:inline distT="0" distB="0" distL="0" distR="0">
            <wp:extent cx="171450" cy="1631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b w:val="1"/>
          <w:bCs w:val="1"/>
          <w:color w:val="auto"/>
        </w:rPr>
        <w:t xml:space="preserve"> Balance Sheet Stability</w:t>
      </w:r>
    </w:p>
    <w:p>
      <w:pPr>
        <w:spacing w:after="0" w:line="68" w:lineRule="exact"/>
        <w:rPr>
          <w:sz w:val="20"/>
          <w:szCs w:val="20"/>
          <w:color w:val="auto"/>
        </w:rPr>
      </w:pPr>
    </w:p>
    <w:p>
      <w:pPr>
        <w:ind w:left="260" w:right="260" w:hanging="170"/>
        <w:spacing w:after="0" w:line="212" w:lineRule="auto"/>
        <w:tabs>
          <w:tab w:leader="none" w:pos="260" w:val="left"/>
        </w:tabs>
        <w:numPr>
          <w:ilvl w:val="0"/>
          <w:numId w:val="7"/>
        </w:numPr>
        <w:rPr>
          <w:rFonts w:ascii="Wingdings" w:cs="Wingdings" w:eastAsia="Wingdings" w:hAnsi="Wingdings"/>
          <w:sz w:val="14"/>
          <w:szCs w:val="14"/>
          <w:b w:val="1"/>
          <w:bCs w:val="1"/>
          <w:color w:val="auto"/>
        </w:rPr>
      </w:pPr>
      <w:r>
        <w:rPr>
          <w:rFonts w:ascii="Arial" w:cs="Arial" w:eastAsia="Arial" w:hAnsi="Arial"/>
          <w:sz w:val="14"/>
          <w:szCs w:val="14"/>
          <w:color w:val="auto"/>
        </w:rPr>
        <w:t>Trailing 12-Month Net Debt &amp; Preferred Stock-to-Operating EBITDAre</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of 5.1x at year-end</w:t>
      </w:r>
    </w:p>
    <w:p>
      <w:pPr>
        <w:spacing w:after="0" w:line="39" w:lineRule="exact"/>
        <w:rPr>
          <w:rFonts w:ascii="Wingdings" w:cs="Wingdings" w:eastAsia="Wingdings" w:hAnsi="Wingdings"/>
          <w:sz w:val="14"/>
          <w:szCs w:val="14"/>
          <w:b w:val="1"/>
          <w:bCs w:val="1"/>
          <w:color w:val="auto"/>
        </w:rPr>
      </w:pPr>
    </w:p>
    <w:p>
      <w:pPr>
        <w:ind w:left="260" w:right="120" w:hanging="170"/>
        <w:spacing w:after="0" w:line="285" w:lineRule="auto"/>
        <w:tabs>
          <w:tab w:leader="none" w:pos="260" w:val="left"/>
        </w:tabs>
        <w:numPr>
          <w:ilvl w:val="0"/>
          <w:numId w:val="7"/>
        </w:numPr>
        <w:rPr>
          <w:rFonts w:ascii="Wingdings" w:cs="Wingdings" w:eastAsia="Wingdings" w:hAnsi="Wingdings"/>
          <w:sz w:val="14"/>
          <w:szCs w:val="14"/>
          <w:b w:val="1"/>
          <w:bCs w:val="1"/>
          <w:color w:val="auto"/>
        </w:rPr>
      </w:pPr>
      <w:r>
        <w:rPr>
          <w:rFonts w:ascii="Arial" w:cs="Arial" w:eastAsia="Arial" w:hAnsi="Arial"/>
          <w:sz w:val="14"/>
          <w:szCs w:val="14"/>
          <w:color w:val="auto"/>
        </w:rPr>
        <w:t>Greater than $1.4 billion of available capacity on our unsecured credit facility at year-end 2025</w:t>
      </w:r>
    </w:p>
    <w:p>
      <w:pPr>
        <w:spacing w:after="0" w:line="9" w:lineRule="exact"/>
        <w:rPr>
          <w:rFonts w:ascii="Wingdings" w:cs="Wingdings" w:eastAsia="Wingdings" w:hAnsi="Wingdings"/>
          <w:sz w:val="14"/>
          <w:szCs w:val="14"/>
          <w:b w:val="1"/>
          <w:bCs w:val="1"/>
          <w:color w:val="auto"/>
        </w:rPr>
      </w:pPr>
    </w:p>
    <w:p>
      <w:pPr>
        <w:ind w:left="260" w:right="340" w:hanging="170"/>
        <w:spacing w:after="0" w:line="285" w:lineRule="auto"/>
        <w:tabs>
          <w:tab w:leader="none" w:pos="260" w:val="left"/>
        </w:tabs>
        <w:numPr>
          <w:ilvl w:val="0"/>
          <w:numId w:val="7"/>
        </w:numPr>
        <w:rPr>
          <w:rFonts w:ascii="Wingdings" w:cs="Wingdings" w:eastAsia="Wingdings" w:hAnsi="Wingdings"/>
          <w:sz w:val="14"/>
          <w:szCs w:val="14"/>
          <w:b w:val="1"/>
          <w:bCs w:val="1"/>
          <w:color w:val="auto"/>
        </w:rPr>
      </w:pPr>
      <w:r>
        <w:rPr>
          <w:rFonts w:ascii="Arial" w:cs="Arial" w:eastAsia="Arial" w:hAnsi="Arial"/>
          <w:sz w:val="14"/>
          <w:szCs w:val="14"/>
          <w:color w:val="auto"/>
        </w:rPr>
        <w:t>Maintains ‘A’ credit ratings from both Moody’s (A3 with a ‘Stable’ outlook) and S&amp;P Global (A-with a ‘Stable’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243205</wp:posOffset>
            </wp:positionV>
            <wp:extent cx="3429000" cy="8826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00" cy="8826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600"/>
            <w:col w:w="5240"/>
          </w:cols>
          <w:pgMar w:left="320" w:top="482" w:right="479" w:bottom="1440" w:gutter="0" w:footer="0" w:header="0"/>
          <w:type w:val="continuous"/>
        </w:sectPr>
      </w:pPr>
    </w:p>
    <w:p>
      <w:pPr>
        <w:spacing w:after="0" w:line="184" w:lineRule="exact"/>
        <w:rPr>
          <w:sz w:val="20"/>
          <w:szCs w:val="20"/>
          <w:color w:val="auto"/>
        </w:rPr>
      </w:pPr>
    </w:p>
    <w:p>
      <w:pPr>
        <w:ind w:left="300"/>
        <w:spacing w:after="0"/>
        <w:rPr>
          <w:sz w:val="20"/>
          <w:szCs w:val="20"/>
          <w:color w:val="auto"/>
        </w:rPr>
      </w:pPr>
      <w:r>
        <w:rPr>
          <w:sz w:val="1"/>
          <w:szCs w:val="1"/>
          <w:color w:val="auto"/>
        </w:rPr>
        <w:drawing>
          <wp:inline distT="0" distB="0" distL="0" distR="0">
            <wp:extent cx="145415" cy="1454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5415" cy="145415"/>
                    </a:xfrm>
                    <a:prstGeom prst="rect">
                      <a:avLst/>
                    </a:prstGeom>
                    <a:noFill/>
                    <a:ln>
                      <a:noFill/>
                    </a:ln>
                  </pic:spPr>
                </pic:pic>
              </a:graphicData>
            </a:graphic>
          </wp:inline>
        </w:drawing>
      </w:r>
      <w:r>
        <w:rPr>
          <w:rFonts w:ascii="Arial" w:cs="Arial" w:eastAsia="Arial" w:hAnsi="Arial"/>
          <w:sz w:val="18"/>
          <w:szCs w:val="18"/>
          <w:b w:val="1"/>
          <w:bCs w:val="1"/>
          <w:color w:val="auto"/>
        </w:rPr>
        <w:t xml:space="preserve"> Investment Activity</w:t>
      </w:r>
    </w:p>
    <w:p>
      <w:pPr>
        <w:spacing w:after="0" w:line="46" w:lineRule="exact"/>
        <w:rPr>
          <w:sz w:val="20"/>
          <w:szCs w:val="20"/>
          <w:color w:val="auto"/>
        </w:rPr>
      </w:pPr>
    </w:p>
    <w:p>
      <w:pPr>
        <w:ind w:left="500" w:right="280" w:hanging="168"/>
        <w:spacing w:after="0" w:line="285" w:lineRule="auto"/>
        <w:tabs>
          <w:tab w:leader="none" w:pos="500" w:val="left"/>
        </w:tabs>
        <w:numPr>
          <w:ilvl w:val="0"/>
          <w:numId w:val="8"/>
        </w:numPr>
        <w:rPr>
          <w:rFonts w:ascii="Wingdings" w:cs="Wingdings" w:eastAsia="Wingdings" w:hAnsi="Wingdings"/>
          <w:sz w:val="14"/>
          <w:szCs w:val="14"/>
          <w:b w:val="1"/>
          <w:bCs w:val="1"/>
          <w:color w:val="auto"/>
        </w:rPr>
      </w:pPr>
      <w:r>
        <w:rPr>
          <w:rFonts w:ascii="Arial" w:cs="Arial" w:eastAsia="Arial" w:hAnsi="Arial"/>
          <w:sz w:val="14"/>
          <w:szCs w:val="14"/>
          <w:color w:val="auto"/>
        </w:rPr>
        <w:t>Started approximately $318 million of development and redevelopment projects, with nearly $600 million of projects in process at year-end</w:t>
      </w:r>
    </w:p>
    <w:p>
      <w:pPr>
        <w:spacing w:after="0" w:line="9" w:lineRule="exact"/>
        <w:rPr>
          <w:rFonts w:ascii="Wingdings" w:cs="Wingdings" w:eastAsia="Wingdings" w:hAnsi="Wingdings"/>
          <w:sz w:val="14"/>
          <w:szCs w:val="14"/>
          <w:b w:val="1"/>
          <w:bCs w:val="1"/>
          <w:color w:val="auto"/>
        </w:rPr>
      </w:pPr>
    </w:p>
    <w:p>
      <w:pPr>
        <w:ind w:left="500" w:hanging="168"/>
        <w:spacing w:after="0" w:line="285" w:lineRule="auto"/>
        <w:tabs>
          <w:tab w:leader="none" w:pos="500" w:val="left"/>
        </w:tabs>
        <w:numPr>
          <w:ilvl w:val="0"/>
          <w:numId w:val="8"/>
        </w:numPr>
        <w:rPr>
          <w:rFonts w:ascii="Wingdings" w:cs="Wingdings" w:eastAsia="Wingdings" w:hAnsi="Wingdings"/>
          <w:sz w:val="14"/>
          <w:szCs w:val="14"/>
          <w:b w:val="1"/>
          <w:bCs w:val="1"/>
          <w:color w:val="auto"/>
        </w:rPr>
      </w:pPr>
      <w:r>
        <w:rPr>
          <w:rFonts w:ascii="Arial" w:cs="Arial" w:eastAsia="Arial" w:hAnsi="Arial"/>
          <w:sz w:val="14"/>
          <w:szCs w:val="14"/>
          <w:color w:val="auto"/>
        </w:rPr>
        <w:t>Acquired high-quality shopping centers totaling approximately $538 million, at Regency’s share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sz w:val="1"/>
          <w:szCs w:val="1"/>
          <w:color w:val="auto"/>
        </w:rPr>
        <w:drawing>
          <wp:inline distT="0" distB="0" distL="0" distR="0">
            <wp:extent cx="146050" cy="171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050" cy="171450"/>
                    </a:xfrm>
                    <a:prstGeom prst="rect">
                      <a:avLst/>
                    </a:prstGeom>
                    <a:noFill/>
                    <a:ln>
                      <a:noFill/>
                    </a:ln>
                  </pic:spPr>
                </pic:pic>
              </a:graphicData>
            </a:graphic>
          </wp:inline>
        </w:drawing>
      </w:r>
      <w:r>
        <w:rPr>
          <w:rFonts w:ascii="Arial" w:cs="Arial" w:eastAsia="Arial" w:hAnsi="Arial"/>
          <w:sz w:val="18"/>
          <w:szCs w:val="18"/>
          <w:b w:val="1"/>
          <w:bCs w:val="1"/>
          <w:color w:val="auto"/>
        </w:rPr>
        <w:t xml:space="preserve"> Dividend Growth &amp; Cash Flow</w:t>
      </w:r>
    </w:p>
    <w:p>
      <w:pPr>
        <w:spacing w:after="0" w:line="45" w:lineRule="exact"/>
        <w:rPr>
          <w:sz w:val="20"/>
          <w:szCs w:val="20"/>
          <w:color w:val="auto"/>
        </w:rPr>
      </w:pPr>
    </w:p>
    <w:p>
      <w:pPr>
        <w:ind w:left="260" w:right="400" w:hanging="170"/>
        <w:spacing w:after="0" w:line="285" w:lineRule="auto"/>
        <w:tabs>
          <w:tab w:leader="none" w:pos="260" w:val="left"/>
        </w:tabs>
        <w:numPr>
          <w:ilvl w:val="0"/>
          <w:numId w:val="9"/>
        </w:numPr>
        <w:rPr>
          <w:rFonts w:ascii="Wingdings" w:cs="Wingdings" w:eastAsia="Wingdings" w:hAnsi="Wingdings"/>
          <w:sz w:val="14"/>
          <w:szCs w:val="14"/>
          <w:b w:val="1"/>
          <w:bCs w:val="1"/>
          <w:color w:val="auto"/>
        </w:rPr>
      </w:pPr>
      <w:r>
        <w:rPr>
          <w:rFonts w:ascii="Arial" w:cs="Arial" w:eastAsia="Arial" w:hAnsi="Arial"/>
          <w:sz w:val="14"/>
          <w:szCs w:val="14"/>
          <w:color w:val="auto"/>
        </w:rPr>
        <w:t>Generated significant cash flow from operations and free cash flow after dividend and capital expenditures</w:t>
      </w:r>
    </w:p>
    <w:p>
      <w:pPr>
        <w:spacing w:after="0" w:line="9" w:lineRule="exact"/>
        <w:rPr>
          <w:rFonts w:ascii="Wingdings" w:cs="Wingdings" w:eastAsia="Wingdings" w:hAnsi="Wingdings"/>
          <w:sz w:val="14"/>
          <w:szCs w:val="14"/>
          <w:b w:val="1"/>
          <w:bCs w:val="1"/>
          <w:color w:val="auto"/>
        </w:rPr>
      </w:pPr>
    </w:p>
    <w:p>
      <w:pPr>
        <w:ind w:left="260" w:right="220" w:hanging="170"/>
        <w:spacing w:after="0" w:line="285" w:lineRule="auto"/>
        <w:tabs>
          <w:tab w:leader="none" w:pos="260" w:val="left"/>
        </w:tabs>
        <w:numPr>
          <w:ilvl w:val="0"/>
          <w:numId w:val="9"/>
        </w:numPr>
        <w:rPr>
          <w:rFonts w:ascii="Wingdings" w:cs="Wingdings" w:eastAsia="Wingdings" w:hAnsi="Wingdings"/>
          <w:sz w:val="14"/>
          <w:szCs w:val="14"/>
          <w:b w:val="1"/>
          <w:bCs w:val="1"/>
          <w:color w:val="auto"/>
        </w:rPr>
      </w:pPr>
      <w:r>
        <w:rPr>
          <w:rFonts w:ascii="Arial" w:cs="Arial" w:eastAsia="Arial" w:hAnsi="Arial"/>
          <w:sz w:val="14"/>
          <w:szCs w:val="14"/>
          <w:color w:val="auto"/>
        </w:rPr>
        <w:t>Increased our quarterly common stock dividend by over 7% year-over-year in 4Q25 to $0.755 per share</w:t>
      </w:r>
    </w:p>
    <w:p>
      <w:pPr>
        <w:spacing w:after="0" w:line="9" w:lineRule="exact"/>
        <w:rPr>
          <w:rFonts w:ascii="Wingdings" w:cs="Wingdings" w:eastAsia="Wingdings" w:hAnsi="Wingdings"/>
          <w:sz w:val="14"/>
          <w:szCs w:val="14"/>
          <w:b w:val="1"/>
          <w:bCs w:val="1"/>
          <w:color w:val="auto"/>
        </w:rPr>
      </w:pPr>
    </w:p>
    <w:p>
      <w:pPr>
        <w:ind w:left="260" w:hanging="170"/>
        <w:spacing w:after="0"/>
        <w:tabs>
          <w:tab w:leader="none" w:pos="260" w:val="left"/>
        </w:tabs>
        <w:numPr>
          <w:ilvl w:val="0"/>
          <w:numId w:val="9"/>
        </w:numPr>
        <w:rPr>
          <w:rFonts w:ascii="Wingdings" w:cs="Wingdings" w:eastAsia="Wingdings" w:hAnsi="Wingdings"/>
          <w:sz w:val="14"/>
          <w:szCs w:val="14"/>
          <w:b w:val="1"/>
          <w:bCs w:val="1"/>
          <w:color w:val="auto"/>
        </w:rPr>
      </w:pPr>
      <w:r>
        <w:rPr>
          <w:rFonts w:ascii="Arial" w:cs="Arial" w:eastAsia="Arial" w:hAnsi="Arial"/>
          <w:sz w:val="14"/>
          <w:szCs w:val="14"/>
          <w:color w:val="auto"/>
        </w:rPr>
        <w:t>Dividend CAGR (compound annual growth rate) of nearly 4% since 2014</w:t>
      </w:r>
    </w:p>
    <w:p>
      <w:pPr>
        <w:spacing w:after="0" w:line="200" w:lineRule="exact"/>
        <w:rPr>
          <w:sz w:val="20"/>
          <w:szCs w:val="20"/>
          <w:color w:val="auto"/>
        </w:rPr>
      </w:pPr>
    </w:p>
    <w:p>
      <w:pPr>
        <w:sectPr>
          <w:pgSz w:w="11900" w:h="16838" w:orient="portrait"/>
          <w:cols w:equalWidth="0" w:num="2">
            <w:col w:w="5280" w:space="580"/>
            <w:col w:w="5240"/>
          </w:cols>
          <w:pgMar w:left="320" w:top="482" w:right="479" w:bottom="1440" w:gutter="0" w:footer="0" w:header="0"/>
          <w:type w:val="continuous"/>
        </w:sectPr>
      </w:pPr>
    </w:p>
    <w:p>
      <w:pPr>
        <w:spacing w:after="0" w:line="148" w:lineRule="exact"/>
        <w:rPr>
          <w:sz w:val="20"/>
          <w:szCs w:val="20"/>
          <w:color w:val="auto"/>
        </w:rPr>
      </w:pPr>
    </w:p>
    <w:p>
      <w:pPr>
        <w:ind w:left="120"/>
        <w:spacing w:after="0"/>
        <w:rPr>
          <w:sz w:val="20"/>
          <w:szCs w:val="20"/>
          <w:color w:val="auto"/>
        </w:rPr>
      </w:pPr>
      <w:r>
        <w:rPr>
          <w:rFonts w:ascii="Arial" w:cs="Arial" w:eastAsia="Arial" w:hAnsi="Arial"/>
          <w:sz w:val="11"/>
          <w:szCs w:val="11"/>
          <w:color w:val="auto"/>
        </w:rPr>
        <w:t>(1) See Appendix A for reconciliations of Generally Accepted Accounting Principles (“GAAP”) to non-GAAP measures.</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10-Year Total Shareholder Return (2016 – 2025)</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6A6E6F"/>
        </w:rPr>
        <w:t>Regency Outperformed Peers by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029450" cy="2366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00"/>
          </w:cols>
          <w:pgMar w:left="320" w:top="482" w:right="4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Proxy Summary </w:t>
      </w:r>
      <w:r>
        <w:rPr>
          <w:rFonts w:ascii="Arial" w:cs="Arial" w:eastAsia="Arial" w:hAnsi="Arial"/>
          <w:sz w:val="19"/>
          <w:szCs w:val="19"/>
          <w:b w:val="1"/>
          <w:bCs w:val="1"/>
          <w:color w:val="E56D3D"/>
        </w:rPr>
        <w:t>|</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E56D3D"/>
        </w:rPr>
        <w:t>Excellence in Corporate Governance</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Corporate Governance Highlights</w:t>
      </w:r>
    </w:p>
    <w:p>
      <w:pPr>
        <w:spacing w:after="0" w:line="72" w:lineRule="exact"/>
        <w:rPr>
          <w:sz w:val="20"/>
          <w:szCs w:val="20"/>
          <w:color w:val="auto"/>
        </w:rPr>
      </w:pPr>
    </w:p>
    <w:p>
      <w:pPr>
        <w:ind w:left="120" w:right="700"/>
        <w:spacing w:after="0" w:line="286" w:lineRule="auto"/>
        <w:rPr>
          <w:sz w:val="20"/>
          <w:szCs w:val="20"/>
          <w:color w:val="auto"/>
        </w:rPr>
      </w:pPr>
      <w:r>
        <w:rPr>
          <w:rFonts w:ascii="Arial" w:cs="Arial" w:eastAsia="Arial" w:hAnsi="Arial"/>
          <w:sz w:val="16"/>
          <w:szCs w:val="16"/>
          <w:color w:val="auto"/>
        </w:rPr>
        <w:t>Our Board and senior management are committed to best-in-class corporate governance. Following are some of our most important governance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6566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656653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right="160"/>
        <w:spacing w:after="0" w:line="311" w:lineRule="auto"/>
        <w:rPr>
          <w:sz w:val="20"/>
          <w:szCs w:val="20"/>
          <w:color w:val="auto"/>
        </w:rPr>
      </w:pPr>
      <w:r>
        <w:rPr>
          <w:rFonts w:ascii="Arial" w:cs="Arial" w:eastAsia="Arial" w:hAnsi="Arial"/>
          <w:sz w:val="17"/>
          <w:szCs w:val="17"/>
          <w:b w:val="1"/>
          <w:bCs w:val="1"/>
          <w:color w:val="auto"/>
        </w:rPr>
        <w:t>Board Structure and Independence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Separate Chairman of the Board (Chair) and Chief Executive Officer (CEO)</w:t>
      </w:r>
    </w:p>
    <w:p>
      <w:pPr>
        <w:spacing w:after="0" w:line="8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Independent Lead Director</w:t>
      </w:r>
    </w:p>
    <w:p>
      <w:pPr>
        <w:spacing w:after="0" w:line="79" w:lineRule="exact"/>
        <w:rPr>
          <w:sz w:val="20"/>
          <w:szCs w:val="20"/>
          <w:color w:val="auto"/>
        </w:rPr>
      </w:pPr>
    </w:p>
    <w:p>
      <w:pPr>
        <w:ind w:left="300" w:right="40" w:hanging="287"/>
        <w:spacing w:after="0" w:line="198"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9 of 11 nominated directors are independent; Audit, Compensation, and Nominating and Governance committees each entirely comprised of independent directors</w:t>
      </w:r>
    </w:p>
    <w:p>
      <w:pPr>
        <w:spacing w:after="0" w:line="9" w:lineRule="exact"/>
        <w:rPr>
          <w:sz w:val="20"/>
          <w:szCs w:val="20"/>
          <w:color w:val="auto"/>
        </w:rPr>
      </w:pPr>
    </w:p>
    <w:p>
      <w:pPr>
        <w:ind w:right="1940"/>
        <w:spacing w:after="0" w:line="243"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Executive sessions of independent directors held at every regular Board and Committee meeting </w:t>
      </w:r>
      <w:r>
        <w:rPr>
          <w:rFonts w:ascii="MS PGothic" w:cs="MS PGothic" w:eastAsia="MS PGothic" w:hAnsi="MS PGothic"/>
          <w:sz w:val="14"/>
          <w:szCs w:val="14"/>
          <w:color w:val="E56D3D"/>
        </w:rPr>
        <w:t>✓</w:t>
      </w:r>
      <w:r>
        <w:rPr>
          <w:rFonts w:ascii="Arial" w:cs="Arial" w:eastAsia="Arial" w:hAnsi="Arial"/>
          <w:sz w:val="14"/>
          <w:szCs w:val="14"/>
          <w:color w:val="auto"/>
        </w:rPr>
        <w:t xml:space="preserve">   Board member diversity across a range of attributes </w:t>
      </w:r>
      <w:r>
        <w:rPr>
          <w:rFonts w:ascii="MS PGothic" w:cs="MS PGothic" w:eastAsia="MS PGothic" w:hAnsi="MS PGothic"/>
          <w:sz w:val="14"/>
          <w:szCs w:val="14"/>
          <w:color w:val="E56D3D"/>
        </w:rPr>
        <w:t>✓</w:t>
      </w:r>
      <w:r>
        <w:rPr>
          <w:rFonts w:ascii="Arial" w:cs="Arial" w:eastAsia="Arial" w:hAnsi="Arial"/>
          <w:sz w:val="14"/>
          <w:szCs w:val="14"/>
          <w:color w:val="auto"/>
        </w:rPr>
        <w:t xml:space="preserve">   No familial relationships among Board members</w:t>
      </w:r>
    </w:p>
    <w:p>
      <w:pPr>
        <w:spacing w:after="0" w:line="3"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Limits on other board service to prevent “overboarding”</w:t>
      </w:r>
    </w:p>
    <w:p>
      <w:pPr>
        <w:spacing w:after="0" w:line="82" w:lineRule="exact"/>
        <w:rPr>
          <w:sz w:val="20"/>
          <w:szCs w:val="20"/>
          <w:color w:val="auto"/>
        </w:rPr>
      </w:pPr>
    </w:p>
    <w:p>
      <w:pPr>
        <w:ind w:left="300" w:right="400" w:hanging="287"/>
        <w:spacing w:after="0" w:line="198"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Demonstrated track record of thoughtful, effective succession planning and Board refreshment; the average tenure of our independent directors is currently six years</w:t>
      </w:r>
    </w:p>
    <w:p>
      <w:pPr>
        <w:spacing w:after="0" w:line="200" w:lineRule="exact"/>
        <w:rPr>
          <w:sz w:val="20"/>
          <w:szCs w:val="20"/>
          <w:color w:val="auto"/>
        </w:rPr>
      </w:pPr>
    </w:p>
    <w:p>
      <w:pPr>
        <w:sectPr>
          <w:pgSz w:w="11900" w:h="16838" w:orient="portrait"/>
          <w:cols w:equalWidth="0" w:num="2">
            <w:col w:w="2040" w:space="720"/>
            <w:col w:w="838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Shareholder</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Annual election of directors</w:t>
      </w:r>
    </w:p>
    <w:p>
      <w:pPr>
        <w:spacing w:after="0" w:line="82"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Majority voting standard for uncontested director elections</w:t>
      </w:r>
    </w:p>
    <w:p>
      <w:pPr>
        <w:spacing w:after="0" w:line="8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Annual say-on-pay advisory vote</w:t>
      </w:r>
    </w:p>
    <w:p>
      <w:pPr>
        <w:spacing w:after="0" w:line="79" w:lineRule="exact"/>
        <w:rPr>
          <w:sz w:val="20"/>
          <w:szCs w:val="20"/>
          <w:color w:val="auto"/>
        </w:rPr>
      </w:pPr>
    </w:p>
    <w:p>
      <w:pPr>
        <w:ind w:right="1320"/>
        <w:spacing w:after="0" w:line="243"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During 2025, engaged with shareholders representing approximately 80% of our common stock ownership </w:t>
      </w:r>
      <w:r>
        <w:rPr>
          <w:rFonts w:ascii="MS PGothic" w:cs="MS PGothic" w:eastAsia="MS PGothic" w:hAnsi="MS PGothic"/>
          <w:sz w:val="14"/>
          <w:szCs w:val="14"/>
          <w:color w:val="E56D3D"/>
        </w:rPr>
        <w:t>✓</w:t>
      </w:r>
      <w:r>
        <w:rPr>
          <w:rFonts w:ascii="Arial" w:cs="Arial" w:eastAsia="Arial" w:hAnsi="Arial"/>
          <w:sz w:val="14"/>
          <w:szCs w:val="14"/>
          <w:color w:val="auto"/>
        </w:rPr>
        <w:t xml:space="preserve">   Shareholders representing 10% of outstanding common stock can call special meeting</w:t>
      </w:r>
    </w:p>
    <w:p>
      <w:pPr>
        <w:spacing w:after="0" w:line="2" w:lineRule="exact"/>
        <w:rPr>
          <w:sz w:val="20"/>
          <w:szCs w:val="20"/>
          <w:color w:val="auto"/>
        </w:rPr>
      </w:pPr>
    </w:p>
    <w:p>
      <w:pPr>
        <w:ind w:right="140"/>
        <w:spacing w:after="0" w:line="243"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Proxy access: shareholders owning 3% of our common stock for at least 3 years may nominate up to 25% of board members </w:t>
      </w:r>
      <w:r>
        <w:rPr>
          <w:rFonts w:ascii="MS PGothic" w:cs="MS PGothic" w:eastAsia="MS PGothic" w:hAnsi="MS PGothic"/>
          <w:sz w:val="14"/>
          <w:szCs w:val="14"/>
          <w:color w:val="E56D3D"/>
        </w:rPr>
        <w:t>✓</w:t>
      </w:r>
      <w:r>
        <w:rPr>
          <w:rFonts w:ascii="Arial" w:cs="Arial" w:eastAsia="Arial" w:hAnsi="Arial"/>
          <w:sz w:val="14"/>
          <w:szCs w:val="14"/>
          <w:color w:val="auto"/>
        </w:rPr>
        <w:t xml:space="preserve">   No “poison pill” in effect</w:t>
      </w:r>
    </w:p>
    <w:p>
      <w:pPr>
        <w:spacing w:after="0" w:line="200" w:lineRule="exact"/>
        <w:rPr>
          <w:sz w:val="20"/>
          <w:szCs w:val="20"/>
          <w:color w:val="auto"/>
        </w:rPr>
      </w:pPr>
    </w:p>
    <w:p>
      <w:pPr>
        <w:sectPr>
          <w:pgSz w:w="11900" w:h="16838" w:orient="portrait"/>
          <w:cols w:equalWidth="0" w:num="2">
            <w:col w:w="2040" w:space="720"/>
            <w:col w:w="838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Oversight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Structured oversight of the Company’s corporate strategy and risk management allocated among full Board and Committees</w:t>
      </w:r>
    </w:p>
    <w:p>
      <w:pPr>
        <w:spacing w:after="0" w:line="82" w:lineRule="exact"/>
        <w:rPr>
          <w:sz w:val="20"/>
          <w:szCs w:val="20"/>
          <w:color w:val="auto"/>
        </w:rPr>
      </w:pPr>
    </w:p>
    <w:p>
      <w:pPr>
        <w:jc w:val="both"/>
        <w:ind w:left="300" w:right="140" w:hanging="287"/>
        <w:spacing w:after="0" w:line="186"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Our Board is responsible for the oversight of our overall Corporate Responsibility strategy, initiatives and business alignment, and has delegated to our Nominating and Governance Committee oversight of Regency’s Corporate Responsibility program and objectives</w:t>
      </w:r>
    </w:p>
    <w:p>
      <w:pPr>
        <w:spacing w:after="0" w:line="10"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Robust Board and senior management succession planning</w:t>
      </w:r>
    </w:p>
    <w:p>
      <w:pPr>
        <w:spacing w:after="0" w:line="82"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Annual self-assessment of Board and Board committee performance</w:t>
      </w:r>
    </w:p>
    <w:p>
      <w:pPr>
        <w:spacing w:after="0" w:line="82"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Ethics and compliance program oversight by Nominating and Governance Committee</w:t>
      </w:r>
    </w:p>
    <w:p>
      <w:pPr>
        <w:spacing w:after="0" w:line="82" w:lineRule="exact"/>
        <w:rPr>
          <w:sz w:val="20"/>
          <w:szCs w:val="20"/>
          <w:color w:val="auto"/>
        </w:rPr>
      </w:pPr>
    </w:p>
    <w:p>
      <w:pPr>
        <w:ind w:right="60"/>
        <w:spacing w:after="0" w:line="243"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Cybersecurity and artificial intelligence (“AI”) policy oversight by a combination of our Board and Audit Committee, respectively </w:t>
      </w:r>
      <w:r>
        <w:rPr>
          <w:rFonts w:ascii="MS PGothic" w:cs="MS PGothic" w:eastAsia="MS PGothic" w:hAnsi="MS PGothic"/>
          <w:sz w:val="14"/>
          <w:szCs w:val="14"/>
          <w:color w:val="E56D3D"/>
        </w:rPr>
        <w:t>✓</w:t>
      </w:r>
      <w:r>
        <w:rPr>
          <w:rFonts w:ascii="Arial" w:cs="Arial" w:eastAsia="Arial" w:hAnsi="Arial"/>
          <w:sz w:val="14"/>
          <w:szCs w:val="14"/>
          <w:color w:val="auto"/>
        </w:rPr>
        <w:t xml:space="preserve">   Nominating and Governance Committee oversight of political contributions (de minimis amounts in 2025) </w:t>
      </w:r>
      <w:r>
        <w:rPr>
          <w:rFonts w:ascii="MS PGothic" w:cs="MS PGothic" w:eastAsia="MS PGothic" w:hAnsi="MS PGothic"/>
          <w:sz w:val="14"/>
          <w:szCs w:val="14"/>
          <w:color w:val="E56D3D"/>
        </w:rPr>
        <w:t>✓</w:t>
      </w:r>
      <w:r>
        <w:rPr>
          <w:rFonts w:ascii="Arial" w:cs="Arial" w:eastAsia="Arial" w:hAnsi="Arial"/>
          <w:sz w:val="14"/>
          <w:szCs w:val="14"/>
          <w:color w:val="auto"/>
        </w:rPr>
        <w:t xml:space="preserve">   Code of Business Conduct and Ethics applicable to all directors, officers and employees</w:t>
      </w:r>
    </w:p>
    <w:p>
      <w:pPr>
        <w:spacing w:after="0" w:line="200" w:lineRule="exact"/>
        <w:rPr>
          <w:sz w:val="20"/>
          <w:szCs w:val="20"/>
          <w:color w:val="auto"/>
        </w:rPr>
      </w:pPr>
    </w:p>
    <w:p>
      <w:pPr>
        <w:sectPr>
          <w:pgSz w:w="11900" w:h="16838" w:orient="portrait"/>
          <w:cols w:equalWidth="0" w:num="2">
            <w:col w:w="2040" w:space="720"/>
            <w:col w:w="838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Annual incentives for our named executive officers (NEOs) based primarily on financial performance</w:t>
      </w:r>
    </w:p>
    <w:p>
      <w:pPr>
        <w:spacing w:after="0" w:line="82" w:lineRule="exact"/>
        <w:rPr>
          <w:sz w:val="20"/>
          <w:szCs w:val="20"/>
          <w:color w:val="auto"/>
        </w:rPr>
      </w:pPr>
    </w:p>
    <w:p>
      <w:pPr>
        <w:ind w:right="140"/>
        <w:spacing w:after="0" w:line="243"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Long-term incentives for NEOs largely based on relative total shareholder return (TSR), to foster alignment with shareholders </w:t>
      </w:r>
      <w:r>
        <w:rPr>
          <w:rFonts w:ascii="MS PGothic" w:cs="MS PGothic" w:eastAsia="MS PGothic" w:hAnsi="MS PGothic"/>
          <w:sz w:val="14"/>
          <w:szCs w:val="14"/>
          <w:color w:val="E56D3D"/>
        </w:rPr>
        <w:t>✓</w:t>
      </w:r>
      <w:r>
        <w:rPr>
          <w:rFonts w:ascii="Arial" w:cs="Arial" w:eastAsia="Arial" w:hAnsi="Arial"/>
          <w:sz w:val="14"/>
          <w:szCs w:val="14"/>
          <w:color w:val="auto"/>
        </w:rPr>
        <w:t xml:space="preserve">   Stock ownership policy for directors and senior management</w:t>
      </w:r>
    </w:p>
    <w:p>
      <w:pPr>
        <w:spacing w:after="0" w:line="2" w:lineRule="exact"/>
        <w:rPr>
          <w:sz w:val="20"/>
          <w:szCs w:val="20"/>
          <w:color w:val="auto"/>
        </w:rPr>
      </w:pPr>
    </w:p>
    <w:p>
      <w:pPr>
        <w:ind w:right="3240"/>
        <w:spacing w:after="0" w:line="243"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Prohibition of hedging and pledging Company stock by officers and directors </w:t>
      </w:r>
      <w:r>
        <w:rPr>
          <w:rFonts w:ascii="MS PGothic" w:cs="MS PGothic" w:eastAsia="MS PGothic" w:hAnsi="MS PGothic"/>
          <w:sz w:val="14"/>
          <w:szCs w:val="14"/>
          <w:color w:val="E56D3D"/>
        </w:rPr>
        <w:t>✓</w:t>
      </w:r>
      <w:r>
        <w:rPr>
          <w:rFonts w:ascii="Arial" w:cs="Arial" w:eastAsia="Arial" w:hAnsi="Arial"/>
          <w:sz w:val="14"/>
          <w:szCs w:val="14"/>
          <w:color w:val="auto"/>
        </w:rPr>
        <w:t xml:space="preserve">   Annual risk assessment of executive compensation programs</w:t>
      </w:r>
    </w:p>
    <w:p>
      <w:pPr>
        <w:spacing w:after="0" w:line="2"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E56D3D"/>
        </w:rPr>
        <w:t>✓</w:t>
      </w:r>
      <w:r>
        <w:rPr>
          <w:rFonts w:ascii="Arial" w:cs="Arial" w:eastAsia="Arial" w:hAnsi="Arial"/>
          <w:sz w:val="14"/>
          <w:szCs w:val="14"/>
          <w:color w:val="auto"/>
        </w:rPr>
        <w:t xml:space="preserve">    Clawback policies beyond what is required by SEC rules covering all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266700</wp:posOffset>
            </wp:positionV>
            <wp:extent cx="6995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380"/>
          </w:cols>
          <w:pgMar w:left="320" w:top="482" w:right="439" w:bottom="1440" w:gutter="0" w:footer="0" w:header="0"/>
          <w:type w:val="continuous"/>
        </w:sectPr>
      </w:pPr>
    </w:p>
    <w:p>
      <w:pPr>
        <w:spacing w:after="0" w:line="363" w:lineRule="exact"/>
        <w:rPr>
          <w:sz w:val="20"/>
          <w:szCs w:val="20"/>
          <w:color w:val="auto"/>
        </w:rPr>
      </w:pPr>
    </w:p>
    <w:p>
      <w:pPr>
        <w:ind w:left="808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3</w:t>
      </w:r>
    </w:p>
    <w:p>
      <w:pPr>
        <w:sectPr>
          <w:pgSz w:w="11900" w:h="16838" w:orient="portrait"/>
          <w:cols w:equalWidth="0" w:num="1">
            <w:col w:w="11140"/>
          </w:cols>
          <w:pgMar w:left="320" w:top="482"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Proxy Summary</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Our Board of Directors at a Glance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Below is an overview of some of the key attributes of our eleven nominees for election as directors at the 2026 Annual Meeting of Shareholders.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information can be found in the skills matrix and biographies for each Board member under 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233680</wp:posOffset>
            </wp:positionV>
            <wp:extent cx="6309360" cy="68237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9360" cy="682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line="243" w:lineRule="auto"/>
        <w:rPr>
          <w:sz w:val="20"/>
          <w:szCs w:val="20"/>
          <w:color w:val="auto"/>
        </w:rPr>
      </w:pPr>
      <w:r>
        <w:rPr>
          <w:rFonts w:ascii="Arial" w:cs="Arial" w:eastAsia="Arial" w:hAnsi="Arial"/>
          <w:sz w:val="13"/>
          <w:szCs w:val="13"/>
          <w:color w:val="auto"/>
        </w:rPr>
        <w:t>* Mr. Simmons self-identifies as African American. Mss. Campbell, Evens, Klein and Palmer self-identify as female.</w:t>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4</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0960"/>
          </w:cols>
          <w:pgMar w:left="320" w:top="482" w:right="6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Proxy Summary </w:t>
      </w:r>
      <w:r>
        <w:rPr>
          <w:rFonts w:ascii="Arial" w:cs="Arial" w:eastAsia="Arial" w:hAnsi="Arial"/>
          <w:sz w:val="19"/>
          <w:szCs w:val="19"/>
          <w:b w:val="1"/>
          <w:bCs w:val="1"/>
          <w:color w:val="E56D3D"/>
        </w:rPr>
        <w:t>|</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E56D3D"/>
        </w:rPr>
        <w:t>Excellence in Corporate Responsibility</w:t>
      </w:r>
    </w:p>
    <w:p>
      <w:pPr>
        <w:spacing w:after="0" w:line="211"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auto"/>
        </w:rPr>
        <w:t>Regency’s Core Values, including the importance that we place on corporate responsibility, are at the foundation of who we are and what we do. We believe that acting responsibly is strategic to value creation for our investors, the long-term resiliency and sustainability of our assets and business, the interests of our shareholders and other key stakeholders, and the protection of the environment. Our Corporate Responsibility program is built on four pillars: our people, our communities, ethics and governance, and environmental stewardship, and is guided by our focus on three overarching concepts: long-term value creation for our shareholders and key stakeholders, the importance of maintaining and nurturing our culture, and protecting and enhancing Regency’s brand and reputation.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Our Corporate Responsibility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243205</wp:posOffset>
            </wp:positionV>
            <wp:extent cx="4320540" cy="4320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20540"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Corporate Responsibility Oversight and Alignment with Business Strategy</w:t>
      </w:r>
    </w:p>
    <w:p>
      <w:pPr>
        <w:spacing w:after="0" w:line="193"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auto"/>
        </w:rPr>
        <w:t>Our Board is responsible for the oversight of our corporate responsibility strategy, initiatives, and business alignment, and has delegated to our Nominating and Governance Committee oversight of Regency’s Corporate Responsibility program and objectives. Our Corporate Responsibility Committee is comprised of senior leaders of management from key areas of our business and is tasked with working with management’s Executive Committee (which is made up of the Company’s four most senior officers) to ensure that our corporate responsibility strategies and near-and long-term objectives are embedded throughout our business decisions, processes, and activities for the benefit of our shareholders and key stakeholders. Our President and CEO, Lisa Palmer, has ultimate senior management responsibility for our Corporate Responsibility program, through her oversight of our Corporate Responsibility Committee and the leadership of our management’s Executive Committee.</w:t>
      </w:r>
    </w:p>
    <w:p>
      <w:pPr>
        <w:spacing w:after="0" w:line="109" w:lineRule="exact"/>
        <w:rPr>
          <w:sz w:val="20"/>
          <w:szCs w:val="20"/>
          <w:color w:val="auto"/>
        </w:rPr>
      </w:pPr>
    </w:p>
    <w:p>
      <w:pPr>
        <w:ind w:left="808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5</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Proxy Summary</w:t>
      </w:r>
    </w:p>
    <w:p>
      <w:pPr>
        <w:spacing w:after="0" w:line="144"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In 2025, the Board’s Nominating and Governance Committee, and our full Board, were briefed regularly on our Corporate Responsibility program and objectives, including strategic sustainability and employee and community engagement initiatives, performance against metrics and targets, sustainability reporting, and the evolving landscape of expectations and practices among our investors and key stakeholders.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Corporate Responsibility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243205</wp:posOffset>
            </wp:positionV>
            <wp:extent cx="5092065" cy="2837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9206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Our Approach to Corporate Responsibility Reporting and Disclosure</w:t>
      </w:r>
    </w:p>
    <w:p>
      <w:pPr>
        <w:spacing w:after="0" w:line="7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We routinely engage with our investors and other stakeholders to better understand their expectations and reflect on their priorities. We understand that our investors and other stakeholders expect disclosure of corporate responsibility-related information relevant to the performance, ongoing resilience and sustainability of our assets and business, and we remain committed to disclosure that is transparent, accurate, and aligned with our Core Values. Our dedication to the four pillars of our program helps to ensure that we continue to hold ourselves to our high standards of integrity and accountability in our corporate responsibility reporting and initiatives. In May 2025, we issued our annual Corporate Responsibility Report, which, as preferred by many of our investors, was prepared in accordance with the Global Reporting Initiative (“GRI”) standard and aligned with the United Nations Sustainable Development Goals, Sustainability Accounting Standards Board (“SASB”) and Task Force on Climate-related Financial Disclosures (“TCFD”) frameworks. To access our Corporate Responsibility Report, along with our other corporate responsibility reports and policies, including our strategy, goals, quantitative metrics and performance, visit our website at https://www.regencycenters.com/corporate-responsibility.</w:t>
      </w:r>
    </w:p>
    <w:p>
      <w:pPr>
        <w:spacing w:after="0" w:line="160" w:lineRule="exact"/>
        <w:rPr>
          <w:sz w:val="20"/>
          <w:szCs w:val="20"/>
          <w:color w:val="auto"/>
        </w:rPr>
      </w:pPr>
    </w:p>
    <w:p>
      <w:pPr>
        <w:ind w:left="120" w:right="20"/>
        <w:spacing w:after="0" w:line="265" w:lineRule="auto"/>
        <w:rPr>
          <w:sz w:val="20"/>
          <w:szCs w:val="20"/>
          <w:color w:val="auto"/>
        </w:rPr>
      </w:pPr>
      <w:r>
        <w:rPr>
          <w:rFonts w:ascii="Arial" w:cs="Arial" w:eastAsia="Arial" w:hAnsi="Arial"/>
          <w:sz w:val="16"/>
          <w:szCs w:val="16"/>
          <w:i w:val="1"/>
          <w:iCs w:val="1"/>
          <w:color w:val="auto"/>
        </w:rPr>
        <w:t>The content on our website, including our Corporate Responsibility reports and other information related to corporate responsibility, is not incorporated by reference into this proxy statement or any other report or document we file with the SEC, and any references to our website are intended to be inactive textual references only.</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6</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00"/>
          </w:cols>
          <w:pgMar w:left="320" w:top="482"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Proxy Summary </w:t>
      </w:r>
      <w:r>
        <w:rPr>
          <w:rFonts w:ascii="Arial" w:cs="Arial" w:eastAsia="Arial" w:hAnsi="Arial"/>
          <w:sz w:val="19"/>
          <w:szCs w:val="19"/>
          <w:b w:val="1"/>
          <w:bCs w:val="1"/>
          <w:color w:val="E56D3D"/>
        </w:rPr>
        <w:t>|</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E56D3D"/>
        </w:rPr>
        <w:t>Excellence in Stakeholder Engagement</w:t>
      </w:r>
    </w:p>
    <w:p>
      <w:pPr>
        <w:spacing w:after="0" w:line="211"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Our year-round active engagement with our shareholders and key stakeholders important to our business success supports and enhances our near- and long-term strategies for value creation.</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540" w:type="dxa"/>
            <w:vAlign w:val="bottom"/>
            <w:gridSpan w:val="2"/>
          </w:tcPr>
          <w:p>
            <w:pPr>
              <w:ind w:left="60"/>
              <w:spacing w:after="0"/>
              <w:rPr>
                <w:sz w:val="20"/>
                <w:szCs w:val="20"/>
                <w:color w:val="auto"/>
              </w:rPr>
            </w:pPr>
            <w:r>
              <w:rPr>
                <w:rFonts w:ascii="Arial" w:cs="Arial" w:eastAsia="Arial" w:hAnsi="Arial"/>
                <w:sz w:val="14"/>
                <w:szCs w:val="14"/>
                <w:b w:val="1"/>
                <w:bCs w:val="1"/>
                <w:color w:val="auto"/>
              </w:rPr>
              <w:t>Stakeholder Group</w:t>
            </w:r>
          </w:p>
        </w:tc>
        <w:tc>
          <w:tcPr>
            <w:tcW w:w="200" w:type="dxa"/>
            <w:vAlign w:val="bottom"/>
          </w:tcPr>
          <w:p>
            <w:pPr>
              <w:spacing w:after="0"/>
              <w:rPr>
                <w:sz w:val="17"/>
                <w:szCs w:val="17"/>
                <w:color w:val="auto"/>
              </w:rPr>
            </w:pPr>
          </w:p>
        </w:tc>
        <w:tc>
          <w:tcPr>
            <w:tcW w:w="6080" w:type="dxa"/>
            <w:vAlign w:val="bottom"/>
          </w:tcPr>
          <w:p>
            <w:pPr>
              <w:ind w:left="2200"/>
              <w:spacing w:after="0"/>
              <w:rPr>
                <w:sz w:val="20"/>
                <w:szCs w:val="20"/>
                <w:color w:val="auto"/>
              </w:rPr>
            </w:pPr>
            <w:r>
              <w:rPr>
                <w:rFonts w:ascii="Arial" w:cs="Arial" w:eastAsia="Arial" w:hAnsi="Arial"/>
                <w:sz w:val="14"/>
                <w:szCs w:val="14"/>
                <w:b w:val="1"/>
                <w:bCs w:val="1"/>
                <w:color w:val="auto"/>
              </w:rPr>
              <w:t>Engagement Approach</w:t>
            </w:r>
          </w:p>
        </w:tc>
        <w:tc>
          <w:tcPr>
            <w:tcW w:w="2200" w:type="dxa"/>
            <w:vAlign w:val="bottom"/>
          </w:tcPr>
          <w:p>
            <w:pPr>
              <w:ind w:left="760"/>
              <w:spacing w:after="0"/>
              <w:rPr>
                <w:sz w:val="20"/>
                <w:szCs w:val="20"/>
                <w:color w:val="auto"/>
              </w:rPr>
            </w:pPr>
            <w:r>
              <w:rPr>
                <w:rFonts w:ascii="Arial" w:cs="Arial" w:eastAsia="Arial" w:hAnsi="Arial"/>
                <w:sz w:val="14"/>
                <w:szCs w:val="14"/>
                <w:b w:val="1"/>
                <w:bCs w:val="1"/>
                <w:color w:val="auto"/>
              </w:rPr>
              <w:t>Topics of Discussion</w:t>
            </w:r>
          </w:p>
        </w:tc>
        <w:tc>
          <w:tcPr>
            <w:tcW w:w="0" w:type="dxa"/>
            <w:vAlign w:val="bottom"/>
          </w:tcPr>
          <w:p>
            <w:pPr>
              <w:spacing w:after="0"/>
              <w:rPr>
                <w:sz w:val="1"/>
                <w:szCs w:val="1"/>
                <w:color w:val="auto"/>
              </w:rPr>
            </w:pPr>
          </w:p>
        </w:tc>
      </w:tr>
      <w:tr>
        <w:trPr>
          <w:trHeight w:val="43"/>
        </w:trPr>
        <w:tc>
          <w:tcPr>
            <w:tcW w:w="880" w:type="dxa"/>
            <w:vAlign w:val="bottom"/>
            <w:tcBorders>
              <w:bottom w:val="single" w:sz="8" w:color="E56D3D"/>
            </w:tcBorders>
          </w:tcPr>
          <w:p>
            <w:pPr>
              <w:spacing w:after="0"/>
              <w:rPr>
                <w:sz w:val="3"/>
                <w:szCs w:val="3"/>
                <w:color w:val="auto"/>
              </w:rPr>
            </w:pPr>
          </w:p>
        </w:tc>
        <w:tc>
          <w:tcPr>
            <w:tcW w:w="1660" w:type="dxa"/>
            <w:vAlign w:val="bottom"/>
            <w:tcBorders>
              <w:bottom w:val="single" w:sz="8" w:color="E56D3D"/>
            </w:tcBorders>
          </w:tcPr>
          <w:p>
            <w:pPr>
              <w:spacing w:after="0"/>
              <w:rPr>
                <w:sz w:val="3"/>
                <w:szCs w:val="3"/>
                <w:color w:val="auto"/>
              </w:rPr>
            </w:pPr>
          </w:p>
        </w:tc>
        <w:tc>
          <w:tcPr>
            <w:tcW w:w="200" w:type="dxa"/>
            <w:vAlign w:val="bottom"/>
            <w:tcBorders>
              <w:bottom w:val="single" w:sz="8" w:color="E56D3D"/>
            </w:tcBorders>
          </w:tcPr>
          <w:p>
            <w:pPr>
              <w:spacing w:after="0"/>
              <w:rPr>
                <w:sz w:val="3"/>
                <w:szCs w:val="3"/>
                <w:color w:val="auto"/>
              </w:rPr>
            </w:pPr>
          </w:p>
        </w:tc>
        <w:tc>
          <w:tcPr>
            <w:tcW w:w="6080" w:type="dxa"/>
            <w:vAlign w:val="bottom"/>
            <w:tcBorders>
              <w:bottom w:val="single" w:sz="8" w:color="E56D3D"/>
            </w:tcBorders>
          </w:tcPr>
          <w:p>
            <w:pPr>
              <w:spacing w:after="0"/>
              <w:rPr>
                <w:sz w:val="3"/>
                <w:szCs w:val="3"/>
                <w:color w:val="auto"/>
              </w:rPr>
            </w:pPr>
          </w:p>
        </w:tc>
        <w:tc>
          <w:tcPr>
            <w:tcW w:w="2200" w:type="dxa"/>
            <w:vAlign w:val="bottom"/>
            <w:tcBorders>
              <w:bottom w:val="single" w:sz="8" w:color="E56D3D"/>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880" w:type="dxa"/>
            <w:vAlign w:val="bottom"/>
            <w:shd w:val="clear" w:color="auto" w:fill="F7F7F7"/>
          </w:tcPr>
          <w:p>
            <w:pPr>
              <w:spacing w:after="0"/>
              <w:rPr>
                <w:sz w:val="24"/>
                <w:szCs w:val="24"/>
                <w:color w:val="auto"/>
              </w:rPr>
            </w:pPr>
          </w:p>
        </w:tc>
        <w:tc>
          <w:tcPr>
            <w:tcW w:w="1660" w:type="dxa"/>
            <w:vAlign w:val="bottom"/>
            <w:tcBorders>
              <w:right w:val="single" w:sz="8" w:color="auto"/>
            </w:tcBorders>
            <w:shd w:val="clear" w:color="auto" w:fill="F7F7F7"/>
          </w:tcPr>
          <w:p>
            <w:pPr>
              <w:spacing w:after="0"/>
              <w:rPr>
                <w:sz w:val="24"/>
                <w:szCs w:val="24"/>
                <w:color w:val="auto"/>
              </w:rPr>
            </w:pPr>
          </w:p>
        </w:tc>
        <w:tc>
          <w:tcPr>
            <w:tcW w:w="200" w:type="dxa"/>
            <w:vAlign w:val="bottom"/>
            <w:shd w:val="clear" w:color="auto" w:fill="F7F7F7"/>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shd w:val="clear" w:color="auto" w:fill="F7F7F7"/>
          </w:tcPr>
          <w:p>
            <w:pPr>
              <w:ind w:left="60"/>
              <w:spacing w:after="0"/>
              <w:rPr>
                <w:sz w:val="20"/>
                <w:szCs w:val="20"/>
                <w:color w:val="auto"/>
              </w:rPr>
            </w:pPr>
            <w:r>
              <w:rPr>
                <w:rFonts w:ascii="Arial" w:cs="Arial" w:eastAsia="Arial" w:hAnsi="Arial"/>
                <w:sz w:val="16"/>
                <w:szCs w:val="16"/>
                <w:color w:val="auto"/>
              </w:rPr>
              <w:t>Transparent information sharing throughout the year via company filings, press</w:t>
            </w:r>
          </w:p>
        </w:tc>
        <w:tc>
          <w:tcPr>
            <w:tcW w:w="2200" w:type="dxa"/>
            <w:vAlign w:val="bottom"/>
            <w:shd w:val="clear" w:color="auto" w:fill="F7F7F7"/>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Company performance</w:t>
            </w:r>
          </w:p>
        </w:tc>
        <w:tc>
          <w:tcPr>
            <w:tcW w:w="0" w:type="dxa"/>
            <w:vAlign w:val="bottom"/>
          </w:tcPr>
          <w:p>
            <w:pPr>
              <w:spacing w:after="0"/>
              <w:rPr>
                <w:sz w:val="1"/>
                <w:szCs w:val="1"/>
                <w:color w:val="auto"/>
              </w:rPr>
            </w:pPr>
          </w:p>
        </w:tc>
      </w:tr>
      <w:tr>
        <w:trPr>
          <w:trHeight w:val="215"/>
        </w:trPr>
        <w:tc>
          <w:tcPr>
            <w:tcW w:w="880" w:type="dxa"/>
            <w:vAlign w:val="bottom"/>
            <w:shd w:val="clear" w:color="auto" w:fill="F7F7F7"/>
          </w:tcPr>
          <w:p>
            <w:pPr>
              <w:spacing w:after="0"/>
              <w:rPr>
                <w:sz w:val="18"/>
                <w:szCs w:val="18"/>
                <w:color w:val="auto"/>
              </w:rPr>
            </w:pPr>
          </w:p>
        </w:tc>
        <w:tc>
          <w:tcPr>
            <w:tcW w:w="1660" w:type="dxa"/>
            <w:vAlign w:val="bottom"/>
            <w:tcBorders>
              <w:right w:val="single" w:sz="8" w:color="auto"/>
            </w:tcBorders>
            <w:shd w:val="clear" w:color="auto" w:fill="F7F7F7"/>
          </w:tcPr>
          <w:p>
            <w:pPr>
              <w:spacing w:after="0"/>
              <w:rPr>
                <w:sz w:val="18"/>
                <w:szCs w:val="18"/>
                <w:color w:val="auto"/>
              </w:rPr>
            </w:pPr>
          </w:p>
        </w:tc>
        <w:tc>
          <w:tcPr>
            <w:tcW w:w="200" w:type="dxa"/>
            <w:vAlign w:val="bottom"/>
            <w:shd w:val="clear" w:color="auto" w:fill="F7F7F7"/>
          </w:tcPr>
          <w:p>
            <w:pPr>
              <w:spacing w:after="0"/>
              <w:rPr>
                <w:sz w:val="18"/>
                <w:szCs w:val="18"/>
                <w:color w:val="auto"/>
              </w:rPr>
            </w:pPr>
          </w:p>
        </w:tc>
        <w:tc>
          <w:tcPr>
            <w:tcW w:w="6080" w:type="dxa"/>
            <w:vAlign w:val="bottom"/>
            <w:tcBorders>
              <w:right w:val="single" w:sz="8" w:color="auto"/>
            </w:tcBorders>
            <w:shd w:val="clear" w:color="auto" w:fill="F7F7F7"/>
          </w:tcPr>
          <w:p>
            <w:pPr>
              <w:ind w:left="60"/>
              <w:spacing w:after="0"/>
              <w:rPr>
                <w:sz w:val="20"/>
                <w:szCs w:val="20"/>
                <w:color w:val="auto"/>
              </w:rPr>
            </w:pPr>
            <w:r>
              <w:rPr>
                <w:rFonts w:ascii="Arial" w:cs="Arial" w:eastAsia="Arial" w:hAnsi="Arial"/>
                <w:sz w:val="16"/>
                <w:szCs w:val="16"/>
                <w:color w:val="auto"/>
              </w:rPr>
              <w:t>releases, supplemental information packages and investor presentations</w:t>
            </w:r>
          </w:p>
        </w:tc>
        <w:tc>
          <w:tcPr>
            <w:tcW w:w="2200" w:type="dxa"/>
            <w:vAlign w:val="bottom"/>
            <w:shd w:val="clear" w:color="auto" w:fill="F7F7F7"/>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Strategic goals and</w:t>
            </w:r>
          </w:p>
        </w:tc>
        <w:tc>
          <w:tcPr>
            <w:tcW w:w="0" w:type="dxa"/>
            <w:vAlign w:val="bottom"/>
          </w:tcPr>
          <w:p>
            <w:pPr>
              <w:spacing w:after="0"/>
              <w:rPr>
                <w:sz w:val="1"/>
                <w:szCs w:val="1"/>
                <w:color w:val="auto"/>
              </w:rPr>
            </w:pPr>
          </w:p>
        </w:tc>
      </w:tr>
      <w:tr>
        <w:trPr>
          <w:trHeight w:val="176"/>
        </w:trPr>
        <w:tc>
          <w:tcPr>
            <w:tcW w:w="880" w:type="dxa"/>
            <w:vAlign w:val="bottom"/>
            <w:shd w:val="clear" w:color="auto" w:fill="F7F7F7"/>
          </w:tcPr>
          <w:p>
            <w:pPr>
              <w:spacing w:after="0"/>
              <w:rPr>
                <w:sz w:val="15"/>
                <w:szCs w:val="15"/>
                <w:color w:val="auto"/>
              </w:rPr>
            </w:pPr>
          </w:p>
        </w:tc>
        <w:tc>
          <w:tcPr>
            <w:tcW w:w="1660" w:type="dxa"/>
            <w:vAlign w:val="bottom"/>
            <w:tcBorders>
              <w:right w:val="single" w:sz="8" w:color="auto"/>
            </w:tcBorders>
            <w:shd w:val="clear" w:color="auto" w:fill="F7F7F7"/>
          </w:tcPr>
          <w:p>
            <w:pPr>
              <w:ind w:left="100"/>
              <w:spacing w:after="0" w:line="176" w:lineRule="exact"/>
              <w:rPr>
                <w:sz w:val="20"/>
                <w:szCs w:val="20"/>
                <w:color w:val="auto"/>
              </w:rPr>
            </w:pPr>
            <w:r>
              <w:rPr>
                <w:rFonts w:ascii="Arial" w:cs="Arial" w:eastAsia="Arial" w:hAnsi="Arial"/>
                <w:sz w:val="16"/>
                <w:szCs w:val="16"/>
                <w:b w:val="1"/>
                <w:bCs w:val="1"/>
                <w:color w:val="auto"/>
              </w:rPr>
              <w:t>Shareholders,</w:t>
            </w:r>
          </w:p>
        </w:tc>
        <w:tc>
          <w:tcPr>
            <w:tcW w:w="200" w:type="dxa"/>
            <w:vAlign w:val="bottom"/>
            <w:shd w:val="clear" w:color="auto" w:fill="F7F7F7"/>
          </w:tcPr>
          <w:p>
            <w:pPr>
              <w:ind w:left="100"/>
              <w:spacing w:after="0" w:line="176" w:lineRule="exact"/>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shd w:val="clear" w:color="auto" w:fill="F7F7F7"/>
          </w:tcPr>
          <w:p>
            <w:pPr>
              <w:ind w:left="60"/>
              <w:spacing w:after="0" w:line="176" w:lineRule="exact"/>
              <w:rPr>
                <w:sz w:val="20"/>
                <w:szCs w:val="20"/>
                <w:color w:val="auto"/>
              </w:rPr>
            </w:pPr>
            <w:r>
              <w:rPr>
                <w:rFonts w:ascii="Arial" w:cs="Arial" w:eastAsia="Arial" w:hAnsi="Arial"/>
                <w:sz w:val="16"/>
                <w:szCs w:val="16"/>
                <w:color w:val="auto"/>
              </w:rPr>
              <w:t>Direct dialogue through quarterly earnings conference calls</w:t>
            </w:r>
          </w:p>
        </w:tc>
        <w:tc>
          <w:tcPr>
            <w:tcW w:w="2200" w:type="dxa"/>
            <w:vAlign w:val="bottom"/>
            <w:shd w:val="clear" w:color="auto" w:fill="F7F7F7"/>
          </w:tcPr>
          <w:p>
            <w:pPr>
              <w:ind w:left="260"/>
              <w:spacing w:after="0" w:line="176" w:lineRule="exact"/>
              <w:rPr>
                <w:sz w:val="20"/>
                <w:szCs w:val="20"/>
                <w:color w:val="auto"/>
              </w:rPr>
            </w:pPr>
            <w:r>
              <w:rPr>
                <w:rFonts w:ascii="Arial" w:cs="Arial" w:eastAsia="Arial" w:hAnsi="Arial"/>
                <w:sz w:val="16"/>
                <w:szCs w:val="16"/>
                <w:color w:val="auto"/>
              </w:rPr>
              <w:t>objectives</w:t>
            </w:r>
          </w:p>
        </w:tc>
        <w:tc>
          <w:tcPr>
            <w:tcW w:w="0" w:type="dxa"/>
            <w:vAlign w:val="bottom"/>
          </w:tcPr>
          <w:p>
            <w:pPr>
              <w:spacing w:after="0"/>
              <w:rPr>
                <w:sz w:val="1"/>
                <w:szCs w:val="1"/>
                <w:color w:val="auto"/>
              </w:rPr>
            </w:pPr>
          </w:p>
        </w:tc>
      </w:tr>
      <w:tr>
        <w:trPr>
          <w:trHeight w:val="193"/>
        </w:trPr>
        <w:tc>
          <w:tcPr>
            <w:tcW w:w="880" w:type="dxa"/>
            <w:vAlign w:val="bottom"/>
            <w:shd w:val="clear" w:color="auto" w:fill="F7F7F7"/>
          </w:tcPr>
          <w:p>
            <w:pPr>
              <w:spacing w:after="0"/>
              <w:rPr>
                <w:sz w:val="16"/>
                <w:szCs w:val="16"/>
                <w:color w:val="auto"/>
              </w:rPr>
            </w:pPr>
          </w:p>
        </w:tc>
        <w:tc>
          <w:tcPr>
            <w:tcW w:w="1660" w:type="dxa"/>
            <w:vAlign w:val="bottom"/>
            <w:tcBorders>
              <w:right w:val="single" w:sz="8" w:color="auto"/>
            </w:tcBorders>
            <w:shd w:val="clear" w:color="auto" w:fill="F7F7F7"/>
          </w:tcPr>
          <w:p>
            <w:pPr>
              <w:ind w:left="100"/>
              <w:spacing w:after="0"/>
              <w:rPr>
                <w:sz w:val="20"/>
                <w:szCs w:val="20"/>
                <w:color w:val="auto"/>
              </w:rPr>
            </w:pPr>
            <w:r>
              <w:rPr>
                <w:rFonts w:ascii="Arial" w:cs="Arial" w:eastAsia="Arial" w:hAnsi="Arial"/>
                <w:sz w:val="16"/>
                <w:szCs w:val="16"/>
                <w:b w:val="1"/>
                <w:bCs w:val="1"/>
                <w:color w:val="auto"/>
              </w:rPr>
              <w:t>Bondholders</w:t>
            </w:r>
          </w:p>
        </w:tc>
        <w:tc>
          <w:tcPr>
            <w:tcW w:w="200" w:type="dxa"/>
            <w:vAlign w:val="bottom"/>
            <w:shd w:val="clear" w:color="auto" w:fill="F7F7F7"/>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shd w:val="clear" w:color="auto" w:fill="F7F7F7"/>
          </w:tcPr>
          <w:p>
            <w:pPr>
              <w:ind w:left="60"/>
              <w:spacing w:after="0"/>
              <w:rPr>
                <w:sz w:val="20"/>
                <w:szCs w:val="20"/>
                <w:color w:val="auto"/>
              </w:rPr>
            </w:pPr>
            <w:r>
              <w:rPr>
                <w:rFonts w:ascii="Arial" w:cs="Arial" w:eastAsia="Arial" w:hAnsi="Arial"/>
                <w:sz w:val="16"/>
                <w:szCs w:val="16"/>
                <w:color w:val="auto"/>
              </w:rPr>
              <w:t>In 2025, actively communicated with shareholders representing more than 80% of</w:t>
            </w:r>
          </w:p>
        </w:tc>
        <w:tc>
          <w:tcPr>
            <w:tcW w:w="2200" w:type="dxa"/>
            <w:vAlign w:val="bottom"/>
            <w:shd w:val="clear" w:color="auto" w:fill="F7F7F7"/>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Transparent disclosure</w:t>
            </w:r>
          </w:p>
        </w:tc>
        <w:tc>
          <w:tcPr>
            <w:tcW w:w="0" w:type="dxa"/>
            <w:vAlign w:val="bottom"/>
          </w:tcPr>
          <w:p>
            <w:pPr>
              <w:spacing w:after="0"/>
              <w:rPr>
                <w:sz w:val="1"/>
                <w:szCs w:val="1"/>
                <w:color w:val="auto"/>
              </w:rPr>
            </w:pPr>
          </w:p>
        </w:tc>
      </w:tr>
      <w:tr>
        <w:trPr>
          <w:trHeight w:val="198"/>
        </w:trPr>
        <w:tc>
          <w:tcPr>
            <w:tcW w:w="880" w:type="dxa"/>
            <w:vAlign w:val="bottom"/>
            <w:shd w:val="clear" w:color="auto" w:fill="F7F7F7"/>
          </w:tcPr>
          <w:p>
            <w:pPr>
              <w:spacing w:after="0"/>
              <w:rPr>
                <w:sz w:val="17"/>
                <w:szCs w:val="17"/>
                <w:color w:val="auto"/>
              </w:rPr>
            </w:pPr>
          </w:p>
        </w:tc>
        <w:tc>
          <w:tcPr>
            <w:tcW w:w="1660" w:type="dxa"/>
            <w:vAlign w:val="bottom"/>
            <w:tcBorders>
              <w:right w:val="single" w:sz="8" w:color="auto"/>
            </w:tcBorders>
            <w:shd w:val="clear" w:color="auto" w:fill="F7F7F7"/>
          </w:tcPr>
          <w:p>
            <w:pPr>
              <w:ind w:left="100"/>
              <w:spacing w:after="0"/>
              <w:rPr>
                <w:sz w:val="20"/>
                <w:szCs w:val="20"/>
                <w:color w:val="auto"/>
              </w:rPr>
            </w:pPr>
            <w:r>
              <w:rPr>
                <w:rFonts w:ascii="Arial" w:cs="Arial" w:eastAsia="Arial" w:hAnsi="Arial"/>
                <w:sz w:val="16"/>
                <w:szCs w:val="16"/>
                <w:b w:val="1"/>
                <w:bCs w:val="1"/>
                <w:color w:val="auto"/>
              </w:rPr>
              <w:t>&amp; Lenders</w:t>
            </w:r>
          </w:p>
        </w:tc>
        <w:tc>
          <w:tcPr>
            <w:tcW w:w="200" w:type="dxa"/>
            <w:vAlign w:val="bottom"/>
            <w:shd w:val="clear" w:color="auto" w:fill="F7F7F7"/>
          </w:tcPr>
          <w:p>
            <w:pPr>
              <w:spacing w:after="0"/>
              <w:rPr>
                <w:sz w:val="17"/>
                <w:szCs w:val="17"/>
                <w:color w:val="auto"/>
              </w:rPr>
            </w:pPr>
          </w:p>
        </w:tc>
        <w:tc>
          <w:tcPr>
            <w:tcW w:w="6080" w:type="dxa"/>
            <w:vAlign w:val="bottom"/>
            <w:tcBorders>
              <w:right w:val="single" w:sz="8" w:color="auto"/>
            </w:tcBorders>
            <w:shd w:val="clear" w:color="auto" w:fill="F7F7F7"/>
          </w:tcPr>
          <w:p>
            <w:pPr>
              <w:ind w:left="60"/>
              <w:spacing w:after="0"/>
              <w:rPr>
                <w:sz w:val="20"/>
                <w:szCs w:val="20"/>
                <w:color w:val="auto"/>
              </w:rPr>
            </w:pPr>
            <w:r>
              <w:rPr>
                <w:rFonts w:ascii="Arial" w:cs="Arial" w:eastAsia="Arial" w:hAnsi="Arial"/>
                <w:sz w:val="16"/>
                <w:szCs w:val="16"/>
                <w:color w:val="auto"/>
              </w:rPr>
              <w:t>our common stock ownership</w:t>
            </w:r>
          </w:p>
        </w:tc>
        <w:tc>
          <w:tcPr>
            <w:tcW w:w="2200" w:type="dxa"/>
            <w:vAlign w:val="bottom"/>
            <w:shd w:val="clear" w:color="auto" w:fill="F7F7F7"/>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Corporate governance</w:t>
            </w:r>
          </w:p>
        </w:tc>
        <w:tc>
          <w:tcPr>
            <w:tcW w:w="0" w:type="dxa"/>
            <w:vAlign w:val="bottom"/>
          </w:tcPr>
          <w:p>
            <w:pPr>
              <w:spacing w:after="0"/>
              <w:rPr>
                <w:sz w:val="1"/>
                <w:szCs w:val="1"/>
                <w:color w:val="auto"/>
              </w:rPr>
            </w:pPr>
          </w:p>
        </w:tc>
      </w:tr>
      <w:tr>
        <w:trPr>
          <w:trHeight w:val="203"/>
        </w:trPr>
        <w:tc>
          <w:tcPr>
            <w:tcW w:w="880" w:type="dxa"/>
            <w:vAlign w:val="bottom"/>
            <w:shd w:val="clear" w:color="auto" w:fill="F7F7F7"/>
          </w:tcPr>
          <w:p>
            <w:pPr>
              <w:spacing w:after="0"/>
              <w:rPr>
                <w:sz w:val="17"/>
                <w:szCs w:val="17"/>
                <w:color w:val="auto"/>
              </w:rPr>
            </w:pPr>
          </w:p>
        </w:tc>
        <w:tc>
          <w:tcPr>
            <w:tcW w:w="1660" w:type="dxa"/>
            <w:vAlign w:val="bottom"/>
            <w:tcBorders>
              <w:right w:val="single" w:sz="8" w:color="auto"/>
            </w:tcBorders>
            <w:shd w:val="clear" w:color="auto" w:fill="F7F7F7"/>
          </w:tcPr>
          <w:p>
            <w:pPr>
              <w:spacing w:after="0"/>
              <w:rPr>
                <w:sz w:val="17"/>
                <w:szCs w:val="17"/>
                <w:color w:val="auto"/>
              </w:rPr>
            </w:pPr>
          </w:p>
        </w:tc>
        <w:tc>
          <w:tcPr>
            <w:tcW w:w="200" w:type="dxa"/>
            <w:vAlign w:val="bottom"/>
            <w:shd w:val="clear" w:color="auto" w:fill="F7F7F7"/>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shd w:val="clear" w:color="auto" w:fill="F7F7F7"/>
          </w:tcPr>
          <w:p>
            <w:pPr>
              <w:ind w:left="60"/>
              <w:spacing w:after="0"/>
              <w:rPr>
                <w:sz w:val="20"/>
                <w:szCs w:val="20"/>
                <w:color w:val="auto"/>
              </w:rPr>
            </w:pPr>
            <w:r>
              <w:rPr>
                <w:rFonts w:ascii="Arial" w:cs="Arial" w:eastAsia="Arial" w:hAnsi="Arial"/>
                <w:sz w:val="16"/>
                <w:szCs w:val="16"/>
                <w:color w:val="auto"/>
              </w:rPr>
              <w:t>One-on-one and group meetings, calls, property tours and Regency-hosted events</w:t>
            </w:r>
          </w:p>
        </w:tc>
        <w:tc>
          <w:tcPr>
            <w:tcW w:w="2200" w:type="dxa"/>
            <w:vAlign w:val="bottom"/>
            <w:shd w:val="clear" w:color="auto" w:fill="F7F7F7"/>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Corporate Responsibility</w:t>
            </w:r>
          </w:p>
        </w:tc>
        <w:tc>
          <w:tcPr>
            <w:tcW w:w="0" w:type="dxa"/>
            <w:vAlign w:val="bottom"/>
          </w:tcPr>
          <w:p>
            <w:pPr>
              <w:spacing w:after="0"/>
              <w:rPr>
                <w:sz w:val="1"/>
                <w:szCs w:val="1"/>
                <w:color w:val="auto"/>
              </w:rPr>
            </w:pPr>
          </w:p>
        </w:tc>
      </w:tr>
      <w:tr>
        <w:trPr>
          <w:trHeight w:val="203"/>
        </w:trPr>
        <w:tc>
          <w:tcPr>
            <w:tcW w:w="880" w:type="dxa"/>
            <w:vAlign w:val="bottom"/>
            <w:shd w:val="clear" w:color="auto" w:fill="F7F7F7"/>
          </w:tcPr>
          <w:p>
            <w:pPr>
              <w:spacing w:after="0"/>
              <w:rPr>
                <w:sz w:val="17"/>
                <w:szCs w:val="17"/>
                <w:color w:val="auto"/>
              </w:rPr>
            </w:pPr>
          </w:p>
        </w:tc>
        <w:tc>
          <w:tcPr>
            <w:tcW w:w="1660" w:type="dxa"/>
            <w:vAlign w:val="bottom"/>
            <w:tcBorders>
              <w:right w:val="single" w:sz="8" w:color="auto"/>
            </w:tcBorders>
            <w:shd w:val="clear" w:color="auto" w:fill="F7F7F7"/>
          </w:tcPr>
          <w:p>
            <w:pPr>
              <w:spacing w:after="0"/>
              <w:rPr>
                <w:sz w:val="17"/>
                <w:szCs w:val="17"/>
                <w:color w:val="auto"/>
              </w:rPr>
            </w:pPr>
          </w:p>
        </w:tc>
        <w:tc>
          <w:tcPr>
            <w:tcW w:w="200" w:type="dxa"/>
            <w:vAlign w:val="bottom"/>
            <w:shd w:val="clear" w:color="auto" w:fill="F7F7F7"/>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shd w:val="clear" w:color="auto" w:fill="F7F7F7"/>
          </w:tcPr>
          <w:p>
            <w:pPr>
              <w:ind w:left="60"/>
              <w:spacing w:after="0"/>
              <w:rPr>
                <w:sz w:val="20"/>
                <w:szCs w:val="20"/>
                <w:color w:val="auto"/>
              </w:rPr>
            </w:pPr>
            <w:r>
              <w:rPr>
                <w:rFonts w:ascii="Arial" w:cs="Arial" w:eastAsia="Arial" w:hAnsi="Arial"/>
                <w:sz w:val="16"/>
                <w:szCs w:val="16"/>
                <w:color w:val="auto"/>
              </w:rPr>
              <w:t>Interactions facilitated via industry associations and conferences</w:t>
            </w:r>
          </w:p>
        </w:tc>
        <w:tc>
          <w:tcPr>
            <w:tcW w:w="2200" w:type="dxa"/>
            <w:vAlign w:val="bottom"/>
            <w:vMerge w:val="restart"/>
            <w:shd w:val="clear" w:color="auto" w:fill="F7F7F7"/>
          </w:tcPr>
          <w:p>
            <w:pPr>
              <w:ind w:left="260"/>
              <w:spacing w:after="0"/>
              <w:rPr>
                <w:sz w:val="20"/>
                <w:szCs w:val="20"/>
                <w:color w:val="auto"/>
              </w:rPr>
            </w:pPr>
            <w:r>
              <w:rPr>
                <w:rFonts w:ascii="Arial" w:cs="Arial" w:eastAsia="Arial" w:hAnsi="Arial"/>
                <w:sz w:val="16"/>
                <w:szCs w:val="16"/>
                <w:color w:val="auto"/>
              </w:rPr>
              <w:t>initiatives</w:t>
            </w:r>
          </w:p>
        </w:tc>
        <w:tc>
          <w:tcPr>
            <w:tcW w:w="0" w:type="dxa"/>
            <w:vAlign w:val="bottom"/>
          </w:tcPr>
          <w:p>
            <w:pPr>
              <w:spacing w:after="0"/>
              <w:rPr>
                <w:sz w:val="1"/>
                <w:szCs w:val="1"/>
                <w:color w:val="auto"/>
              </w:rPr>
            </w:pPr>
          </w:p>
        </w:tc>
      </w:tr>
      <w:tr>
        <w:trPr>
          <w:trHeight w:val="52"/>
        </w:trPr>
        <w:tc>
          <w:tcPr>
            <w:tcW w:w="880" w:type="dxa"/>
            <w:vAlign w:val="bottom"/>
            <w:shd w:val="clear" w:color="auto" w:fill="F7F7F7"/>
          </w:tcPr>
          <w:p>
            <w:pPr>
              <w:spacing w:after="0"/>
              <w:rPr>
                <w:sz w:val="4"/>
                <w:szCs w:val="4"/>
                <w:color w:val="auto"/>
              </w:rPr>
            </w:pPr>
          </w:p>
        </w:tc>
        <w:tc>
          <w:tcPr>
            <w:tcW w:w="1660" w:type="dxa"/>
            <w:vAlign w:val="bottom"/>
            <w:tcBorders>
              <w:right w:val="single" w:sz="8" w:color="auto"/>
            </w:tcBorders>
            <w:shd w:val="clear" w:color="auto" w:fill="F7F7F7"/>
          </w:tcPr>
          <w:p>
            <w:pPr>
              <w:spacing w:after="0"/>
              <w:rPr>
                <w:sz w:val="4"/>
                <w:szCs w:val="4"/>
                <w:color w:val="auto"/>
              </w:rPr>
            </w:pPr>
          </w:p>
        </w:tc>
        <w:tc>
          <w:tcPr>
            <w:tcW w:w="200" w:type="dxa"/>
            <w:vAlign w:val="bottom"/>
            <w:shd w:val="clear" w:color="auto" w:fill="F7F7F7"/>
          </w:tcPr>
          <w:p>
            <w:pPr>
              <w:spacing w:after="0"/>
              <w:rPr>
                <w:sz w:val="4"/>
                <w:szCs w:val="4"/>
                <w:color w:val="auto"/>
              </w:rPr>
            </w:pPr>
          </w:p>
        </w:tc>
        <w:tc>
          <w:tcPr>
            <w:tcW w:w="6080" w:type="dxa"/>
            <w:vAlign w:val="bottom"/>
            <w:tcBorders>
              <w:right w:val="single" w:sz="8" w:color="auto"/>
            </w:tcBorders>
            <w:shd w:val="clear" w:color="auto" w:fill="F7F7F7"/>
          </w:tcPr>
          <w:p>
            <w:pPr>
              <w:spacing w:after="0"/>
              <w:rPr>
                <w:sz w:val="4"/>
                <w:szCs w:val="4"/>
                <w:color w:val="auto"/>
              </w:rPr>
            </w:pPr>
          </w:p>
        </w:tc>
        <w:tc>
          <w:tcPr>
            <w:tcW w:w="2200" w:type="dxa"/>
            <w:vAlign w:val="bottom"/>
            <w:vMerge w:val="continue"/>
            <w:shd w:val="clear" w:color="auto" w:fill="F7F7F7"/>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880" w:type="dxa"/>
            <w:vAlign w:val="bottom"/>
            <w:tcBorders>
              <w:bottom w:val="single" w:sz="8" w:color="auto"/>
            </w:tcBorders>
            <w:shd w:val="clear" w:color="auto" w:fill="F7F7F7"/>
          </w:tcPr>
          <w:p>
            <w:pPr>
              <w:spacing w:after="0"/>
              <w:rPr>
                <w:sz w:val="10"/>
                <w:szCs w:val="10"/>
                <w:color w:val="auto"/>
              </w:rPr>
            </w:pPr>
          </w:p>
        </w:tc>
        <w:tc>
          <w:tcPr>
            <w:tcW w:w="1660" w:type="dxa"/>
            <w:vAlign w:val="bottom"/>
            <w:tcBorders>
              <w:bottom w:val="single" w:sz="8" w:color="auto"/>
              <w:right w:val="single" w:sz="8" w:color="auto"/>
            </w:tcBorders>
            <w:shd w:val="clear" w:color="auto" w:fill="F7F7F7"/>
          </w:tcPr>
          <w:p>
            <w:pPr>
              <w:spacing w:after="0"/>
              <w:rPr>
                <w:sz w:val="10"/>
                <w:szCs w:val="10"/>
                <w:color w:val="auto"/>
              </w:rPr>
            </w:pPr>
          </w:p>
        </w:tc>
        <w:tc>
          <w:tcPr>
            <w:tcW w:w="200" w:type="dxa"/>
            <w:vAlign w:val="bottom"/>
            <w:tcBorders>
              <w:bottom w:val="single" w:sz="8" w:color="auto"/>
            </w:tcBorders>
            <w:shd w:val="clear" w:color="auto" w:fill="F7F7F7"/>
          </w:tcPr>
          <w:p>
            <w:pPr>
              <w:spacing w:after="0"/>
              <w:rPr>
                <w:sz w:val="10"/>
                <w:szCs w:val="10"/>
                <w:color w:val="auto"/>
              </w:rPr>
            </w:pPr>
          </w:p>
        </w:tc>
        <w:tc>
          <w:tcPr>
            <w:tcW w:w="6080" w:type="dxa"/>
            <w:vAlign w:val="bottom"/>
            <w:tcBorders>
              <w:bottom w:val="single" w:sz="8" w:color="auto"/>
              <w:right w:val="single" w:sz="8" w:color="auto"/>
            </w:tcBorders>
            <w:shd w:val="clear" w:color="auto" w:fill="F7F7F7"/>
          </w:tcPr>
          <w:p>
            <w:pPr>
              <w:spacing w:after="0"/>
              <w:rPr>
                <w:sz w:val="10"/>
                <w:szCs w:val="10"/>
                <w:color w:val="auto"/>
              </w:rPr>
            </w:pPr>
          </w:p>
        </w:tc>
        <w:tc>
          <w:tcPr>
            <w:tcW w:w="2200" w:type="dxa"/>
            <w:vAlign w:val="bottom"/>
            <w:tcBorders>
              <w:bottom w:val="single" w:sz="8" w:color="auto"/>
            </w:tcBorders>
            <w:shd w:val="clear" w:color="auto" w:fill="F7F7F7"/>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88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Annual employee engagement surveys and review of results, feedback and action</w:t>
            </w:r>
          </w:p>
        </w:tc>
        <w:tc>
          <w:tcPr>
            <w:tcW w:w="2200" w:type="dxa"/>
            <w:vAlign w:val="bottom"/>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Employee engagement,</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plans for improvement</w:t>
            </w:r>
          </w:p>
        </w:tc>
        <w:tc>
          <w:tcPr>
            <w:tcW w:w="2200" w:type="dxa"/>
            <w:vAlign w:val="bottom"/>
          </w:tcPr>
          <w:p>
            <w:pPr>
              <w:ind w:left="260"/>
              <w:spacing w:after="0"/>
              <w:rPr>
                <w:sz w:val="20"/>
                <w:szCs w:val="20"/>
                <w:color w:val="auto"/>
              </w:rPr>
            </w:pPr>
            <w:r>
              <w:rPr>
                <w:rFonts w:ascii="Arial" w:cs="Arial" w:eastAsia="Arial" w:hAnsi="Arial"/>
                <w:sz w:val="16"/>
                <w:szCs w:val="16"/>
                <w:color w:val="auto"/>
              </w:rPr>
              <w:t>productivity, health and</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Goal setting annually by each employee with their managers</w:t>
            </w:r>
          </w:p>
        </w:tc>
        <w:tc>
          <w:tcPr>
            <w:tcW w:w="2200" w:type="dxa"/>
            <w:vAlign w:val="bottom"/>
          </w:tcPr>
          <w:p>
            <w:pPr>
              <w:ind w:left="260"/>
              <w:spacing w:after="0"/>
              <w:rPr>
                <w:sz w:val="20"/>
                <w:szCs w:val="20"/>
                <w:color w:val="auto"/>
              </w:rPr>
            </w:pPr>
            <w:r>
              <w:rPr>
                <w:rFonts w:ascii="Arial" w:cs="Arial" w:eastAsia="Arial" w:hAnsi="Arial"/>
                <w:sz w:val="16"/>
                <w:szCs w:val="16"/>
                <w:color w:val="auto"/>
              </w:rPr>
              <w:t>safety</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Direct dialogue through employee review meetings, company-wide town hall</w:t>
            </w:r>
          </w:p>
        </w:tc>
        <w:tc>
          <w:tcPr>
            <w:tcW w:w="2200" w:type="dxa"/>
            <w:vAlign w:val="bottom"/>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Corporate Responsibility</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6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Employees</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meetings and question &amp; answer sessions with the Executive Committee</w:t>
            </w:r>
          </w:p>
        </w:tc>
        <w:tc>
          <w:tcPr>
            <w:tcW w:w="2200" w:type="dxa"/>
            <w:vAlign w:val="bottom"/>
          </w:tcPr>
          <w:p>
            <w:pPr>
              <w:ind w:left="260"/>
              <w:spacing w:after="0"/>
              <w:rPr>
                <w:sz w:val="20"/>
                <w:szCs w:val="20"/>
                <w:color w:val="auto"/>
              </w:rPr>
            </w:pPr>
            <w:r>
              <w:rPr>
                <w:rFonts w:ascii="Arial" w:cs="Arial" w:eastAsia="Arial" w:hAnsi="Arial"/>
                <w:sz w:val="16"/>
                <w:szCs w:val="16"/>
                <w:color w:val="auto"/>
              </w:rPr>
              <w:t>initiatives</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200" w:type="dxa"/>
            <w:vAlign w:val="bottom"/>
            <w:vMerge w:val="continue"/>
          </w:tcPr>
          <w:p>
            <w:pPr>
              <w:spacing w:after="0"/>
              <w:rPr>
                <w:sz w:val="16"/>
                <w:szCs w:val="16"/>
                <w:color w:val="auto"/>
              </w:rPr>
            </w:pP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Employee task forces and focus groups on Corporate Responsibility initiatives and</w:t>
            </w:r>
          </w:p>
        </w:tc>
        <w:tc>
          <w:tcPr>
            <w:tcW w:w="2200" w:type="dxa"/>
            <w:vAlign w:val="bottom"/>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Benefits and</w:t>
            </w: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80" w:type="dxa"/>
            <w:vAlign w:val="bottom"/>
            <w:tcBorders>
              <w:right w:val="single" w:sz="8" w:color="auto"/>
            </w:tcBorders>
          </w:tcPr>
          <w:p>
            <w:pPr>
              <w:ind w:left="60"/>
              <w:spacing w:after="0" w:line="163" w:lineRule="exact"/>
              <w:rPr>
                <w:sz w:val="20"/>
                <w:szCs w:val="20"/>
                <w:color w:val="auto"/>
              </w:rPr>
            </w:pPr>
            <w:r>
              <w:rPr>
                <w:rFonts w:ascii="Arial" w:cs="Arial" w:eastAsia="Arial" w:hAnsi="Arial"/>
                <w:sz w:val="16"/>
                <w:szCs w:val="16"/>
                <w:color w:val="auto"/>
              </w:rPr>
              <w:t>actions, including employee resource groups open to all employees</w:t>
            </w:r>
          </w:p>
        </w:tc>
        <w:tc>
          <w:tcPr>
            <w:tcW w:w="2200" w:type="dxa"/>
            <w:vAlign w:val="bottom"/>
          </w:tcPr>
          <w:p>
            <w:pPr>
              <w:ind w:left="260"/>
              <w:spacing w:after="0" w:line="163" w:lineRule="exact"/>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Formal third-party reporting mechanisms to raise any ethical and compliance</w:t>
            </w:r>
          </w:p>
        </w:tc>
        <w:tc>
          <w:tcPr>
            <w:tcW w:w="2200" w:type="dxa"/>
            <w:vAlign w:val="bottom"/>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Career development and</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concerns</w:t>
            </w:r>
          </w:p>
        </w:tc>
        <w:tc>
          <w:tcPr>
            <w:tcW w:w="2200" w:type="dxa"/>
            <w:vAlign w:val="bottom"/>
          </w:tcPr>
          <w:p>
            <w:pPr>
              <w:ind w:left="260"/>
              <w:spacing w:after="0"/>
              <w:rPr>
                <w:sz w:val="20"/>
                <w:szCs w:val="20"/>
                <w:color w:val="auto"/>
              </w:rPr>
            </w:pPr>
            <w:r>
              <w:rPr>
                <w:rFonts w:ascii="Arial" w:cs="Arial" w:eastAsia="Arial" w:hAnsi="Arial"/>
                <w:sz w:val="16"/>
                <w:szCs w:val="16"/>
                <w:color w:val="auto"/>
              </w:rPr>
              <w:t>training</w:t>
            </w:r>
          </w:p>
        </w:tc>
        <w:tc>
          <w:tcPr>
            <w:tcW w:w="0" w:type="dxa"/>
            <w:vAlign w:val="bottom"/>
          </w:tcPr>
          <w:p>
            <w:pPr>
              <w:spacing w:after="0"/>
              <w:rPr>
                <w:sz w:val="1"/>
                <w:szCs w:val="1"/>
                <w:color w:val="auto"/>
              </w:rPr>
            </w:pPr>
          </w:p>
        </w:tc>
      </w:tr>
      <w:tr>
        <w:trPr>
          <w:trHeight w:val="245"/>
        </w:trPr>
        <w:tc>
          <w:tcPr>
            <w:tcW w:w="88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80" w:type="dxa"/>
            <w:vAlign w:val="bottom"/>
            <w:shd w:val="clear" w:color="auto" w:fill="F7F7F7"/>
          </w:tcPr>
          <w:p>
            <w:pPr>
              <w:spacing w:after="0"/>
              <w:rPr>
                <w:sz w:val="24"/>
                <w:szCs w:val="24"/>
                <w:color w:val="auto"/>
              </w:rPr>
            </w:pPr>
          </w:p>
        </w:tc>
        <w:tc>
          <w:tcPr>
            <w:tcW w:w="1660" w:type="dxa"/>
            <w:vAlign w:val="bottom"/>
            <w:tcBorders>
              <w:right w:val="single" w:sz="8" w:color="auto"/>
            </w:tcBorders>
            <w:vMerge w:val="restart"/>
            <w:shd w:val="clear" w:color="auto" w:fill="F7F7F7"/>
          </w:tcPr>
          <w:p>
            <w:pPr>
              <w:ind w:left="100"/>
              <w:spacing w:after="0"/>
              <w:rPr>
                <w:sz w:val="20"/>
                <w:szCs w:val="20"/>
                <w:color w:val="auto"/>
              </w:rPr>
            </w:pPr>
            <w:r>
              <w:rPr>
                <w:rFonts w:ascii="Arial" w:cs="Arial" w:eastAsia="Arial" w:hAnsi="Arial"/>
                <w:sz w:val="16"/>
                <w:szCs w:val="16"/>
                <w:b w:val="1"/>
                <w:bCs w:val="1"/>
                <w:color w:val="auto"/>
              </w:rPr>
              <w:t>Real Estate</w:t>
            </w:r>
          </w:p>
        </w:tc>
        <w:tc>
          <w:tcPr>
            <w:tcW w:w="200" w:type="dxa"/>
            <w:vAlign w:val="bottom"/>
            <w:shd w:val="clear" w:color="auto" w:fill="F7F7F7"/>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shd w:val="clear" w:color="auto" w:fill="F7F7F7"/>
          </w:tcPr>
          <w:p>
            <w:pPr>
              <w:ind w:left="60"/>
              <w:spacing w:after="0"/>
              <w:rPr>
                <w:sz w:val="20"/>
                <w:szCs w:val="20"/>
                <w:color w:val="auto"/>
              </w:rPr>
            </w:pPr>
            <w:r>
              <w:rPr>
                <w:rFonts w:ascii="Arial" w:cs="Arial" w:eastAsia="Arial" w:hAnsi="Arial"/>
                <w:sz w:val="16"/>
                <w:szCs w:val="16"/>
                <w:color w:val="auto"/>
              </w:rPr>
              <w:t>Dedicated Real Estate partnership portfolio management team</w:t>
            </w:r>
          </w:p>
        </w:tc>
        <w:tc>
          <w:tcPr>
            <w:tcW w:w="2200" w:type="dxa"/>
            <w:vAlign w:val="bottom"/>
            <w:shd w:val="clear" w:color="auto" w:fill="F7F7F7"/>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Property and joint venture</w:t>
            </w:r>
          </w:p>
        </w:tc>
        <w:tc>
          <w:tcPr>
            <w:tcW w:w="0" w:type="dxa"/>
            <w:vAlign w:val="bottom"/>
          </w:tcPr>
          <w:p>
            <w:pPr>
              <w:spacing w:after="0"/>
              <w:rPr>
                <w:sz w:val="1"/>
                <w:szCs w:val="1"/>
                <w:color w:val="auto"/>
              </w:rPr>
            </w:pPr>
          </w:p>
        </w:tc>
      </w:tr>
      <w:tr>
        <w:trPr>
          <w:trHeight w:val="189"/>
        </w:trPr>
        <w:tc>
          <w:tcPr>
            <w:tcW w:w="880" w:type="dxa"/>
            <w:vAlign w:val="bottom"/>
            <w:shd w:val="clear" w:color="auto" w:fill="F7F7F7"/>
          </w:tcPr>
          <w:p>
            <w:pPr>
              <w:spacing w:after="0"/>
              <w:rPr>
                <w:sz w:val="16"/>
                <w:szCs w:val="16"/>
                <w:color w:val="auto"/>
              </w:rPr>
            </w:pPr>
          </w:p>
        </w:tc>
        <w:tc>
          <w:tcPr>
            <w:tcW w:w="1660" w:type="dxa"/>
            <w:vAlign w:val="bottom"/>
            <w:tcBorders>
              <w:right w:val="single" w:sz="8" w:color="auto"/>
            </w:tcBorders>
            <w:vMerge w:val="continue"/>
            <w:shd w:val="clear" w:color="auto" w:fill="F7F7F7"/>
          </w:tcPr>
          <w:p>
            <w:pPr>
              <w:spacing w:after="0"/>
              <w:rPr>
                <w:sz w:val="16"/>
                <w:szCs w:val="16"/>
                <w:color w:val="auto"/>
              </w:rPr>
            </w:pPr>
          </w:p>
        </w:tc>
        <w:tc>
          <w:tcPr>
            <w:tcW w:w="200" w:type="dxa"/>
            <w:vAlign w:val="bottom"/>
            <w:shd w:val="clear" w:color="auto" w:fill="F7F7F7"/>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shd w:val="clear" w:color="auto" w:fill="F7F7F7"/>
          </w:tcPr>
          <w:p>
            <w:pPr>
              <w:ind w:left="60"/>
              <w:spacing w:after="0"/>
              <w:rPr>
                <w:sz w:val="20"/>
                <w:szCs w:val="20"/>
                <w:color w:val="auto"/>
              </w:rPr>
            </w:pPr>
            <w:r>
              <w:rPr>
                <w:rFonts w:ascii="Arial" w:cs="Arial" w:eastAsia="Arial" w:hAnsi="Arial"/>
                <w:sz w:val="16"/>
                <w:szCs w:val="16"/>
                <w:color w:val="auto"/>
              </w:rPr>
              <w:t>Proactive and regular one-on-one dialogue</w:t>
            </w:r>
          </w:p>
        </w:tc>
        <w:tc>
          <w:tcPr>
            <w:tcW w:w="2200" w:type="dxa"/>
            <w:vAlign w:val="bottom"/>
            <w:shd w:val="clear" w:color="auto" w:fill="F7F7F7"/>
          </w:tcPr>
          <w:p>
            <w:pPr>
              <w:ind w:left="260"/>
              <w:spacing w:after="0"/>
              <w:rPr>
                <w:sz w:val="20"/>
                <w:szCs w:val="20"/>
                <w:color w:val="auto"/>
              </w:rPr>
            </w:pPr>
            <w:r>
              <w:rPr>
                <w:rFonts w:ascii="Arial" w:cs="Arial" w:eastAsia="Arial" w:hAnsi="Arial"/>
                <w:sz w:val="16"/>
                <w:szCs w:val="16"/>
                <w:color w:val="auto"/>
              </w:rPr>
              <w:t>performance and partner</w:t>
            </w:r>
          </w:p>
        </w:tc>
        <w:tc>
          <w:tcPr>
            <w:tcW w:w="0" w:type="dxa"/>
            <w:vAlign w:val="bottom"/>
          </w:tcPr>
          <w:p>
            <w:pPr>
              <w:spacing w:after="0"/>
              <w:rPr>
                <w:sz w:val="1"/>
                <w:szCs w:val="1"/>
                <w:color w:val="auto"/>
              </w:rPr>
            </w:pPr>
          </w:p>
        </w:tc>
      </w:tr>
      <w:tr>
        <w:trPr>
          <w:trHeight w:val="241"/>
        </w:trPr>
        <w:tc>
          <w:tcPr>
            <w:tcW w:w="880" w:type="dxa"/>
            <w:vAlign w:val="bottom"/>
            <w:shd w:val="clear" w:color="auto" w:fill="F7F7F7"/>
          </w:tcPr>
          <w:p>
            <w:pPr>
              <w:spacing w:after="0"/>
              <w:rPr>
                <w:sz w:val="20"/>
                <w:szCs w:val="20"/>
                <w:color w:val="auto"/>
              </w:rPr>
            </w:pPr>
          </w:p>
        </w:tc>
        <w:tc>
          <w:tcPr>
            <w:tcW w:w="1660" w:type="dxa"/>
            <w:vAlign w:val="bottom"/>
            <w:tcBorders>
              <w:right w:val="single" w:sz="8" w:color="auto"/>
            </w:tcBorders>
            <w:shd w:val="clear" w:color="auto" w:fill="F7F7F7"/>
          </w:tcPr>
          <w:p>
            <w:pPr>
              <w:ind w:left="100"/>
              <w:spacing w:after="0"/>
              <w:rPr>
                <w:sz w:val="20"/>
                <w:szCs w:val="20"/>
                <w:color w:val="auto"/>
              </w:rPr>
            </w:pPr>
            <w:r>
              <w:rPr>
                <w:rFonts w:ascii="Arial" w:cs="Arial" w:eastAsia="Arial" w:hAnsi="Arial"/>
                <w:sz w:val="16"/>
                <w:szCs w:val="16"/>
                <w:b w:val="1"/>
                <w:bCs w:val="1"/>
                <w:color w:val="auto"/>
              </w:rPr>
              <w:t>Partners</w:t>
            </w:r>
          </w:p>
        </w:tc>
        <w:tc>
          <w:tcPr>
            <w:tcW w:w="200" w:type="dxa"/>
            <w:vAlign w:val="bottom"/>
            <w:shd w:val="clear" w:color="auto" w:fill="F7F7F7"/>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shd w:val="clear" w:color="auto" w:fill="F7F7F7"/>
          </w:tcPr>
          <w:p>
            <w:pPr>
              <w:ind w:left="60"/>
              <w:spacing w:after="0"/>
              <w:rPr>
                <w:sz w:val="20"/>
                <w:szCs w:val="20"/>
                <w:color w:val="auto"/>
              </w:rPr>
            </w:pPr>
            <w:r>
              <w:rPr>
                <w:rFonts w:ascii="Arial" w:cs="Arial" w:eastAsia="Arial" w:hAnsi="Arial"/>
                <w:sz w:val="16"/>
                <w:szCs w:val="16"/>
                <w:color w:val="auto"/>
              </w:rPr>
              <w:t>Property tours, monthly financial calls and quarterly business calls</w:t>
            </w:r>
          </w:p>
        </w:tc>
        <w:tc>
          <w:tcPr>
            <w:tcW w:w="2200" w:type="dxa"/>
            <w:vAlign w:val="bottom"/>
            <w:shd w:val="clear" w:color="auto" w:fill="F7F7F7"/>
          </w:tcPr>
          <w:p>
            <w:pPr>
              <w:ind w:left="260"/>
              <w:spacing w:after="0"/>
              <w:rPr>
                <w:sz w:val="20"/>
                <w:szCs w:val="20"/>
                <w:color w:val="auto"/>
              </w:rPr>
            </w:pPr>
            <w:r>
              <w:rPr>
                <w:rFonts w:ascii="Arial" w:cs="Arial" w:eastAsia="Arial" w:hAnsi="Arial"/>
                <w:sz w:val="16"/>
                <w:szCs w:val="16"/>
                <w:color w:val="auto"/>
              </w:rPr>
              <w:t>expectations</w:t>
            </w:r>
          </w:p>
        </w:tc>
        <w:tc>
          <w:tcPr>
            <w:tcW w:w="0" w:type="dxa"/>
            <w:vAlign w:val="bottom"/>
          </w:tcPr>
          <w:p>
            <w:pPr>
              <w:spacing w:after="0"/>
              <w:rPr>
                <w:sz w:val="1"/>
                <w:szCs w:val="1"/>
                <w:color w:val="auto"/>
              </w:rPr>
            </w:pPr>
          </w:p>
        </w:tc>
      </w:tr>
      <w:tr>
        <w:trPr>
          <w:trHeight w:val="123"/>
        </w:trPr>
        <w:tc>
          <w:tcPr>
            <w:tcW w:w="880" w:type="dxa"/>
            <w:vAlign w:val="bottom"/>
            <w:tcBorders>
              <w:bottom w:val="single" w:sz="8" w:color="auto"/>
            </w:tcBorders>
            <w:shd w:val="clear" w:color="auto" w:fill="F7F7F7"/>
          </w:tcPr>
          <w:p>
            <w:pPr>
              <w:spacing w:after="0"/>
              <w:rPr>
                <w:sz w:val="10"/>
                <w:szCs w:val="10"/>
                <w:color w:val="auto"/>
              </w:rPr>
            </w:pPr>
          </w:p>
        </w:tc>
        <w:tc>
          <w:tcPr>
            <w:tcW w:w="1660" w:type="dxa"/>
            <w:vAlign w:val="bottom"/>
            <w:tcBorders>
              <w:bottom w:val="single" w:sz="8" w:color="auto"/>
              <w:right w:val="single" w:sz="8" w:color="auto"/>
            </w:tcBorders>
            <w:shd w:val="clear" w:color="auto" w:fill="F7F7F7"/>
          </w:tcPr>
          <w:p>
            <w:pPr>
              <w:spacing w:after="0"/>
              <w:rPr>
                <w:sz w:val="10"/>
                <w:szCs w:val="10"/>
                <w:color w:val="auto"/>
              </w:rPr>
            </w:pPr>
          </w:p>
        </w:tc>
        <w:tc>
          <w:tcPr>
            <w:tcW w:w="200" w:type="dxa"/>
            <w:vAlign w:val="bottom"/>
            <w:tcBorders>
              <w:bottom w:val="single" w:sz="8" w:color="auto"/>
            </w:tcBorders>
            <w:shd w:val="clear" w:color="auto" w:fill="F7F7F7"/>
          </w:tcPr>
          <w:p>
            <w:pPr>
              <w:spacing w:after="0"/>
              <w:rPr>
                <w:sz w:val="10"/>
                <w:szCs w:val="10"/>
                <w:color w:val="auto"/>
              </w:rPr>
            </w:pPr>
          </w:p>
        </w:tc>
        <w:tc>
          <w:tcPr>
            <w:tcW w:w="6080" w:type="dxa"/>
            <w:vAlign w:val="bottom"/>
            <w:tcBorders>
              <w:bottom w:val="single" w:sz="8" w:color="auto"/>
              <w:right w:val="single" w:sz="8" w:color="auto"/>
            </w:tcBorders>
            <w:shd w:val="clear" w:color="auto" w:fill="F7F7F7"/>
          </w:tcPr>
          <w:p>
            <w:pPr>
              <w:spacing w:after="0"/>
              <w:rPr>
                <w:sz w:val="10"/>
                <w:szCs w:val="10"/>
                <w:color w:val="auto"/>
              </w:rPr>
            </w:pPr>
          </w:p>
        </w:tc>
        <w:tc>
          <w:tcPr>
            <w:tcW w:w="2200" w:type="dxa"/>
            <w:vAlign w:val="bottom"/>
            <w:tcBorders>
              <w:bottom w:val="single" w:sz="8" w:color="auto"/>
            </w:tcBorders>
            <w:shd w:val="clear" w:color="auto" w:fill="F7F7F7"/>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880" w:type="dxa"/>
            <w:vAlign w:val="bottom"/>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Extensive tenant resources available 24 hours a day</w:t>
            </w:r>
          </w:p>
        </w:tc>
        <w:tc>
          <w:tcPr>
            <w:tcW w:w="2200" w:type="dxa"/>
            <w:vAlign w:val="bottom"/>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Tenant operations</w:t>
            </w: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Website with best-in-class marketing resources for the benefit of our tenants and</w:t>
            </w:r>
          </w:p>
        </w:tc>
        <w:tc>
          <w:tcPr>
            <w:tcW w:w="2200" w:type="dxa"/>
            <w:vAlign w:val="bottom"/>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Sustainable building</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their operations, with a wide range of marketing strategies in an intuitive user</w:t>
            </w:r>
          </w:p>
        </w:tc>
        <w:tc>
          <w:tcPr>
            <w:tcW w:w="2200" w:type="dxa"/>
            <w:vAlign w:val="bottom"/>
          </w:tcPr>
          <w:p>
            <w:pPr>
              <w:ind w:left="260"/>
              <w:spacing w:after="0"/>
              <w:rPr>
                <w:sz w:val="20"/>
                <w:szCs w:val="20"/>
                <w:color w:val="auto"/>
              </w:rPr>
            </w:pPr>
            <w:r>
              <w:rPr>
                <w:rFonts w:ascii="Arial" w:cs="Arial" w:eastAsia="Arial" w:hAnsi="Arial"/>
                <w:sz w:val="16"/>
                <w:szCs w:val="16"/>
                <w:color w:val="auto"/>
              </w:rPr>
              <w:t>practices</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experience</w:t>
            </w:r>
          </w:p>
        </w:tc>
        <w:tc>
          <w:tcPr>
            <w:tcW w:w="2200" w:type="dxa"/>
            <w:vAlign w:val="bottom"/>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Improving tenant flexibility</w:t>
            </w: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16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Tenants</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Consistently improving website to provide enhanced shopper experience and drive</w:t>
            </w:r>
          </w:p>
        </w:tc>
        <w:tc>
          <w:tcPr>
            <w:tcW w:w="2200" w:type="dxa"/>
            <w:vAlign w:val="bottom"/>
          </w:tcPr>
          <w:p>
            <w:pPr>
              <w:ind w:left="260"/>
              <w:spacing w:after="0"/>
              <w:rPr>
                <w:sz w:val="20"/>
                <w:szCs w:val="20"/>
                <w:color w:val="auto"/>
              </w:rPr>
            </w:pPr>
            <w:r>
              <w:rPr>
                <w:rFonts w:ascii="Arial" w:cs="Arial" w:eastAsia="Arial" w:hAnsi="Arial"/>
                <w:sz w:val="16"/>
                <w:szCs w:val="16"/>
                <w:color w:val="auto"/>
              </w:rPr>
              <w:t>and performance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visits via AI-based tools</w:t>
            </w:r>
          </w:p>
        </w:tc>
        <w:tc>
          <w:tcPr>
            <w:tcW w:w="2200" w:type="dxa"/>
            <w:vAlign w:val="bottom"/>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Property maintenance</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200" w:type="dxa"/>
            <w:vAlign w:val="bottom"/>
            <w:vMerge w:val="continue"/>
          </w:tcPr>
          <w:p>
            <w:pPr>
              <w:spacing w:after="0"/>
              <w:rPr>
                <w:sz w:val="15"/>
                <w:szCs w:val="15"/>
                <w:color w:val="auto"/>
              </w:rPr>
            </w:pPr>
          </w:p>
        </w:tc>
        <w:tc>
          <w:tcPr>
            <w:tcW w:w="608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color w:val="auto"/>
              </w:rPr>
              <w:t>Direct feedback via annual tenant survey and focus groups</w:t>
            </w:r>
          </w:p>
        </w:tc>
        <w:tc>
          <w:tcPr>
            <w:tcW w:w="2200" w:type="dxa"/>
            <w:vAlign w:val="bottom"/>
            <w:vMerge w:val="restart"/>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Health and safety</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Targeted application of our Merchandising, Placemaking and Connecting strategies</w:t>
            </w: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and initiatives across all properties and on a tenant-by-tenant basis</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8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80" w:type="dxa"/>
            <w:vAlign w:val="bottom"/>
            <w:shd w:val="clear" w:color="auto" w:fill="F7F7F7"/>
          </w:tcPr>
          <w:p>
            <w:pPr>
              <w:spacing w:after="0"/>
              <w:rPr>
                <w:sz w:val="24"/>
                <w:szCs w:val="24"/>
                <w:color w:val="auto"/>
              </w:rPr>
            </w:pPr>
          </w:p>
        </w:tc>
        <w:tc>
          <w:tcPr>
            <w:tcW w:w="1660" w:type="dxa"/>
            <w:vAlign w:val="bottom"/>
            <w:tcBorders>
              <w:right w:val="single" w:sz="8" w:color="auto"/>
            </w:tcBorders>
            <w:shd w:val="clear" w:color="auto" w:fill="F7F7F7"/>
          </w:tcPr>
          <w:p>
            <w:pPr>
              <w:spacing w:after="0"/>
              <w:rPr>
                <w:sz w:val="24"/>
                <w:szCs w:val="24"/>
                <w:color w:val="auto"/>
              </w:rPr>
            </w:pPr>
          </w:p>
        </w:tc>
        <w:tc>
          <w:tcPr>
            <w:tcW w:w="200" w:type="dxa"/>
            <w:vAlign w:val="bottom"/>
            <w:vMerge w:val="restart"/>
            <w:shd w:val="clear" w:color="auto" w:fill="F7F7F7"/>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vMerge w:val="restart"/>
            <w:shd w:val="clear" w:color="auto" w:fill="F7F7F7"/>
          </w:tcPr>
          <w:p>
            <w:pPr>
              <w:ind w:left="60"/>
              <w:spacing w:after="0"/>
              <w:rPr>
                <w:sz w:val="20"/>
                <w:szCs w:val="20"/>
                <w:color w:val="auto"/>
              </w:rPr>
            </w:pPr>
            <w:r>
              <w:rPr>
                <w:rFonts w:ascii="Arial" w:cs="Arial" w:eastAsia="Arial" w:hAnsi="Arial"/>
                <w:sz w:val="16"/>
                <w:szCs w:val="16"/>
                <w:color w:val="auto"/>
              </w:rPr>
              <w:t>One-on-one dialogue with local and regional planning agencies, municipal boards,</w:t>
            </w:r>
          </w:p>
        </w:tc>
        <w:tc>
          <w:tcPr>
            <w:tcW w:w="2200" w:type="dxa"/>
            <w:vAlign w:val="bottom"/>
            <w:shd w:val="clear" w:color="auto" w:fill="F7F7F7"/>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Project-specific</w:t>
            </w:r>
          </w:p>
        </w:tc>
        <w:tc>
          <w:tcPr>
            <w:tcW w:w="0" w:type="dxa"/>
            <w:vAlign w:val="bottom"/>
          </w:tcPr>
          <w:p>
            <w:pPr>
              <w:spacing w:after="0"/>
              <w:rPr>
                <w:sz w:val="1"/>
                <w:szCs w:val="1"/>
                <w:color w:val="auto"/>
              </w:rPr>
            </w:pPr>
          </w:p>
        </w:tc>
      </w:tr>
      <w:tr>
        <w:trPr>
          <w:trHeight w:val="68"/>
        </w:trPr>
        <w:tc>
          <w:tcPr>
            <w:tcW w:w="880" w:type="dxa"/>
            <w:vAlign w:val="bottom"/>
            <w:shd w:val="clear" w:color="auto" w:fill="F7F7F7"/>
          </w:tcPr>
          <w:p>
            <w:pPr>
              <w:spacing w:after="0"/>
              <w:rPr>
                <w:sz w:val="5"/>
                <w:szCs w:val="5"/>
                <w:color w:val="auto"/>
              </w:rPr>
            </w:pPr>
          </w:p>
        </w:tc>
        <w:tc>
          <w:tcPr>
            <w:tcW w:w="1660" w:type="dxa"/>
            <w:vAlign w:val="bottom"/>
            <w:tcBorders>
              <w:right w:val="single" w:sz="8" w:color="auto"/>
            </w:tcBorders>
            <w:shd w:val="clear" w:color="auto" w:fill="F7F7F7"/>
          </w:tcPr>
          <w:p>
            <w:pPr>
              <w:spacing w:after="0"/>
              <w:rPr>
                <w:sz w:val="5"/>
                <w:szCs w:val="5"/>
                <w:color w:val="auto"/>
              </w:rPr>
            </w:pPr>
          </w:p>
        </w:tc>
        <w:tc>
          <w:tcPr>
            <w:tcW w:w="200" w:type="dxa"/>
            <w:vAlign w:val="bottom"/>
            <w:vMerge w:val="continue"/>
            <w:shd w:val="clear" w:color="auto" w:fill="F7F7F7"/>
          </w:tcPr>
          <w:p>
            <w:pPr>
              <w:spacing w:after="0"/>
              <w:rPr>
                <w:sz w:val="5"/>
                <w:szCs w:val="5"/>
                <w:color w:val="auto"/>
              </w:rPr>
            </w:pPr>
          </w:p>
        </w:tc>
        <w:tc>
          <w:tcPr>
            <w:tcW w:w="6080" w:type="dxa"/>
            <w:vAlign w:val="bottom"/>
            <w:tcBorders>
              <w:right w:val="single" w:sz="8" w:color="auto"/>
            </w:tcBorders>
            <w:vMerge w:val="continue"/>
            <w:shd w:val="clear" w:color="auto" w:fill="F7F7F7"/>
          </w:tcPr>
          <w:p>
            <w:pPr>
              <w:spacing w:after="0"/>
              <w:rPr>
                <w:sz w:val="5"/>
                <w:szCs w:val="5"/>
                <w:color w:val="auto"/>
              </w:rPr>
            </w:pPr>
          </w:p>
        </w:tc>
        <w:tc>
          <w:tcPr>
            <w:tcW w:w="2200" w:type="dxa"/>
            <w:vAlign w:val="bottom"/>
            <w:vMerge w:val="restart"/>
            <w:shd w:val="clear" w:color="auto" w:fill="F7F7F7"/>
          </w:tcPr>
          <w:p>
            <w:pPr>
              <w:ind w:left="260"/>
              <w:spacing w:after="0" w:line="163" w:lineRule="exact"/>
              <w:rPr>
                <w:sz w:val="20"/>
                <w:szCs w:val="20"/>
                <w:color w:val="auto"/>
              </w:rPr>
            </w:pPr>
            <w:r>
              <w:rPr>
                <w:rFonts w:ascii="Arial" w:cs="Arial" w:eastAsia="Arial" w:hAnsi="Arial"/>
                <w:sz w:val="16"/>
                <w:szCs w:val="16"/>
                <w:color w:val="auto"/>
              </w:rPr>
              <w:t>information</w:t>
            </w:r>
          </w:p>
        </w:tc>
        <w:tc>
          <w:tcPr>
            <w:tcW w:w="0" w:type="dxa"/>
            <w:vAlign w:val="bottom"/>
          </w:tcPr>
          <w:p>
            <w:pPr>
              <w:spacing w:after="0"/>
              <w:rPr>
                <w:sz w:val="1"/>
                <w:szCs w:val="1"/>
                <w:color w:val="auto"/>
              </w:rPr>
            </w:pPr>
          </w:p>
        </w:tc>
      </w:tr>
      <w:tr>
        <w:trPr>
          <w:trHeight w:val="95"/>
        </w:trPr>
        <w:tc>
          <w:tcPr>
            <w:tcW w:w="880" w:type="dxa"/>
            <w:vAlign w:val="bottom"/>
            <w:shd w:val="clear" w:color="auto" w:fill="F7F7F7"/>
          </w:tcPr>
          <w:p>
            <w:pPr>
              <w:spacing w:after="0"/>
              <w:rPr>
                <w:sz w:val="8"/>
                <w:szCs w:val="8"/>
                <w:color w:val="auto"/>
              </w:rPr>
            </w:pPr>
          </w:p>
        </w:tc>
        <w:tc>
          <w:tcPr>
            <w:tcW w:w="1660" w:type="dxa"/>
            <w:vAlign w:val="bottom"/>
            <w:tcBorders>
              <w:right w:val="single" w:sz="8" w:color="auto"/>
            </w:tcBorders>
            <w:shd w:val="clear" w:color="auto" w:fill="F7F7F7"/>
          </w:tcPr>
          <w:p>
            <w:pPr>
              <w:spacing w:after="0"/>
              <w:rPr>
                <w:sz w:val="8"/>
                <w:szCs w:val="8"/>
                <w:color w:val="auto"/>
              </w:rPr>
            </w:pPr>
          </w:p>
        </w:tc>
        <w:tc>
          <w:tcPr>
            <w:tcW w:w="200" w:type="dxa"/>
            <w:vAlign w:val="bottom"/>
            <w:shd w:val="clear" w:color="auto" w:fill="F7F7F7"/>
          </w:tcPr>
          <w:p>
            <w:pPr>
              <w:spacing w:after="0"/>
              <w:rPr>
                <w:sz w:val="8"/>
                <w:szCs w:val="8"/>
                <w:color w:val="auto"/>
              </w:rPr>
            </w:pPr>
          </w:p>
        </w:tc>
        <w:tc>
          <w:tcPr>
            <w:tcW w:w="6080" w:type="dxa"/>
            <w:vAlign w:val="bottom"/>
            <w:tcBorders>
              <w:right w:val="single" w:sz="8" w:color="auto"/>
            </w:tcBorders>
            <w:vMerge w:val="restart"/>
            <w:shd w:val="clear" w:color="auto" w:fill="F7F7F7"/>
          </w:tcPr>
          <w:p>
            <w:pPr>
              <w:ind w:left="60"/>
              <w:spacing w:after="0"/>
              <w:rPr>
                <w:sz w:val="20"/>
                <w:szCs w:val="20"/>
                <w:color w:val="auto"/>
              </w:rPr>
            </w:pPr>
            <w:r>
              <w:rPr>
                <w:rFonts w:ascii="Arial" w:cs="Arial" w:eastAsia="Arial" w:hAnsi="Arial"/>
                <w:sz w:val="16"/>
                <w:szCs w:val="16"/>
                <w:color w:val="auto"/>
              </w:rPr>
              <w:t>permitting authorities and community groups</w:t>
            </w:r>
          </w:p>
        </w:tc>
        <w:tc>
          <w:tcPr>
            <w:tcW w:w="2200" w:type="dxa"/>
            <w:vAlign w:val="bottom"/>
            <w:vMerge w:val="continue"/>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80" w:type="dxa"/>
            <w:vAlign w:val="bottom"/>
            <w:shd w:val="clear" w:color="auto" w:fill="F7F7F7"/>
          </w:tcPr>
          <w:p>
            <w:pPr>
              <w:spacing w:after="0"/>
              <w:rPr>
                <w:sz w:val="8"/>
                <w:szCs w:val="8"/>
                <w:color w:val="auto"/>
              </w:rPr>
            </w:pPr>
          </w:p>
        </w:tc>
        <w:tc>
          <w:tcPr>
            <w:tcW w:w="1660" w:type="dxa"/>
            <w:vAlign w:val="bottom"/>
            <w:tcBorders>
              <w:right w:val="single" w:sz="8" w:color="auto"/>
            </w:tcBorders>
            <w:shd w:val="clear" w:color="auto" w:fill="F7F7F7"/>
          </w:tcPr>
          <w:p>
            <w:pPr>
              <w:spacing w:after="0"/>
              <w:rPr>
                <w:sz w:val="8"/>
                <w:szCs w:val="8"/>
                <w:color w:val="auto"/>
              </w:rPr>
            </w:pPr>
          </w:p>
        </w:tc>
        <w:tc>
          <w:tcPr>
            <w:tcW w:w="200" w:type="dxa"/>
            <w:vAlign w:val="bottom"/>
            <w:shd w:val="clear" w:color="auto" w:fill="F7F7F7"/>
          </w:tcPr>
          <w:p>
            <w:pPr>
              <w:spacing w:after="0"/>
              <w:rPr>
                <w:sz w:val="8"/>
                <w:szCs w:val="8"/>
                <w:color w:val="auto"/>
              </w:rPr>
            </w:pPr>
          </w:p>
        </w:tc>
        <w:tc>
          <w:tcPr>
            <w:tcW w:w="6080" w:type="dxa"/>
            <w:vAlign w:val="bottom"/>
            <w:tcBorders>
              <w:right w:val="single" w:sz="8" w:color="auto"/>
            </w:tcBorders>
            <w:vMerge w:val="continue"/>
            <w:shd w:val="clear" w:color="auto" w:fill="F7F7F7"/>
          </w:tcPr>
          <w:p>
            <w:pPr>
              <w:spacing w:after="0"/>
              <w:rPr>
                <w:sz w:val="8"/>
                <w:szCs w:val="8"/>
                <w:color w:val="auto"/>
              </w:rPr>
            </w:pPr>
          </w:p>
        </w:tc>
        <w:tc>
          <w:tcPr>
            <w:tcW w:w="2200" w:type="dxa"/>
            <w:vAlign w:val="bottom"/>
            <w:vMerge w:val="restart"/>
            <w:shd w:val="clear" w:color="auto" w:fill="F7F7F7"/>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Community interests and</w:t>
            </w:r>
          </w:p>
        </w:tc>
        <w:tc>
          <w:tcPr>
            <w:tcW w:w="0" w:type="dxa"/>
            <w:vAlign w:val="bottom"/>
          </w:tcPr>
          <w:p>
            <w:pPr>
              <w:spacing w:after="0"/>
              <w:rPr>
                <w:sz w:val="1"/>
                <w:szCs w:val="1"/>
                <w:color w:val="auto"/>
              </w:rPr>
            </w:pPr>
          </w:p>
        </w:tc>
      </w:tr>
      <w:tr>
        <w:trPr>
          <w:trHeight w:val="163"/>
        </w:trPr>
        <w:tc>
          <w:tcPr>
            <w:tcW w:w="880" w:type="dxa"/>
            <w:vAlign w:val="bottom"/>
            <w:shd w:val="clear" w:color="auto" w:fill="F7F7F7"/>
          </w:tcPr>
          <w:p>
            <w:pPr>
              <w:spacing w:after="0"/>
              <w:rPr>
                <w:sz w:val="14"/>
                <w:szCs w:val="14"/>
                <w:color w:val="auto"/>
              </w:rPr>
            </w:pPr>
          </w:p>
        </w:tc>
        <w:tc>
          <w:tcPr>
            <w:tcW w:w="1660" w:type="dxa"/>
            <w:vAlign w:val="bottom"/>
            <w:tcBorders>
              <w:right w:val="single" w:sz="8" w:color="auto"/>
            </w:tcBorders>
            <w:vMerge w:val="restart"/>
            <w:shd w:val="clear" w:color="auto" w:fill="F7F7F7"/>
          </w:tcPr>
          <w:p>
            <w:pPr>
              <w:ind w:left="100"/>
              <w:spacing w:after="0"/>
              <w:rPr>
                <w:sz w:val="20"/>
                <w:szCs w:val="20"/>
                <w:color w:val="auto"/>
              </w:rPr>
            </w:pPr>
            <w:r>
              <w:rPr>
                <w:rFonts w:ascii="Arial" w:cs="Arial" w:eastAsia="Arial" w:hAnsi="Arial"/>
                <w:sz w:val="16"/>
                <w:szCs w:val="16"/>
                <w:b w:val="1"/>
                <w:bCs w:val="1"/>
                <w:color w:val="auto"/>
              </w:rPr>
              <w:t>Communities</w:t>
            </w:r>
          </w:p>
        </w:tc>
        <w:tc>
          <w:tcPr>
            <w:tcW w:w="200" w:type="dxa"/>
            <w:vAlign w:val="bottom"/>
            <w:shd w:val="clear" w:color="auto" w:fill="F7F7F7"/>
          </w:tcPr>
          <w:p>
            <w:pPr>
              <w:ind w:left="100"/>
              <w:spacing w:after="0" w:line="163" w:lineRule="exact"/>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shd w:val="clear" w:color="auto" w:fill="F7F7F7"/>
          </w:tcPr>
          <w:p>
            <w:pPr>
              <w:ind w:left="60"/>
              <w:spacing w:after="0" w:line="163" w:lineRule="exact"/>
              <w:rPr>
                <w:sz w:val="20"/>
                <w:szCs w:val="20"/>
                <w:color w:val="auto"/>
              </w:rPr>
            </w:pPr>
            <w:r>
              <w:rPr>
                <w:rFonts w:ascii="Arial" w:cs="Arial" w:eastAsia="Arial" w:hAnsi="Arial"/>
                <w:sz w:val="16"/>
                <w:szCs w:val="16"/>
                <w:color w:val="auto"/>
              </w:rPr>
              <w:t>Direct dialogue through open houses and town halls</w:t>
            </w:r>
          </w:p>
        </w:tc>
        <w:tc>
          <w:tcPr>
            <w:tcW w:w="2200" w:type="dxa"/>
            <w:vAlign w:val="bottom"/>
            <w:vMerge w:val="continue"/>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80" w:type="dxa"/>
            <w:vAlign w:val="bottom"/>
            <w:shd w:val="clear" w:color="auto" w:fill="F7F7F7"/>
          </w:tcPr>
          <w:p>
            <w:pPr>
              <w:spacing w:after="0"/>
              <w:rPr>
                <w:sz w:val="10"/>
                <w:szCs w:val="10"/>
                <w:color w:val="auto"/>
              </w:rPr>
            </w:pPr>
          </w:p>
        </w:tc>
        <w:tc>
          <w:tcPr>
            <w:tcW w:w="1660" w:type="dxa"/>
            <w:vAlign w:val="bottom"/>
            <w:tcBorders>
              <w:right w:val="single" w:sz="8" w:color="auto"/>
            </w:tcBorders>
            <w:vMerge w:val="continue"/>
            <w:shd w:val="clear" w:color="auto" w:fill="F7F7F7"/>
          </w:tcPr>
          <w:p>
            <w:pPr>
              <w:spacing w:after="0"/>
              <w:rPr>
                <w:sz w:val="10"/>
                <w:szCs w:val="10"/>
                <w:color w:val="auto"/>
              </w:rPr>
            </w:pPr>
          </w:p>
        </w:tc>
        <w:tc>
          <w:tcPr>
            <w:tcW w:w="200" w:type="dxa"/>
            <w:vAlign w:val="bottom"/>
            <w:vMerge w:val="restart"/>
            <w:shd w:val="clear" w:color="auto" w:fill="F7F7F7"/>
          </w:tcPr>
          <w:p>
            <w:pPr>
              <w:ind w:left="100"/>
              <w:spacing w:after="0"/>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vMerge w:val="restart"/>
            <w:shd w:val="clear" w:color="auto" w:fill="F7F7F7"/>
          </w:tcPr>
          <w:p>
            <w:pPr>
              <w:ind w:left="60"/>
              <w:spacing w:after="0"/>
              <w:rPr>
                <w:sz w:val="20"/>
                <w:szCs w:val="20"/>
                <w:color w:val="auto"/>
              </w:rPr>
            </w:pPr>
            <w:r>
              <w:rPr>
                <w:rFonts w:ascii="Arial" w:cs="Arial" w:eastAsia="Arial" w:hAnsi="Arial"/>
                <w:sz w:val="16"/>
                <w:szCs w:val="16"/>
                <w:color w:val="auto"/>
              </w:rPr>
              <w:t>Significant volunteer activities and philanthropic support</w:t>
            </w:r>
          </w:p>
        </w:tc>
        <w:tc>
          <w:tcPr>
            <w:tcW w:w="2200" w:type="dxa"/>
            <w:vAlign w:val="bottom"/>
            <w:shd w:val="clear" w:color="auto" w:fill="F7F7F7"/>
          </w:tcPr>
          <w:p>
            <w:pPr>
              <w:ind w:left="260"/>
              <w:spacing w:after="0" w:line="126" w:lineRule="exact"/>
              <w:rPr>
                <w:sz w:val="20"/>
                <w:szCs w:val="20"/>
                <w:color w:val="auto"/>
              </w:rPr>
            </w:pPr>
            <w:r>
              <w:rPr>
                <w:rFonts w:ascii="Arial" w:cs="Arial" w:eastAsia="Arial" w:hAnsi="Arial"/>
                <w:sz w:val="14"/>
                <w:szCs w:val="14"/>
                <w:color w:val="auto"/>
              </w:rPr>
              <w:t>needs</w:t>
            </w:r>
          </w:p>
        </w:tc>
        <w:tc>
          <w:tcPr>
            <w:tcW w:w="0" w:type="dxa"/>
            <w:vAlign w:val="bottom"/>
          </w:tcPr>
          <w:p>
            <w:pPr>
              <w:spacing w:after="0"/>
              <w:rPr>
                <w:sz w:val="1"/>
                <w:szCs w:val="1"/>
                <w:color w:val="auto"/>
              </w:rPr>
            </w:pPr>
          </w:p>
        </w:tc>
      </w:tr>
      <w:tr>
        <w:trPr>
          <w:trHeight w:val="90"/>
        </w:trPr>
        <w:tc>
          <w:tcPr>
            <w:tcW w:w="880" w:type="dxa"/>
            <w:vAlign w:val="bottom"/>
            <w:shd w:val="clear" w:color="auto" w:fill="F7F7F7"/>
          </w:tcPr>
          <w:p>
            <w:pPr>
              <w:spacing w:after="0"/>
              <w:rPr>
                <w:sz w:val="7"/>
                <w:szCs w:val="7"/>
                <w:color w:val="auto"/>
              </w:rPr>
            </w:pPr>
          </w:p>
        </w:tc>
        <w:tc>
          <w:tcPr>
            <w:tcW w:w="1660" w:type="dxa"/>
            <w:vAlign w:val="bottom"/>
            <w:tcBorders>
              <w:right w:val="single" w:sz="8" w:color="auto"/>
            </w:tcBorders>
            <w:shd w:val="clear" w:color="auto" w:fill="F7F7F7"/>
          </w:tcPr>
          <w:p>
            <w:pPr>
              <w:spacing w:after="0"/>
              <w:rPr>
                <w:sz w:val="7"/>
                <w:szCs w:val="7"/>
                <w:color w:val="auto"/>
              </w:rPr>
            </w:pPr>
          </w:p>
        </w:tc>
        <w:tc>
          <w:tcPr>
            <w:tcW w:w="200" w:type="dxa"/>
            <w:vAlign w:val="bottom"/>
            <w:vMerge w:val="continue"/>
            <w:shd w:val="clear" w:color="auto" w:fill="F7F7F7"/>
          </w:tcPr>
          <w:p>
            <w:pPr>
              <w:spacing w:after="0"/>
              <w:rPr>
                <w:sz w:val="7"/>
                <w:szCs w:val="7"/>
                <w:color w:val="auto"/>
              </w:rPr>
            </w:pPr>
          </w:p>
        </w:tc>
        <w:tc>
          <w:tcPr>
            <w:tcW w:w="6080" w:type="dxa"/>
            <w:vAlign w:val="bottom"/>
            <w:tcBorders>
              <w:right w:val="single" w:sz="8" w:color="auto"/>
            </w:tcBorders>
            <w:vMerge w:val="continue"/>
            <w:shd w:val="clear" w:color="auto" w:fill="F7F7F7"/>
          </w:tcPr>
          <w:p>
            <w:pPr>
              <w:spacing w:after="0"/>
              <w:rPr>
                <w:sz w:val="7"/>
                <w:szCs w:val="7"/>
                <w:color w:val="auto"/>
              </w:rPr>
            </w:pPr>
          </w:p>
        </w:tc>
        <w:tc>
          <w:tcPr>
            <w:tcW w:w="2200" w:type="dxa"/>
            <w:vAlign w:val="bottom"/>
            <w:vMerge w:val="restart"/>
            <w:shd w:val="clear" w:color="auto" w:fill="F7F7F7"/>
          </w:tcPr>
          <w:p>
            <w:pPr>
              <w:ind w:left="100"/>
              <w:spacing w:after="0" w:line="184" w:lineRule="exact"/>
              <w:rPr>
                <w:sz w:val="20"/>
                <w:szCs w:val="20"/>
                <w:color w:val="auto"/>
              </w:rPr>
            </w:pPr>
            <w:r>
              <w:rPr>
                <w:rFonts w:ascii="MS PGothic" w:cs="MS PGothic" w:eastAsia="MS PGothic" w:hAnsi="MS PGothic"/>
                <w:sz w:val="16"/>
                <w:szCs w:val="16"/>
                <w:color w:val="E56D3D"/>
              </w:rPr>
              <w:t>✓</w:t>
            </w:r>
            <w:r>
              <w:rPr>
                <w:rFonts w:ascii="Arial" w:cs="Arial" w:eastAsia="Arial" w:hAnsi="Arial"/>
                <w:sz w:val="16"/>
                <w:szCs w:val="16"/>
                <w:color w:val="auto"/>
              </w:rPr>
              <w:t> Curated merchandising</w:t>
            </w:r>
          </w:p>
        </w:tc>
        <w:tc>
          <w:tcPr>
            <w:tcW w:w="0" w:type="dxa"/>
            <w:vAlign w:val="bottom"/>
          </w:tcPr>
          <w:p>
            <w:pPr>
              <w:spacing w:after="0"/>
              <w:rPr>
                <w:sz w:val="1"/>
                <w:szCs w:val="1"/>
                <w:color w:val="auto"/>
              </w:rPr>
            </w:pPr>
          </w:p>
        </w:tc>
      </w:tr>
      <w:tr>
        <w:trPr>
          <w:trHeight w:val="163"/>
        </w:trPr>
        <w:tc>
          <w:tcPr>
            <w:tcW w:w="880" w:type="dxa"/>
            <w:vAlign w:val="bottom"/>
            <w:shd w:val="clear" w:color="auto" w:fill="F7F7F7"/>
          </w:tcPr>
          <w:p>
            <w:pPr>
              <w:spacing w:after="0"/>
              <w:rPr>
                <w:sz w:val="14"/>
                <w:szCs w:val="14"/>
                <w:color w:val="auto"/>
              </w:rPr>
            </w:pPr>
          </w:p>
        </w:tc>
        <w:tc>
          <w:tcPr>
            <w:tcW w:w="1660" w:type="dxa"/>
            <w:vAlign w:val="bottom"/>
            <w:tcBorders>
              <w:right w:val="single" w:sz="8" w:color="auto"/>
            </w:tcBorders>
            <w:shd w:val="clear" w:color="auto" w:fill="F7F7F7"/>
          </w:tcPr>
          <w:p>
            <w:pPr>
              <w:spacing w:after="0"/>
              <w:rPr>
                <w:sz w:val="14"/>
                <w:szCs w:val="14"/>
                <w:color w:val="auto"/>
              </w:rPr>
            </w:pPr>
          </w:p>
        </w:tc>
        <w:tc>
          <w:tcPr>
            <w:tcW w:w="200" w:type="dxa"/>
            <w:vAlign w:val="bottom"/>
            <w:shd w:val="clear" w:color="auto" w:fill="F7F7F7"/>
          </w:tcPr>
          <w:p>
            <w:pPr>
              <w:ind w:left="100"/>
              <w:spacing w:after="0" w:line="163" w:lineRule="exact"/>
              <w:rPr>
                <w:sz w:val="20"/>
                <w:szCs w:val="20"/>
                <w:color w:val="auto"/>
              </w:rPr>
            </w:pPr>
            <w:r>
              <w:rPr>
                <w:rFonts w:ascii="Arial" w:cs="Arial" w:eastAsia="Arial" w:hAnsi="Arial"/>
                <w:sz w:val="16"/>
                <w:szCs w:val="16"/>
                <w:color w:val="auto"/>
              </w:rPr>
              <w:t>•</w:t>
            </w:r>
          </w:p>
        </w:tc>
        <w:tc>
          <w:tcPr>
            <w:tcW w:w="6080" w:type="dxa"/>
            <w:vAlign w:val="bottom"/>
            <w:tcBorders>
              <w:right w:val="single" w:sz="8" w:color="auto"/>
            </w:tcBorders>
            <w:shd w:val="clear" w:color="auto" w:fill="F7F7F7"/>
          </w:tcPr>
          <w:p>
            <w:pPr>
              <w:ind w:left="60"/>
              <w:spacing w:after="0" w:line="163" w:lineRule="exact"/>
              <w:rPr>
                <w:sz w:val="20"/>
                <w:szCs w:val="20"/>
                <w:color w:val="auto"/>
              </w:rPr>
            </w:pPr>
            <w:r>
              <w:rPr>
                <w:rFonts w:ascii="Arial" w:cs="Arial" w:eastAsia="Arial" w:hAnsi="Arial"/>
                <w:sz w:val="16"/>
                <w:szCs w:val="16"/>
                <w:color w:val="auto"/>
              </w:rPr>
              <w:t>AI chatbots deployed on select consumer websites to provide personalized search</w:t>
            </w:r>
          </w:p>
        </w:tc>
        <w:tc>
          <w:tcPr>
            <w:tcW w:w="2200" w:type="dxa"/>
            <w:vAlign w:val="bottom"/>
            <w:vMerge w:val="continue"/>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80" w:type="dxa"/>
            <w:vAlign w:val="bottom"/>
            <w:shd w:val="clear" w:color="auto" w:fill="F7F7F7"/>
          </w:tcPr>
          <w:p>
            <w:pPr>
              <w:spacing w:after="0"/>
              <w:rPr>
                <w:sz w:val="20"/>
                <w:szCs w:val="20"/>
                <w:color w:val="auto"/>
              </w:rPr>
            </w:pPr>
          </w:p>
        </w:tc>
        <w:tc>
          <w:tcPr>
            <w:tcW w:w="1660" w:type="dxa"/>
            <w:vAlign w:val="bottom"/>
            <w:tcBorders>
              <w:right w:val="single" w:sz="8" w:color="auto"/>
            </w:tcBorders>
            <w:shd w:val="clear" w:color="auto" w:fill="F7F7F7"/>
          </w:tcPr>
          <w:p>
            <w:pPr>
              <w:spacing w:after="0"/>
              <w:rPr>
                <w:sz w:val="20"/>
                <w:szCs w:val="20"/>
                <w:color w:val="auto"/>
              </w:rPr>
            </w:pPr>
          </w:p>
        </w:tc>
        <w:tc>
          <w:tcPr>
            <w:tcW w:w="200" w:type="dxa"/>
            <w:vAlign w:val="bottom"/>
            <w:shd w:val="clear" w:color="auto" w:fill="F7F7F7"/>
          </w:tcPr>
          <w:p>
            <w:pPr>
              <w:spacing w:after="0"/>
              <w:rPr>
                <w:sz w:val="20"/>
                <w:szCs w:val="20"/>
                <w:color w:val="auto"/>
              </w:rPr>
            </w:pPr>
          </w:p>
        </w:tc>
        <w:tc>
          <w:tcPr>
            <w:tcW w:w="6080" w:type="dxa"/>
            <w:vAlign w:val="bottom"/>
            <w:tcBorders>
              <w:right w:val="single" w:sz="8" w:color="auto"/>
            </w:tcBorders>
            <w:shd w:val="clear" w:color="auto" w:fill="F7F7F7"/>
          </w:tcPr>
          <w:p>
            <w:pPr>
              <w:ind w:left="60"/>
              <w:spacing w:after="0"/>
              <w:rPr>
                <w:sz w:val="20"/>
                <w:szCs w:val="20"/>
                <w:color w:val="auto"/>
              </w:rPr>
            </w:pPr>
            <w:r>
              <w:rPr>
                <w:rFonts w:ascii="Arial" w:cs="Arial" w:eastAsia="Arial" w:hAnsi="Arial"/>
                <w:sz w:val="16"/>
                <w:szCs w:val="16"/>
                <w:color w:val="auto"/>
              </w:rPr>
              <w:t>responses</w:t>
            </w:r>
          </w:p>
        </w:tc>
        <w:tc>
          <w:tcPr>
            <w:tcW w:w="2200" w:type="dxa"/>
            <w:vAlign w:val="bottom"/>
            <w:shd w:val="clear" w:color="auto" w:fill="F7F7F7"/>
          </w:tcPr>
          <w:p>
            <w:pPr>
              <w:ind w:left="260"/>
              <w:spacing w:after="0"/>
              <w:rPr>
                <w:sz w:val="20"/>
                <w:szCs w:val="20"/>
                <w:color w:val="auto"/>
              </w:rPr>
            </w:pPr>
            <w:r>
              <w:rPr>
                <w:rFonts w:ascii="Arial" w:cs="Arial" w:eastAsia="Arial" w:hAnsi="Arial"/>
                <w:sz w:val="16"/>
                <w:szCs w:val="16"/>
                <w:color w:val="auto"/>
              </w:rPr>
              <w:t>and placemaking</w:t>
            </w:r>
          </w:p>
        </w:tc>
        <w:tc>
          <w:tcPr>
            <w:tcW w:w="0" w:type="dxa"/>
            <w:vAlign w:val="bottom"/>
          </w:tcPr>
          <w:p>
            <w:pPr>
              <w:spacing w:after="0"/>
              <w:rPr>
                <w:sz w:val="1"/>
                <w:szCs w:val="1"/>
                <w:color w:val="auto"/>
              </w:rPr>
            </w:pPr>
          </w:p>
        </w:tc>
      </w:tr>
      <w:tr>
        <w:trPr>
          <w:trHeight w:val="83"/>
        </w:trPr>
        <w:tc>
          <w:tcPr>
            <w:tcW w:w="880" w:type="dxa"/>
            <w:vAlign w:val="bottom"/>
            <w:tcBorders>
              <w:bottom w:val="single" w:sz="8" w:color="E56D3D"/>
            </w:tcBorders>
            <w:shd w:val="clear" w:color="auto" w:fill="F7F7F7"/>
          </w:tcPr>
          <w:p>
            <w:pPr>
              <w:spacing w:after="0"/>
              <w:rPr>
                <w:sz w:val="7"/>
                <w:szCs w:val="7"/>
                <w:color w:val="auto"/>
              </w:rPr>
            </w:pPr>
          </w:p>
        </w:tc>
        <w:tc>
          <w:tcPr>
            <w:tcW w:w="1660" w:type="dxa"/>
            <w:vAlign w:val="bottom"/>
            <w:tcBorders>
              <w:bottom w:val="single" w:sz="8" w:color="E56D3D"/>
              <w:right w:val="single" w:sz="8" w:color="auto"/>
            </w:tcBorders>
            <w:shd w:val="clear" w:color="auto" w:fill="F7F7F7"/>
          </w:tcPr>
          <w:p>
            <w:pPr>
              <w:spacing w:after="0"/>
              <w:rPr>
                <w:sz w:val="7"/>
                <w:szCs w:val="7"/>
                <w:color w:val="auto"/>
              </w:rPr>
            </w:pPr>
          </w:p>
        </w:tc>
        <w:tc>
          <w:tcPr>
            <w:tcW w:w="200" w:type="dxa"/>
            <w:vAlign w:val="bottom"/>
            <w:tcBorders>
              <w:bottom w:val="single" w:sz="8" w:color="E56D3D"/>
            </w:tcBorders>
            <w:shd w:val="clear" w:color="auto" w:fill="F7F7F7"/>
          </w:tcPr>
          <w:p>
            <w:pPr>
              <w:spacing w:after="0"/>
              <w:rPr>
                <w:sz w:val="7"/>
                <w:szCs w:val="7"/>
                <w:color w:val="auto"/>
              </w:rPr>
            </w:pPr>
          </w:p>
        </w:tc>
        <w:tc>
          <w:tcPr>
            <w:tcW w:w="6080" w:type="dxa"/>
            <w:vAlign w:val="bottom"/>
            <w:tcBorders>
              <w:bottom w:val="single" w:sz="8" w:color="E56D3D"/>
              <w:right w:val="single" w:sz="8" w:color="auto"/>
            </w:tcBorders>
            <w:shd w:val="clear" w:color="auto" w:fill="F7F7F7"/>
          </w:tcPr>
          <w:p>
            <w:pPr>
              <w:spacing w:after="0"/>
              <w:rPr>
                <w:sz w:val="7"/>
                <w:szCs w:val="7"/>
                <w:color w:val="auto"/>
              </w:rPr>
            </w:pPr>
          </w:p>
        </w:tc>
        <w:tc>
          <w:tcPr>
            <w:tcW w:w="2200" w:type="dxa"/>
            <w:vAlign w:val="bottom"/>
            <w:tcBorders>
              <w:bottom w:val="single" w:sz="8" w:color="E56D3D"/>
            </w:tcBorders>
            <w:shd w:val="clear" w:color="auto" w:fill="F7F7F7"/>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-4894580</wp:posOffset>
            </wp:positionV>
            <wp:extent cx="360045"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0045" cy="3086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-3745865</wp:posOffset>
            </wp:positionV>
            <wp:extent cx="334010"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4010" cy="47180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-2682875</wp:posOffset>
            </wp:positionV>
            <wp:extent cx="360045" cy="3346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0045" cy="3346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-1765300</wp:posOffset>
            </wp:positionV>
            <wp:extent cx="342900" cy="334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-608330</wp:posOffset>
            </wp:positionV>
            <wp:extent cx="368300" cy="351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8300" cy="351155"/>
                    </a:xfrm>
                    <a:prstGeom prst="rect">
                      <a:avLst/>
                    </a:prstGeom>
                    <a:noFill/>
                  </pic:spPr>
                </pic:pic>
              </a:graphicData>
            </a:graphic>
          </wp:anchor>
        </w:drawing>
      </w:r>
    </w:p>
    <w:p>
      <w:pPr>
        <w:spacing w:after="0" w:line="110" w:lineRule="exact"/>
        <w:rPr>
          <w:sz w:val="20"/>
          <w:szCs w:val="20"/>
          <w:color w:val="auto"/>
        </w:rPr>
      </w:pPr>
    </w:p>
    <w:p>
      <w:pPr>
        <w:ind w:left="808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7</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Proposal One: Election Of Directors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E56D3D"/>
        </w:rPr>
        <w:t>Proposal One: Election Of Directors</w:t>
      </w:r>
    </w:p>
    <w:p>
      <w:pPr>
        <w:spacing w:after="0" w:line="200" w:lineRule="exact"/>
        <w:rPr>
          <w:sz w:val="20"/>
          <w:szCs w:val="20"/>
          <w:color w:val="auto"/>
        </w:rPr>
      </w:pPr>
    </w:p>
    <w:p>
      <w:pPr>
        <w:spacing w:after="0" w:line="227"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Our Restated Articles of Incorporation provide for the number of directors to be fixed pursuant to our bylaws, subject to a minimum of three and a maximum of fifteen. As of the date of this proxy statement, our Board has twelve directors. As previously disclosed, C. Ronald Blankenship, our current independent Lead Director, advised the Board that he intended to retire from the Board and would not stand for re-election in 2026. Our Board nominated all other eleven current directors to stand for election at the 2026 Annual Meeting and, assuming that all nominees are elected, our Board will have eleven directors after our Annual Meeting. Other than Mark J. Parrell, who was appointed to the Board effective January 1, 2026, all nominees were elected as directors by the shareholders at the 2025 Annual Meeting. All eleven directors elected at our 2026 Annual Meeting will serve until our 2027 Annual Meeting and until their successors are elected and qualified.</w:t>
      </w:r>
    </w:p>
    <w:p>
      <w:pPr>
        <w:spacing w:after="0" w:line="16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accompanying proxy card will be voted for the election of each of the Board’s eleven nominees, unless it includes instructions otherwise. Each nominee has consented to stand for election. If any nominee should become unavailable, which we do not currently anticipate, proxies instructing a vote for that nominee may be voted for a substitute nominee selected by our Board or, alternatively, our Board may determine to leave the vacancy temporarily unfilled or reduce the number of directors in accordance with our bylaws.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Information about each of the nominees, including biographies, is set forth below and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226695</wp:posOffset>
            </wp:positionV>
            <wp:extent cx="6995160" cy="4286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42862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E56D3D"/>
        </w:rPr>
        <w:t>OUR BOARD RECOMMENDS A VOTE “FOR” THE ELECTION OF EACH OF ITS NOMINEES.</w:t>
      </w:r>
    </w:p>
    <w:p>
      <w:pPr>
        <w:spacing w:after="0" w:line="200" w:lineRule="exact"/>
        <w:rPr>
          <w:sz w:val="20"/>
          <w:szCs w:val="20"/>
          <w:color w:val="auto"/>
        </w:rPr>
      </w:pPr>
    </w:p>
    <w:p>
      <w:pPr>
        <w:spacing w:after="0" w:line="3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Our Director Nominees</w:t>
      </w:r>
    </w:p>
    <w:p>
      <w:pPr>
        <w:spacing w:after="0" w:line="261"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You are being asked to vote on the election of each of the eleven director nominees listed below. Directors are elected by a majority of votes cast. Each nominee has been determined to be independent, in accordance with applicable Nasdaq Stock Market listing requirements, except for Mr. Stein (Executive Chairman) and Ms. Palmer (President and CEO). Upon election of these directors at the Annual Meeting, the directors shall hold the Board committee memberships and chair positions as follows: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620" w:type="dxa"/>
            <w:vAlign w:val="bottom"/>
            <w:tcBorders>
              <w:bottom w:val="single" w:sz="8" w:color="6A6E6F"/>
            </w:tcBorders>
            <w:shd w:val="clear" w:color="auto" w:fill="6A6E6F"/>
          </w:tcPr>
          <w:p>
            <w:pPr>
              <w:spacing w:after="0"/>
              <w:rPr>
                <w:sz w:val="19"/>
                <w:szCs w:val="19"/>
                <w:color w:val="auto"/>
              </w:rPr>
            </w:pPr>
          </w:p>
        </w:tc>
        <w:tc>
          <w:tcPr>
            <w:tcW w:w="120" w:type="dxa"/>
            <w:vAlign w:val="bottom"/>
            <w:tcBorders>
              <w:bottom w:val="single" w:sz="8" w:color="6A6E6F"/>
              <w:right w:val="single" w:sz="8" w:color="6A6E6F"/>
            </w:tcBorders>
            <w:shd w:val="clear" w:color="auto" w:fill="6A6E6F"/>
          </w:tcPr>
          <w:p>
            <w:pPr>
              <w:spacing w:after="0"/>
              <w:rPr>
                <w:sz w:val="19"/>
                <w:szCs w:val="19"/>
                <w:color w:val="auto"/>
              </w:rPr>
            </w:pPr>
          </w:p>
        </w:tc>
        <w:tc>
          <w:tcPr>
            <w:tcW w:w="2580" w:type="dxa"/>
            <w:vAlign w:val="bottom"/>
            <w:tcBorders>
              <w:bottom w:val="single" w:sz="8" w:color="6A6E6F"/>
            </w:tcBorders>
            <w:gridSpan w:val="4"/>
            <w:shd w:val="clear" w:color="auto" w:fill="6A6E6F"/>
          </w:tcPr>
          <w:p>
            <w:pPr>
              <w:ind w:left="860"/>
              <w:spacing w:after="0"/>
              <w:rPr>
                <w:sz w:val="20"/>
                <w:szCs w:val="20"/>
                <w:color w:val="auto"/>
              </w:rPr>
            </w:pPr>
            <w:r>
              <w:rPr>
                <w:rFonts w:ascii="Arial" w:cs="Arial" w:eastAsia="Arial" w:hAnsi="Arial"/>
                <w:sz w:val="14"/>
                <w:szCs w:val="14"/>
                <w:b w:val="1"/>
                <w:bCs w:val="1"/>
                <w:color w:val="FFFFFF"/>
              </w:rPr>
              <w:t>Committee Membership</w:t>
            </w:r>
          </w:p>
        </w:tc>
        <w:tc>
          <w:tcPr>
            <w:tcW w:w="220" w:type="dxa"/>
            <w:vAlign w:val="bottom"/>
            <w:tcBorders>
              <w:bottom w:val="single" w:sz="8" w:color="6A6E6F"/>
              <w:right w:val="single" w:sz="8" w:color="6A6E6F"/>
            </w:tcBorders>
            <w:shd w:val="clear" w:color="auto" w:fill="6A6E6F"/>
          </w:tcPr>
          <w:p>
            <w:pPr>
              <w:spacing w:after="0"/>
              <w:rPr>
                <w:sz w:val="19"/>
                <w:szCs w:val="19"/>
                <w:color w:val="auto"/>
              </w:rPr>
            </w:pPr>
          </w:p>
        </w:tc>
        <w:tc>
          <w:tcPr>
            <w:tcW w:w="720" w:type="dxa"/>
            <w:vAlign w:val="bottom"/>
            <w:tcBorders>
              <w:bottom w:val="single" w:sz="8" w:color="6A6E6F"/>
            </w:tcBorders>
            <w:shd w:val="clear" w:color="auto" w:fill="6A6E6F"/>
          </w:tcPr>
          <w:p>
            <w:pPr>
              <w:spacing w:after="0"/>
              <w:rPr>
                <w:sz w:val="19"/>
                <w:szCs w:val="19"/>
                <w:color w:val="auto"/>
              </w:rPr>
            </w:pPr>
          </w:p>
        </w:tc>
        <w:tc>
          <w:tcPr>
            <w:tcW w:w="440" w:type="dxa"/>
            <w:vAlign w:val="bottom"/>
            <w:tcBorders>
              <w:bottom w:val="single" w:sz="8" w:color="6A6E6F"/>
              <w:right w:val="single" w:sz="8" w:color="auto"/>
            </w:tcBorders>
            <w:shd w:val="clear" w:color="auto" w:fill="6A6E6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gridSpan w:val="2"/>
          </w:tcPr>
          <w:p>
            <w:pPr>
              <w:jc w:val="center"/>
              <w:ind w:left="81"/>
              <w:spacing w:after="0" w:line="153" w:lineRule="exact"/>
              <w:rPr>
                <w:sz w:val="20"/>
                <w:szCs w:val="20"/>
                <w:color w:val="auto"/>
              </w:rPr>
            </w:pPr>
            <w:r>
              <w:rPr>
                <w:rFonts w:ascii="Arial" w:cs="Arial" w:eastAsia="Arial" w:hAnsi="Arial"/>
                <w:sz w:val="14"/>
                <w:szCs w:val="14"/>
                <w:b w:val="1"/>
                <w:bCs w:val="1"/>
                <w:color w:val="auto"/>
                <w:w w:val="92"/>
              </w:rPr>
              <w:t>Nominating </w:t>
            </w:r>
          </w:p>
        </w:tc>
        <w:tc>
          <w:tcPr>
            <w:tcW w:w="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 xml:space="preserve">   </w:t>
            </w:r>
          </w:p>
        </w:tc>
        <w:tc>
          <w:tcPr>
            <w:tcW w:w="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xml:space="preserve">Director      </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center"/>
              <w:ind w:left="381"/>
              <w:spacing w:after="0"/>
              <w:rPr>
                <w:sz w:val="20"/>
                <w:szCs w:val="20"/>
                <w:color w:val="auto"/>
              </w:rPr>
            </w:pPr>
            <w:r>
              <w:rPr>
                <w:rFonts w:ascii="Arial" w:cs="Arial" w:eastAsia="Arial" w:hAnsi="Arial"/>
                <w:sz w:val="14"/>
                <w:szCs w:val="14"/>
                <w:b w:val="1"/>
                <w:bCs w:val="1"/>
                <w:color w:val="auto"/>
                <w:w w:val="71"/>
              </w:rPr>
              <w:t>and </w:t>
            </w:r>
          </w:p>
        </w:tc>
        <w:tc>
          <w:tcPr>
            <w:tcW w:w="300" w:type="dxa"/>
            <w:vAlign w:val="bottom"/>
          </w:tcPr>
          <w:p>
            <w:pPr>
              <w:ind w:left="80"/>
              <w:spacing w:after="0"/>
              <w:rPr>
                <w:sz w:val="20"/>
                <w:szCs w:val="20"/>
                <w:color w:val="auto"/>
              </w:rPr>
            </w:pPr>
            <w:r>
              <w:rPr>
                <w:rFonts w:ascii="Arial" w:cs="Arial" w:eastAsia="Arial" w:hAnsi="Arial"/>
                <w:sz w:val="14"/>
                <w:szCs w:val="14"/>
                <w:b w:val="1"/>
                <w:bCs w:val="1"/>
                <w:color w:val="auto"/>
              </w:rPr>
              <w:t xml:space="preserve">   </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520" w:type="dxa"/>
            <w:vAlign w:val="bottom"/>
          </w:tcPr>
          <w:p>
            <w:pPr>
              <w:ind w:left="60"/>
              <w:spacing w:after="0"/>
              <w:rPr>
                <w:sz w:val="20"/>
                <w:szCs w:val="20"/>
                <w:color w:val="auto"/>
              </w:rPr>
            </w:pPr>
            <w:r>
              <w:rPr>
                <w:rFonts w:ascii="Arial" w:cs="Arial" w:eastAsia="Arial" w:hAnsi="Arial"/>
                <w:sz w:val="14"/>
                <w:szCs w:val="14"/>
                <w:b w:val="1"/>
                <w:bCs w:val="1"/>
                <w:color w:val="auto"/>
              </w:rPr>
              <w:t>Name and Primary Occupation</w:t>
            </w: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98"/>
              </w:rPr>
              <w:t>Age</w:t>
            </w:r>
          </w:p>
        </w:tc>
        <w:tc>
          <w:tcPr>
            <w:tcW w:w="720" w:type="dxa"/>
            <w:vAlign w:val="bottom"/>
          </w:tcPr>
          <w:p>
            <w:pPr>
              <w:ind w:left="260"/>
              <w:spacing w:after="0"/>
              <w:rPr>
                <w:sz w:val="20"/>
                <w:szCs w:val="20"/>
                <w:color w:val="auto"/>
              </w:rPr>
            </w:pPr>
            <w:r>
              <w:rPr>
                <w:rFonts w:ascii="Arial" w:cs="Arial" w:eastAsia="Arial" w:hAnsi="Arial"/>
                <w:sz w:val="14"/>
                <w:szCs w:val="14"/>
                <w:b w:val="1"/>
                <w:bCs w:val="1"/>
                <w:color w:val="auto"/>
                <w:w w:val="85"/>
              </w:rPr>
              <w:t>Since </w:t>
            </w:r>
          </w:p>
        </w:tc>
        <w:tc>
          <w:tcPr>
            <w:tcW w:w="30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 xml:space="preserve">   </w:t>
            </w: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w w:val="84"/>
              </w:rPr>
              <w:t>Audit </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48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rPr>
              <w:t xml:space="preserve">Compensation      </w:t>
            </w:r>
          </w:p>
        </w:tc>
        <w:tc>
          <w:tcPr>
            <w:tcW w:w="1100" w:type="dxa"/>
            <w:vAlign w:val="bottom"/>
            <w:gridSpan w:val="2"/>
          </w:tcPr>
          <w:p>
            <w:pPr>
              <w:jc w:val="center"/>
              <w:ind w:left="81"/>
              <w:spacing w:after="0"/>
              <w:rPr>
                <w:sz w:val="20"/>
                <w:szCs w:val="20"/>
                <w:color w:val="auto"/>
              </w:rPr>
            </w:pPr>
            <w:r>
              <w:rPr>
                <w:rFonts w:ascii="Arial" w:cs="Arial" w:eastAsia="Arial" w:hAnsi="Arial"/>
                <w:sz w:val="14"/>
                <w:szCs w:val="14"/>
                <w:b w:val="1"/>
                <w:bCs w:val="1"/>
                <w:color w:val="auto"/>
              </w:rPr>
              <w:t xml:space="preserve">Governance </w:t>
            </w:r>
          </w:p>
        </w:tc>
        <w:tc>
          <w:tcPr>
            <w:tcW w:w="138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xml:space="preserve">      Investment    </w:t>
            </w: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4520" w:type="dxa"/>
            <w:vAlign w:val="bottom"/>
            <w:tcBorders>
              <w:bottom w:val="single" w:sz="8" w:color="E56D3D"/>
            </w:tcBorders>
          </w:tcPr>
          <w:p>
            <w:pPr>
              <w:spacing w:after="0"/>
              <w:rPr>
                <w:sz w:val="3"/>
                <w:szCs w:val="3"/>
                <w:color w:val="auto"/>
              </w:rPr>
            </w:pPr>
          </w:p>
        </w:tc>
        <w:tc>
          <w:tcPr>
            <w:tcW w:w="720" w:type="dxa"/>
            <w:vAlign w:val="bottom"/>
            <w:tcBorders>
              <w:bottom w:val="single" w:sz="8" w:color="E56D3D"/>
            </w:tcBorders>
          </w:tcPr>
          <w:p>
            <w:pPr>
              <w:spacing w:after="0"/>
              <w:rPr>
                <w:sz w:val="3"/>
                <w:szCs w:val="3"/>
                <w:color w:val="auto"/>
              </w:rPr>
            </w:pPr>
          </w:p>
        </w:tc>
        <w:tc>
          <w:tcPr>
            <w:tcW w:w="720" w:type="dxa"/>
            <w:vAlign w:val="bottom"/>
            <w:tcBorders>
              <w:bottom w:val="single" w:sz="8" w:color="E56D3D"/>
            </w:tcBorders>
          </w:tcPr>
          <w:p>
            <w:pPr>
              <w:spacing w:after="0"/>
              <w:rPr>
                <w:sz w:val="3"/>
                <w:szCs w:val="3"/>
                <w:color w:val="auto"/>
              </w:rPr>
            </w:pPr>
          </w:p>
        </w:tc>
        <w:tc>
          <w:tcPr>
            <w:tcW w:w="300" w:type="dxa"/>
            <w:vAlign w:val="bottom"/>
            <w:tcBorders>
              <w:bottom w:val="single" w:sz="8" w:color="E56D3D"/>
              <w:right w:val="single" w:sz="8" w:color="auto"/>
            </w:tcBorders>
          </w:tcPr>
          <w:p>
            <w:pPr>
              <w:spacing w:after="0"/>
              <w:rPr>
                <w:sz w:val="3"/>
                <w:szCs w:val="3"/>
                <w:color w:val="auto"/>
              </w:rPr>
            </w:pPr>
          </w:p>
        </w:tc>
        <w:tc>
          <w:tcPr>
            <w:tcW w:w="620" w:type="dxa"/>
            <w:vAlign w:val="bottom"/>
            <w:tcBorders>
              <w:bottom w:val="single" w:sz="8" w:color="E56D3D"/>
            </w:tcBorders>
          </w:tcPr>
          <w:p>
            <w:pPr>
              <w:spacing w:after="0"/>
              <w:rPr>
                <w:sz w:val="3"/>
                <w:szCs w:val="3"/>
                <w:color w:val="auto"/>
              </w:rPr>
            </w:pPr>
          </w:p>
        </w:tc>
        <w:tc>
          <w:tcPr>
            <w:tcW w:w="120" w:type="dxa"/>
            <w:vAlign w:val="bottom"/>
            <w:tcBorders>
              <w:bottom w:val="single" w:sz="8" w:color="E56D3D"/>
            </w:tcBorders>
          </w:tcPr>
          <w:p>
            <w:pPr>
              <w:spacing w:after="0"/>
              <w:rPr>
                <w:sz w:val="3"/>
                <w:szCs w:val="3"/>
                <w:color w:val="auto"/>
              </w:rPr>
            </w:pPr>
          </w:p>
        </w:tc>
        <w:tc>
          <w:tcPr>
            <w:tcW w:w="900" w:type="dxa"/>
            <w:vAlign w:val="bottom"/>
            <w:tcBorders>
              <w:bottom w:val="single" w:sz="8" w:color="E56D3D"/>
            </w:tcBorders>
          </w:tcPr>
          <w:p>
            <w:pPr>
              <w:spacing w:after="0"/>
              <w:rPr>
                <w:sz w:val="3"/>
                <w:szCs w:val="3"/>
                <w:color w:val="auto"/>
              </w:rPr>
            </w:pPr>
          </w:p>
        </w:tc>
        <w:tc>
          <w:tcPr>
            <w:tcW w:w="580" w:type="dxa"/>
            <w:vAlign w:val="bottom"/>
            <w:tcBorders>
              <w:bottom w:val="single" w:sz="8" w:color="E56D3D"/>
            </w:tcBorders>
          </w:tcPr>
          <w:p>
            <w:pPr>
              <w:spacing w:after="0"/>
              <w:rPr>
                <w:sz w:val="3"/>
                <w:szCs w:val="3"/>
                <w:color w:val="auto"/>
              </w:rPr>
            </w:pPr>
          </w:p>
        </w:tc>
        <w:tc>
          <w:tcPr>
            <w:tcW w:w="800" w:type="dxa"/>
            <w:vAlign w:val="bottom"/>
            <w:tcBorders>
              <w:bottom w:val="single" w:sz="8" w:color="E56D3D"/>
            </w:tcBorders>
          </w:tcPr>
          <w:p>
            <w:pPr>
              <w:spacing w:after="0"/>
              <w:rPr>
                <w:sz w:val="3"/>
                <w:szCs w:val="3"/>
                <w:color w:val="auto"/>
              </w:rPr>
            </w:pPr>
          </w:p>
        </w:tc>
        <w:tc>
          <w:tcPr>
            <w:tcW w:w="300" w:type="dxa"/>
            <w:vAlign w:val="bottom"/>
            <w:tcBorders>
              <w:bottom w:val="single" w:sz="8" w:color="E56D3D"/>
            </w:tcBorders>
          </w:tcPr>
          <w:p>
            <w:pPr>
              <w:spacing w:after="0"/>
              <w:rPr>
                <w:sz w:val="3"/>
                <w:szCs w:val="3"/>
                <w:color w:val="auto"/>
              </w:rPr>
            </w:pPr>
          </w:p>
        </w:tc>
        <w:tc>
          <w:tcPr>
            <w:tcW w:w="220" w:type="dxa"/>
            <w:vAlign w:val="bottom"/>
            <w:tcBorders>
              <w:bottom w:val="single" w:sz="8" w:color="E56D3D"/>
            </w:tcBorders>
          </w:tcPr>
          <w:p>
            <w:pPr>
              <w:spacing w:after="0"/>
              <w:rPr>
                <w:sz w:val="3"/>
                <w:szCs w:val="3"/>
                <w:color w:val="auto"/>
              </w:rPr>
            </w:pPr>
          </w:p>
        </w:tc>
        <w:tc>
          <w:tcPr>
            <w:tcW w:w="720" w:type="dxa"/>
            <w:vAlign w:val="bottom"/>
            <w:tcBorders>
              <w:bottom w:val="single" w:sz="8" w:color="E56D3D"/>
            </w:tcBorders>
          </w:tcPr>
          <w:p>
            <w:pPr>
              <w:spacing w:after="0"/>
              <w:rPr>
                <w:sz w:val="3"/>
                <w:szCs w:val="3"/>
                <w:color w:val="auto"/>
              </w:rPr>
            </w:pPr>
          </w:p>
        </w:tc>
        <w:tc>
          <w:tcPr>
            <w:tcW w:w="440" w:type="dxa"/>
            <w:vAlign w:val="bottom"/>
            <w:tcBorders>
              <w:bottom w:val="single" w:sz="8" w:color="E56D3D"/>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Gary E. Anderson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60</w:t>
            </w:r>
          </w:p>
        </w:tc>
        <w:tc>
          <w:tcPr>
            <w:tcW w:w="720" w:type="dxa"/>
            <w:vAlign w:val="bottom"/>
            <w:vMerge w:val="restart"/>
          </w:tcPr>
          <w:p>
            <w:pPr>
              <w:ind w:left="360"/>
              <w:spacing w:after="0"/>
              <w:rPr>
                <w:sz w:val="20"/>
                <w:szCs w:val="20"/>
                <w:color w:val="auto"/>
              </w:rPr>
            </w:pPr>
            <w:r>
              <w:rPr>
                <w:rFonts w:ascii="Arial" w:cs="Arial" w:eastAsia="Arial" w:hAnsi="Arial"/>
                <w:sz w:val="13"/>
                <w:szCs w:val="13"/>
                <w:color w:val="auto"/>
                <w:w w:val="81"/>
              </w:rPr>
              <w:t>2024 </w:t>
            </w:r>
          </w:p>
        </w:tc>
        <w:tc>
          <w:tcPr>
            <w:tcW w:w="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620" w:type="dxa"/>
            <w:vAlign w:val="bottom"/>
            <w:shd w:val="clear" w:color="auto" w:fill="F7F7F7"/>
          </w:tcPr>
          <w:p>
            <w:pPr>
              <w:spacing w:after="0"/>
              <w:rPr>
                <w:sz w:val="14"/>
                <w:szCs w:val="14"/>
                <w:color w:val="auto"/>
              </w:rPr>
            </w:pPr>
          </w:p>
        </w:tc>
        <w:tc>
          <w:tcPr>
            <w:tcW w:w="120" w:type="dxa"/>
            <w:vAlign w:val="bottom"/>
            <w:tcBorders>
              <w:right w:val="single" w:sz="8" w:color="auto"/>
            </w:tcBorders>
            <w:shd w:val="clear" w:color="auto" w:fill="F7F7F7"/>
          </w:tcPr>
          <w:p>
            <w:pPr>
              <w:spacing w:after="0"/>
              <w:rPr>
                <w:sz w:val="14"/>
                <w:szCs w:val="14"/>
                <w:color w:val="auto"/>
              </w:rPr>
            </w:pPr>
          </w:p>
        </w:tc>
        <w:tc>
          <w:tcPr>
            <w:tcW w:w="900" w:type="dxa"/>
            <w:vAlign w:val="bottom"/>
            <w:vMerge w:val="restart"/>
            <w:shd w:val="clear" w:color="auto" w:fill="F7F7F7"/>
          </w:tcPr>
          <w:p>
            <w:pPr>
              <w:jc w:val="center"/>
              <w:ind w:left="715"/>
              <w:spacing w:after="0"/>
              <w:rPr>
                <w:sz w:val="20"/>
                <w:szCs w:val="20"/>
                <w:color w:val="auto"/>
              </w:rPr>
            </w:pPr>
            <w:r>
              <w:rPr>
                <w:rFonts w:ascii="Arial" w:cs="Arial" w:eastAsia="Arial" w:hAnsi="Arial"/>
                <w:sz w:val="6"/>
                <w:szCs w:val="6"/>
                <w:color w:val="auto"/>
                <w:w w:val="77"/>
              </w:rPr>
              <w:t xml:space="preserve">  </w:t>
            </w:r>
          </w:p>
        </w:tc>
        <w:tc>
          <w:tcPr>
            <w:tcW w:w="580" w:type="dxa"/>
            <w:vAlign w:val="bottom"/>
            <w:tcBorders>
              <w:right w:val="single" w:sz="8" w:color="auto"/>
            </w:tcBorders>
            <w:vMerge w:val="restart"/>
            <w:shd w:val="clear" w:color="auto" w:fill="F7F7F7"/>
          </w:tcPr>
          <w:p>
            <w:pPr>
              <w:ind w:left="60"/>
              <w:spacing w:after="0"/>
              <w:rPr>
                <w:sz w:val="20"/>
                <w:szCs w:val="20"/>
                <w:color w:val="auto"/>
              </w:rPr>
            </w:pPr>
            <w:r>
              <w:rPr>
                <w:rFonts w:ascii="Arial" w:cs="Arial" w:eastAsia="Arial" w:hAnsi="Arial"/>
                <w:sz w:val="13"/>
                <w:szCs w:val="13"/>
                <w:color w:val="auto"/>
              </w:rPr>
              <w:t>  </w:t>
            </w:r>
          </w:p>
        </w:tc>
        <w:tc>
          <w:tcPr>
            <w:tcW w:w="800" w:type="dxa"/>
            <w:vAlign w:val="bottom"/>
            <w:shd w:val="clear" w:color="auto" w:fill="F7F7F7"/>
          </w:tcPr>
          <w:p>
            <w:pPr>
              <w:spacing w:after="0"/>
              <w:rPr>
                <w:sz w:val="14"/>
                <w:szCs w:val="14"/>
                <w:color w:val="auto"/>
              </w:rPr>
            </w:pPr>
          </w:p>
        </w:tc>
        <w:tc>
          <w:tcPr>
            <w:tcW w:w="300" w:type="dxa"/>
            <w:vAlign w:val="bottom"/>
            <w:shd w:val="clear" w:color="auto" w:fill="F7F7F7"/>
          </w:tcPr>
          <w:p>
            <w:pPr>
              <w:spacing w:after="0"/>
              <w:rPr>
                <w:sz w:val="14"/>
                <w:szCs w:val="14"/>
                <w:color w:val="auto"/>
              </w:rPr>
            </w:pPr>
          </w:p>
        </w:tc>
        <w:tc>
          <w:tcPr>
            <w:tcW w:w="220" w:type="dxa"/>
            <w:vAlign w:val="bottom"/>
            <w:tcBorders>
              <w:right w:val="single" w:sz="8" w:color="auto"/>
            </w:tcBorders>
            <w:shd w:val="clear" w:color="auto" w:fill="F7F7F7"/>
          </w:tcPr>
          <w:p>
            <w:pPr>
              <w:spacing w:after="0"/>
              <w:rPr>
                <w:sz w:val="14"/>
                <w:szCs w:val="14"/>
                <w:color w:val="auto"/>
              </w:rPr>
            </w:pPr>
          </w:p>
        </w:tc>
        <w:tc>
          <w:tcPr>
            <w:tcW w:w="720" w:type="dxa"/>
            <w:vAlign w:val="bottom"/>
            <w:vMerge w:val="restart"/>
            <w:shd w:val="clear" w:color="auto" w:fill="F7F7F7"/>
          </w:tcPr>
          <w:p>
            <w:pPr>
              <w:ind w:left="600"/>
              <w:spacing w:after="0"/>
              <w:rPr>
                <w:sz w:val="20"/>
                <w:szCs w:val="20"/>
                <w:color w:val="auto"/>
              </w:rPr>
            </w:pPr>
            <w:r>
              <w:rPr>
                <w:rFonts w:ascii="Arial" w:cs="Arial" w:eastAsia="Arial" w:hAnsi="Arial"/>
                <w:sz w:val="10"/>
                <w:szCs w:val="10"/>
                <w:color w:val="auto"/>
                <w:w w:val="77"/>
              </w:rPr>
              <w:t xml:space="preserve">  </w:t>
            </w:r>
          </w:p>
        </w:tc>
        <w:tc>
          <w:tcPr>
            <w:tcW w:w="440" w:type="dxa"/>
            <w:vAlign w:val="bottom"/>
            <w:tcBorders>
              <w:right w:val="single" w:sz="8" w:color="auto"/>
            </w:tcBorders>
            <w:vMerge w:val="restart"/>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Former Chief Operating Officer of Prologis, Inc.</w:t>
            </w:r>
          </w:p>
        </w:tc>
        <w:tc>
          <w:tcPr>
            <w:tcW w:w="72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20" w:type="dxa"/>
            <w:vAlign w:val="bottom"/>
            <w:shd w:val="clear" w:color="auto" w:fill="F7F7F7"/>
          </w:tcPr>
          <w:p>
            <w:pPr>
              <w:spacing w:after="0"/>
              <w:rPr>
                <w:sz w:val="7"/>
                <w:szCs w:val="7"/>
                <w:color w:val="auto"/>
              </w:rPr>
            </w:pPr>
          </w:p>
        </w:tc>
        <w:tc>
          <w:tcPr>
            <w:tcW w:w="120" w:type="dxa"/>
            <w:vAlign w:val="bottom"/>
            <w:tcBorders>
              <w:right w:val="single" w:sz="8" w:color="auto"/>
            </w:tcBorders>
            <w:shd w:val="clear" w:color="auto" w:fill="F7F7F7"/>
          </w:tcPr>
          <w:p>
            <w:pPr>
              <w:spacing w:after="0"/>
              <w:rPr>
                <w:sz w:val="7"/>
                <w:szCs w:val="7"/>
                <w:color w:val="auto"/>
              </w:rPr>
            </w:pPr>
          </w:p>
        </w:tc>
        <w:tc>
          <w:tcPr>
            <w:tcW w:w="900" w:type="dxa"/>
            <w:vAlign w:val="bottom"/>
            <w:vMerge w:val="continue"/>
            <w:shd w:val="clear" w:color="auto" w:fill="F7F7F7"/>
          </w:tcPr>
          <w:p>
            <w:pPr>
              <w:spacing w:after="0"/>
              <w:rPr>
                <w:sz w:val="7"/>
                <w:szCs w:val="7"/>
                <w:color w:val="auto"/>
              </w:rPr>
            </w:pPr>
          </w:p>
        </w:tc>
        <w:tc>
          <w:tcPr>
            <w:tcW w:w="580" w:type="dxa"/>
            <w:vAlign w:val="bottom"/>
            <w:tcBorders>
              <w:right w:val="single" w:sz="8" w:color="auto"/>
            </w:tcBorders>
            <w:vMerge w:val="continue"/>
            <w:shd w:val="clear" w:color="auto" w:fill="F7F7F7"/>
          </w:tcPr>
          <w:p>
            <w:pPr>
              <w:spacing w:after="0"/>
              <w:rPr>
                <w:sz w:val="7"/>
                <w:szCs w:val="7"/>
                <w:color w:val="auto"/>
              </w:rPr>
            </w:pPr>
          </w:p>
        </w:tc>
        <w:tc>
          <w:tcPr>
            <w:tcW w:w="80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220" w:type="dxa"/>
            <w:vAlign w:val="bottom"/>
            <w:tcBorders>
              <w:right w:val="single" w:sz="8" w:color="auto"/>
            </w:tcBorders>
            <w:shd w:val="clear" w:color="auto" w:fill="F7F7F7"/>
          </w:tcPr>
          <w:p>
            <w:pPr>
              <w:spacing w:after="0"/>
              <w:rPr>
                <w:sz w:val="7"/>
                <w:szCs w:val="7"/>
                <w:color w:val="auto"/>
              </w:rPr>
            </w:pPr>
          </w:p>
        </w:tc>
        <w:tc>
          <w:tcPr>
            <w:tcW w:w="720" w:type="dxa"/>
            <w:vAlign w:val="bottom"/>
            <w:vMerge w:val="continue"/>
            <w:shd w:val="clear" w:color="auto" w:fill="F7F7F7"/>
          </w:tcPr>
          <w:p>
            <w:pPr>
              <w:spacing w:after="0"/>
              <w:rPr>
                <w:sz w:val="7"/>
                <w:szCs w:val="7"/>
                <w:color w:val="auto"/>
              </w:rPr>
            </w:pPr>
          </w:p>
        </w:tc>
        <w:tc>
          <w:tcPr>
            <w:tcW w:w="440" w:type="dxa"/>
            <w:vAlign w:val="bottom"/>
            <w:tcBorders>
              <w:right w:val="single" w:sz="8" w:color="auto"/>
            </w:tcBorders>
            <w:vMerge w:val="continue"/>
            <w:shd w:val="clear" w:color="auto" w:fill="F7F7F7"/>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5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20" w:type="dxa"/>
            <w:vAlign w:val="bottom"/>
            <w:tcBorders>
              <w:bottom w:val="single" w:sz="8" w:color="F7F7F7"/>
            </w:tcBorders>
            <w:shd w:val="clear" w:color="auto" w:fill="F7F7F7"/>
          </w:tcPr>
          <w:p>
            <w:pPr>
              <w:spacing w:after="0"/>
              <w:rPr>
                <w:sz w:val="10"/>
                <w:szCs w:val="10"/>
                <w:color w:val="auto"/>
              </w:rPr>
            </w:pPr>
          </w:p>
        </w:tc>
        <w:tc>
          <w:tcPr>
            <w:tcW w:w="120" w:type="dxa"/>
            <w:vAlign w:val="bottom"/>
            <w:tcBorders>
              <w:bottom w:val="single" w:sz="8" w:color="F7F7F7"/>
              <w:right w:val="single" w:sz="8" w:color="auto"/>
            </w:tcBorders>
            <w:shd w:val="clear" w:color="auto" w:fill="F7F7F7"/>
          </w:tcPr>
          <w:p>
            <w:pPr>
              <w:spacing w:after="0"/>
              <w:rPr>
                <w:sz w:val="10"/>
                <w:szCs w:val="10"/>
                <w:color w:val="auto"/>
              </w:rPr>
            </w:pPr>
          </w:p>
        </w:tc>
        <w:tc>
          <w:tcPr>
            <w:tcW w:w="900" w:type="dxa"/>
            <w:vAlign w:val="bottom"/>
            <w:tcBorders>
              <w:bottom w:val="single" w:sz="8" w:color="F7F7F7"/>
            </w:tcBorders>
            <w:shd w:val="clear" w:color="auto" w:fill="F7F7F7"/>
          </w:tcPr>
          <w:p>
            <w:pPr>
              <w:spacing w:after="0"/>
              <w:rPr>
                <w:sz w:val="10"/>
                <w:szCs w:val="10"/>
                <w:color w:val="auto"/>
              </w:rPr>
            </w:pPr>
          </w:p>
        </w:tc>
        <w:tc>
          <w:tcPr>
            <w:tcW w:w="580" w:type="dxa"/>
            <w:vAlign w:val="bottom"/>
            <w:tcBorders>
              <w:bottom w:val="single" w:sz="8" w:color="F7F7F7"/>
              <w:right w:val="single" w:sz="8" w:color="auto"/>
            </w:tcBorders>
            <w:shd w:val="clear" w:color="auto" w:fill="F7F7F7"/>
          </w:tcPr>
          <w:p>
            <w:pPr>
              <w:spacing w:after="0"/>
              <w:rPr>
                <w:sz w:val="10"/>
                <w:szCs w:val="10"/>
                <w:color w:val="auto"/>
              </w:rPr>
            </w:pPr>
          </w:p>
        </w:tc>
        <w:tc>
          <w:tcPr>
            <w:tcW w:w="800" w:type="dxa"/>
            <w:vAlign w:val="bottom"/>
            <w:tcBorders>
              <w:bottom w:val="single" w:sz="8" w:color="F7F7F7"/>
            </w:tcBorders>
            <w:shd w:val="clear" w:color="auto" w:fill="F7F7F7"/>
          </w:tcPr>
          <w:p>
            <w:pPr>
              <w:spacing w:after="0"/>
              <w:rPr>
                <w:sz w:val="10"/>
                <w:szCs w:val="10"/>
                <w:color w:val="auto"/>
              </w:rPr>
            </w:pPr>
          </w:p>
        </w:tc>
        <w:tc>
          <w:tcPr>
            <w:tcW w:w="300" w:type="dxa"/>
            <w:vAlign w:val="bottom"/>
            <w:tcBorders>
              <w:bottom w:val="single" w:sz="8" w:color="F7F7F7"/>
            </w:tcBorders>
            <w:shd w:val="clear" w:color="auto" w:fill="F7F7F7"/>
          </w:tcPr>
          <w:p>
            <w:pPr>
              <w:spacing w:after="0"/>
              <w:rPr>
                <w:sz w:val="10"/>
                <w:szCs w:val="10"/>
                <w:color w:val="auto"/>
              </w:rPr>
            </w:pPr>
          </w:p>
        </w:tc>
        <w:tc>
          <w:tcPr>
            <w:tcW w:w="220" w:type="dxa"/>
            <w:vAlign w:val="bottom"/>
            <w:tcBorders>
              <w:bottom w:val="single" w:sz="8" w:color="F7F7F7"/>
              <w:right w:val="single" w:sz="8" w:color="auto"/>
            </w:tcBorders>
            <w:shd w:val="clear" w:color="auto" w:fill="F7F7F7"/>
          </w:tcPr>
          <w:p>
            <w:pPr>
              <w:spacing w:after="0"/>
              <w:rPr>
                <w:sz w:val="10"/>
                <w:szCs w:val="10"/>
                <w:color w:val="auto"/>
              </w:rPr>
            </w:pPr>
          </w:p>
        </w:tc>
        <w:tc>
          <w:tcPr>
            <w:tcW w:w="720" w:type="dxa"/>
            <w:vAlign w:val="bottom"/>
            <w:tcBorders>
              <w:bottom w:val="single" w:sz="8" w:color="F7F7F7"/>
            </w:tcBorders>
            <w:shd w:val="clear" w:color="auto" w:fill="F7F7F7"/>
          </w:tcPr>
          <w:p>
            <w:pPr>
              <w:spacing w:after="0"/>
              <w:rPr>
                <w:sz w:val="10"/>
                <w:szCs w:val="10"/>
                <w:color w:val="auto"/>
              </w:rPr>
            </w:pPr>
          </w:p>
        </w:tc>
        <w:tc>
          <w:tcPr>
            <w:tcW w:w="440" w:type="dxa"/>
            <w:vAlign w:val="bottom"/>
            <w:tcBorders>
              <w:bottom w:val="single" w:sz="8" w:color="F7F7F7"/>
              <w:right w:val="single" w:sz="8" w:color="auto"/>
            </w:tcBorders>
            <w:shd w:val="clear" w:color="auto" w:fill="F7F7F7"/>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Bryce Blair</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67</w:t>
            </w:r>
          </w:p>
        </w:tc>
        <w:tc>
          <w:tcPr>
            <w:tcW w:w="72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color w:val="auto"/>
                <w:w w:val="81"/>
              </w:rPr>
              <w:t>2014 </w:t>
            </w:r>
          </w:p>
        </w:tc>
        <w:tc>
          <w:tcPr>
            <w:tcW w:w="30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620" w:type="dxa"/>
            <w:vAlign w:val="bottom"/>
            <w:tcBorders>
              <w:top w:val="single" w:sz="8" w:color="auto"/>
            </w:tcBorders>
            <w:shd w:val="clear" w:color="auto" w:fill="F7F7F7"/>
          </w:tcPr>
          <w:p>
            <w:pPr>
              <w:spacing w:after="0"/>
              <w:rPr>
                <w:sz w:val="14"/>
                <w:szCs w:val="14"/>
                <w:color w:val="auto"/>
              </w:rPr>
            </w:pPr>
          </w:p>
        </w:tc>
        <w:tc>
          <w:tcPr>
            <w:tcW w:w="120" w:type="dxa"/>
            <w:vAlign w:val="bottom"/>
            <w:tcBorders>
              <w:top w:val="single" w:sz="8" w:color="auto"/>
              <w:right w:val="single" w:sz="8" w:color="auto"/>
            </w:tcBorders>
            <w:shd w:val="clear" w:color="auto" w:fill="F7F7F7"/>
          </w:tcPr>
          <w:p>
            <w:pPr>
              <w:spacing w:after="0"/>
              <w:rPr>
                <w:sz w:val="14"/>
                <w:szCs w:val="14"/>
                <w:color w:val="auto"/>
              </w:rPr>
            </w:pPr>
          </w:p>
        </w:tc>
        <w:tc>
          <w:tcPr>
            <w:tcW w:w="900" w:type="dxa"/>
            <w:vAlign w:val="bottom"/>
            <w:tcBorders>
              <w:top w:val="single" w:sz="8" w:color="auto"/>
            </w:tcBorders>
            <w:shd w:val="clear" w:color="auto" w:fill="F7F7F7"/>
          </w:tcPr>
          <w:p>
            <w:pPr>
              <w:spacing w:after="0"/>
              <w:rPr>
                <w:sz w:val="14"/>
                <w:szCs w:val="14"/>
                <w:color w:val="auto"/>
              </w:rPr>
            </w:pPr>
          </w:p>
        </w:tc>
        <w:tc>
          <w:tcPr>
            <w:tcW w:w="580" w:type="dxa"/>
            <w:vAlign w:val="bottom"/>
            <w:tcBorders>
              <w:top w:val="single" w:sz="8" w:color="auto"/>
              <w:right w:val="single" w:sz="8" w:color="auto"/>
            </w:tcBorders>
            <w:shd w:val="clear" w:color="auto" w:fill="F7F7F7"/>
          </w:tcPr>
          <w:p>
            <w:pPr>
              <w:spacing w:after="0"/>
              <w:rPr>
                <w:sz w:val="14"/>
                <w:szCs w:val="14"/>
                <w:color w:val="auto"/>
              </w:rPr>
            </w:pPr>
          </w:p>
        </w:tc>
        <w:tc>
          <w:tcPr>
            <w:tcW w:w="800" w:type="dxa"/>
            <w:vAlign w:val="bottom"/>
            <w:tcBorders>
              <w:top w:val="single" w:sz="8" w:color="auto"/>
            </w:tcBorders>
            <w:vMerge w:val="restart"/>
            <w:shd w:val="clear" w:color="auto" w:fill="F7F7F7"/>
          </w:tcPr>
          <w:p>
            <w:pPr>
              <w:ind w:left="680"/>
              <w:spacing w:after="0"/>
              <w:rPr>
                <w:sz w:val="20"/>
                <w:szCs w:val="20"/>
                <w:color w:val="auto"/>
              </w:rPr>
            </w:pPr>
            <w:r>
              <w:rPr>
                <w:rFonts w:ascii="Arial" w:cs="Arial" w:eastAsia="Arial" w:hAnsi="Arial"/>
                <w:sz w:val="10"/>
                <w:szCs w:val="10"/>
                <w:color w:val="auto"/>
                <w:w w:val="77"/>
              </w:rPr>
              <w:t xml:space="preserve">  </w:t>
            </w:r>
          </w:p>
        </w:tc>
        <w:tc>
          <w:tcPr>
            <w:tcW w:w="300" w:type="dxa"/>
            <w:vAlign w:val="bottom"/>
            <w:tcBorders>
              <w:top w:val="single" w:sz="8" w:color="auto"/>
            </w:tcBorders>
            <w:vMerge w:val="restart"/>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220" w:type="dxa"/>
            <w:vAlign w:val="bottom"/>
            <w:tcBorders>
              <w:top w:val="single" w:sz="8" w:color="auto"/>
              <w:right w:val="single" w:sz="8" w:color="auto"/>
            </w:tcBorders>
            <w:shd w:val="clear" w:color="auto" w:fill="F7F7F7"/>
          </w:tcPr>
          <w:p>
            <w:pPr>
              <w:spacing w:after="0"/>
              <w:rPr>
                <w:sz w:val="14"/>
                <w:szCs w:val="14"/>
                <w:color w:val="auto"/>
              </w:rPr>
            </w:pPr>
          </w:p>
        </w:tc>
        <w:tc>
          <w:tcPr>
            <w:tcW w:w="720" w:type="dxa"/>
            <w:vAlign w:val="bottom"/>
            <w:tcBorders>
              <w:top w:val="single" w:sz="8" w:color="auto"/>
            </w:tcBorders>
            <w:vMerge w:val="restart"/>
            <w:shd w:val="clear" w:color="auto" w:fill="F7F7F7"/>
          </w:tcPr>
          <w:p>
            <w:pPr>
              <w:ind w:left="620"/>
              <w:spacing w:after="0"/>
              <w:rPr>
                <w:sz w:val="20"/>
                <w:szCs w:val="20"/>
                <w:color w:val="auto"/>
              </w:rPr>
            </w:pPr>
            <w:r>
              <w:rPr>
                <w:rFonts w:ascii="Arial" w:cs="Arial" w:eastAsia="Arial" w:hAnsi="Arial"/>
                <w:sz w:val="8"/>
                <w:szCs w:val="8"/>
                <w:color w:val="auto"/>
                <w:w w:val="77"/>
              </w:rPr>
              <w:t xml:space="preserve">  </w:t>
            </w:r>
          </w:p>
        </w:tc>
        <w:tc>
          <w:tcPr>
            <w:tcW w:w="440" w:type="dxa"/>
            <w:vAlign w:val="bottom"/>
            <w:tcBorders>
              <w:top w:val="single" w:sz="8" w:color="auto"/>
              <w:right w:val="single" w:sz="8" w:color="auto"/>
            </w:tcBorders>
            <w:vMerge w:val="restart"/>
            <w:shd w:val="clear" w:color="auto" w:fill="F7F7F7"/>
          </w:tcPr>
          <w:p>
            <w:pPr>
              <w:ind w:left="6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Principal of Harborview Associates, LLC</w:t>
            </w:r>
          </w:p>
        </w:tc>
        <w:tc>
          <w:tcPr>
            <w:tcW w:w="720" w:type="dxa"/>
            <w:vAlign w:val="bottom"/>
            <w:tcBorders>
              <w:right w:val="single" w:sz="8" w:color="auto"/>
            </w:tcBorders>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620" w:type="dxa"/>
            <w:vAlign w:val="bottom"/>
            <w:shd w:val="clear" w:color="auto" w:fill="F7F7F7"/>
          </w:tcPr>
          <w:p>
            <w:pPr>
              <w:spacing w:after="0"/>
              <w:rPr>
                <w:sz w:val="8"/>
                <w:szCs w:val="8"/>
                <w:color w:val="auto"/>
              </w:rPr>
            </w:pPr>
          </w:p>
        </w:tc>
        <w:tc>
          <w:tcPr>
            <w:tcW w:w="120" w:type="dxa"/>
            <w:vAlign w:val="bottom"/>
            <w:tcBorders>
              <w:right w:val="single" w:sz="8" w:color="auto"/>
            </w:tcBorders>
            <w:shd w:val="clear" w:color="auto" w:fill="F7F7F7"/>
          </w:tcPr>
          <w:p>
            <w:pPr>
              <w:spacing w:after="0"/>
              <w:rPr>
                <w:sz w:val="8"/>
                <w:szCs w:val="8"/>
                <w:color w:val="auto"/>
              </w:rPr>
            </w:pPr>
          </w:p>
        </w:tc>
        <w:tc>
          <w:tcPr>
            <w:tcW w:w="900" w:type="dxa"/>
            <w:vAlign w:val="bottom"/>
            <w:shd w:val="clear" w:color="auto" w:fill="F7F7F7"/>
          </w:tcPr>
          <w:p>
            <w:pPr>
              <w:spacing w:after="0"/>
              <w:rPr>
                <w:sz w:val="8"/>
                <w:szCs w:val="8"/>
                <w:color w:val="auto"/>
              </w:rPr>
            </w:pPr>
          </w:p>
        </w:tc>
        <w:tc>
          <w:tcPr>
            <w:tcW w:w="580" w:type="dxa"/>
            <w:vAlign w:val="bottom"/>
            <w:tcBorders>
              <w:right w:val="single" w:sz="8" w:color="auto"/>
            </w:tcBorders>
            <w:shd w:val="clear" w:color="auto" w:fill="F7F7F7"/>
          </w:tcPr>
          <w:p>
            <w:pPr>
              <w:spacing w:after="0"/>
              <w:rPr>
                <w:sz w:val="8"/>
                <w:szCs w:val="8"/>
                <w:color w:val="auto"/>
              </w:rPr>
            </w:pPr>
          </w:p>
        </w:tc>
        <w:tc>
          <w:tcPr>
            <w:tcW w:w="800" w:type="dxa"/>
            <w:vAlign w:val="bottom"/>
            <w:vMerge w:val="continue"/>
            <w:shd w:val="clear" w:color="auto" w:fill="F7F7F7"/>
          </w:tcPr>
          <w:p>
            <w:pPr>
              <w:spacing w:after="0"/>
              <w:rPr>
                <w:sz w:val="8"/>
                <w:szCs w:val="8"/>
                <w:color w:val="auto"/>
              </w:rPr>
            </w:pPr>
          </w:p>
        </w:tc>
        <w:tc>
          <w:tcPr>
            <w:tcW w:w="300" w:type="dxa"/>
            <w:vAlign w:val="bottom"/>
            <w:vMerge w:val="continue"/>
            <w:shd w:val="clear" w:color="auto" w:fill="F7F7F7"/>
          </w:tcPr>
          <w:p>
            <w:pPr>
              <w:spacing w:after="0"/>
              <w:rPr>
                <w:sz w:val="8"/>
                <w:szCs w:val="8"/>
                <w:color w:val="auto"/>
              </w:rPr>
            </w:pPr>
          </w:p>
        </w:tc>
        <w:tc>
          <w:tcPr>
            <w:tcW w:w="220" w:type="dxa"/>
            <w:vAlign w:val="bottom"/>
            <w:tcBorders>
              <w:right w:val="single" w:sz="8" w:color="auto"/>
            </w:tcBorders>
            <w:shd w:val="clear" w:color="auto" w:fill="F7F7F7"/>
          </w:tcPr>
          <w:p>
            <w:pPr>
              <w:spacing w:after="0"/>
              <w:rPr>
                <w:sz w:val="8"/>
                <w:szCs w:val="8"/>
                <w:color w:val="auto"/>
              </w:rPr>
            </w:pPr>
          </w:p>
        </w:tc>
        <w:tc>
          <w:tcPr>
            <w:tcW w:w="720" w:type="dxa"/>
            <w:vAlign w:val="bottom"/>
            <w:vMerge w:val="continue"/>
            <w:shd w:val="clear" w:color="auto" w:fill="F7F7F7"/>
          </w:tcPr>
          <w:p>
            <w:pPr>
              <w:spacing w:after="0"/>
              <w:rPr>
                <w:sz w:val="8"/>
                <w:szCs w:val="8"/>
                <w:color w:val="auto"/>
              </w:rPr>
            </w:pPr>
          </w:p>
        </w:tc>
        <w:tc>
          <w:tcPr>
            <w:tcW w:w="440" w:type="dxa"/>
            <w:vAlign w:val="bottom"/>
            <w:tcBorders>
              <w:right w:val="single" w:sz="8" w:color="auto"/>
            </w:tcBorders>
            <w:vMerge w:val="continue"/>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5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620" w:type="dxa"/>
            <w:vAlign w:val="bottom"/>
            <w:tcBorders>
              <w:bottom w:val="single" w:sz="8" w:color="F7F7F7"/>
            </w:tcBorders>
            <w:shd w:val="clear" w:color="auto" w:fill="F7F7F7"/>
          </w:tcPr>
          <w:p>
            <w:pPr>
              <w:spacing w:after="0"/>
              <w:rPr>
                <w:sz w:val="9"/>
                <w:szCs w:val="9"/>
                <w:color w:val="auto"/>
              </w:rPr>
            </w:pPr>
          </w:p>
        </w:tc>
        <w:tc>
          <w:tcPr>
            <w:tcW w:w="120" w:type="dxa"/>
            <w:vAlign w:val="bottom"/>
            <w:tcBorders>
              <w:bottom w:val="single" w:sz="8" w:color="F7F7F7"/>
              <w:right w:val="single" w:sz="8" w:color="auto"/>
            </w:tcBorders>
            <w:shd w:val="clear" w:color="auto" w:fill="F7F7F7"/>
          </w:tcPr>
          <w:p>
            <w:pPr>
              <w:spacing w:after="0"/>
              <w:rPr>
                <w:sz w:val="9"/>
                <w:szCs w:val="9"/>
                <w:color w:val="auto"/>
              </w:rPr>
            </w:pPr>
          </w:p>
        </w:tc>
        <w:tc>
          <w:tcPr>
            <w:tcW w:w="900" w:type="dxa"/>
            <w:vAlign w:val="bottom"/>
            <w:tcBorders>
              <w:bottom w:val="single" w:sz="8" w:color="F7F7F7"/>
            </w:tcBorders>
            <w:shd w:val="clear" w:color="auto" w:fill="F7F7F7"/>
          </w:tcPr>
          <w:p>
            <w:pPr>
              <w:spacing w:after="0"/>
              <w:rPr>
                <w:sz w:val="9"/>
                <w:szCs w:val="9"/>
                <w:color w:val="auto"/>
              </w:rPr>
            </w:pPr>
          </w:p>
        </w:tc>
        <w:tc>
          <w:tcPr>
            <w:tcW w:w="580" w:type="dxa"/>
            <w:vAlign w:val="bottom"/>
            <w:tcBorders>
              <w:bottom w:val="single" w:sz="8" w:color="F7F7F7"/>
              <w:right w:val="single" w:sz="8" w:color="auto"/>
            </w:tcBorders>
            <w:shd w:val="clear" w:color="auto" w:fill="F7F7F7"/>
          </w:tcPr>
          <w:p>
            <w:pPr>
              <w:spacing w:after="0"/>
              <w:rPr>
                <w:sz w:val="9"/>
                <w:szCs w:val="9"/>
                <w:color w:val="auto"/>
              </w:rPr>
            </w:pPr>
          </w:p>
        </w:tc>
        <w:tc>
          <w:tcPr>
            <w:tcW w:w="800" w:type="dxa"/>
            <w:vAlign w:val="bottom"/>
            <w:tcBorders>
              <w:bottom w:val="single" w:sz="8" w:color="F7F7F7"/>
            </w:tcBorders>
            <w:shd w:val="clear" w:color="auto" w:fill="F7F7F7"/>
          </w:tcPr>
          <w:p>
            <w:pPr>
              <w:spacing w:after="0"/>
              <w:rPr>
                <w:sz w:val="9"/>
                <w:szCs w:val="9"/>
                <w:color w:val="auto"/>
              </w:rPr>
            </w:pPr>
          </w:p>
        </w:tc>
        <w:tc>
          <w:tcPr>
            <w:tcW w:w="300" w:type="dxa"/>
            <w:vAlign w:val="bottom"/>
            <w:tcBorders>
              <w:bottom w:val="single" w:sz="8" w:color="F7F7F7"/>
            </w:tcBorders>
            <w:shd w:val="clear" w:color="auto" w:fill="F7F7F7"/>
          </w:tcPr>
          <w:p>
            <w:pPr>
              <w:spacing w:after="0"/>
              <w:rPr>
                <w:sz w:val="9"/>
                <w:szCs w:val="9"/>
                <w:color w:val="auto"/>
              </w:rPr>
            </w:pPr>
          </w:p>
        </w:tc>
        <w:tc>
          <w:tcPr>
            <w:tcW w:w="220" w:type="dxa"/>
            <w:vAlign w:val="bottom"/>
            <w:tcBorders>
              <w:bottom w:val="single" w:sz="8" w:color="F7F7F7"/>
              <w:right w:val="single" w:sz="8" w:color="auto"/>
            </w:tcBorders>
            <w:shd w:val="clear" w:color="auto" w:fill="F7F7F7"/>
          </w:tcPr>
          <w:p>
            <w:pPr>
              <w:spacing w:after="0"/>
              <w:rPr>
                <w:sz w:val="9"/>
                <w:szCs w:val="9"/>
                <w:color w:val="auto"/>
              </w:rPr>
            </w:pPr>
          </w:p>
        </w:tc>
        <w:tc>
          <w:tcPr>
            <w:tcW w:w="720" w:type="dxa"/>
            <w:vAlign w:val="bottom"/>
            <w:tcBorders>
              <w:bottom w:val="single" w:sz="8" w:color="F7F7F7"/>
            </w:tcBorders>
            <w:shd w:val="clear" w:color="auto" w:fill="F7F7F7"/>
          </w:tcPr>
          <w:p>
            <w:pPr>
              <w:spacing w:after="0"/>
              <w:rPr>
                <w:sz w:val="9"/>
                <w:szCs w:val="9"/>
                <w:color w:val="auto"/>
              </w:rPr>
            </w:pPr>
          </w:p>
        </w:tc>
        <w:tc>
          <w:tcPr>
            <w:tcW w:w="440" w:type="dxa"/>
            <w:vAlign w:val="bottom"/>
            <w:tcBorders>
              <w:bottom w:val="single" w:sz="8" w:color="F7F7F7"/>
              <w:right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Kristin A. Campbell</w:t>
            </w:r>
          </w:p>
        </w:tc>
        <w:tc>
          <w:tcPr>
            <w:tcW w:w="720" w:type="dxa"/>
            <w:vAlign w:val="bottom"/>
            <w:tcBorders>
              <w:top w:val="single" w:sz="8" w:color="auto"/>
              <w:right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Borders>
              <w:top w:val="single" w:sz="8" w:color="auto"/>
              <w:right w:val="single" w:sz="8" w:color="auto"/>
            </w:tcBorders>
          </w:tcPr>
          <w:p>
            <w:pPr>
              <w:spacing w:after="0"/>
              <w:rPr>
                <w:sz w:val="14"/>
                <w:szCs w:val="14"/>
                <w:color w:val="auto"/>
              </w:rPr>
            </w:pPr>
          </w:p>
        </w:tc>
        <w:tc>
          <w:tcPr>
            <w:tcW w:w="620" w:type="dxa"/>
            <w:vAlign w:val="bottom"/>
            <w:tcBorders>
              <w:top w:val="single" w:sz="8" w:color="auto"/>
            </w:tcBorders>
            <w:shd w:val="clear" w:color="auto" w:fill="F7F7F7"/>
          </w:tcPr>
          <w:p>
            <w:pPr>
              <w:spacing w:after="0"/>
              <w:rPr>
                <w:sz w:val="14"/>
                <w:szCs w:val="14"/>
                <w:color w:val="auto"/>
              </w:rPr>
            </w:pPr>
          </w:p>
        </w:tc>
        <w:tc>
          <w:tcPr>
            <w:tcW w:w="120" w:type="dxa"/>
            <w:vAlign w:val="bottom"/>
            <w:tcBorders>
              <w:top w:val="single" w:sz="8" w:color="auto"/>
              <w:right w:val="single" w:sz="8" w:color="auto"/>
            </w:tcBorders>
            <w:shd w:val="clear" w:color="auto" w:fill="F7F7F7"/>
          </w:tcPr>
          <w:p>
            <w:pPr>
              <w:spacing w:after="0"/>
              <w:rPr>
                <w:sz w:val="14"/>
                <w:szCs w:val="14"/>
                <w:color w:val="auto"/>
              </w:rPr>
            </w:pPr>
          </w:p>
        </w:tc>
        <w:tc>
          <w:tcPr>
            <w:tcW w:w="900" w:type="dxa"/>
            <w:vAlign w:val="bottom"/>
            <w:tcBorders>
              <w:top w:val="single" w:sz="8" w:color="auto"/>
            </w:tcBorders>
            <w:shd w:val="clear" w:color="auto" w:fill="F7F7F7"/>
          </w:tcPr>
          <w:p>
            <w:pPr>
              <w:spacing w:after="0"/>
              <w:rPr>
                <w:sz w:val="14"/>
                <w:szCs w:val="14"/>
                <w:color w:val="auto"/>
              </w:rPr>
            </w:pPr>
          </w:p>
        </w:tc>
        <w:tc>
          <w:tcPr>
            <w:tcW w:w="580" w:type="dxa"/>
            <w:vAlign w:val="bottom"/>
            <w:tcBorders>
              <w:top w:val="single" w:sz="8" w:color="auto"/>
              <w:right w:val="single" w:sz="8" w:color="auto"/>
            </w:tcBorders>
            <w:shd w:val="clear" w:color="auto" w:fill="F7F7F7"/>
          </w:tcPr>
          <w:p>
            <w:pPr>
              <w:spacing w:after="0"/>
              <w:rPr>
                <w:sz w:val="14"/>
                <w:szCs w:val="14"/>
                <w:color w:val="auto"/>
              </w:rPr>
            </w:pPr>
          </w:p>
        </w:tc>
        <w:tc>
          <w:tcPr>
            <w:tcW w:w="800" w:type="dxa"/>
            <w:vAlign w:val="bottom"/>
            <w:tcBorders>
              <w:top w:val="single" w:sz="8" w:color="auto"/>
            </w:tcBorders>
            <w:shd w:val="clear" w:color="auto" w:fill="F7F7F7"/>
          </w:tcPr>
          <w:p>
            <w:pPr>
              <w:spacing w:after="0"/>
              <w:rPr>
                <w:sz w:val="14"/>
                <w:szCs w:val="14"/>
                <w:color w:val="auto"/>
              </w:rPr>
            </w:pPr>
          </w:p>
        </w:tc>
        <w:tc>
          <w:tcPr>
            <w:tcW w:w="300" w:type="dxa"/>
            <w:vAlign w:val="bottom"/>
            <w:tcBorders>
              <w:top w:val="single" w:sz="8" w:color="auto"/>
            </w:tcBorders>
            <w:shd w:val="clear" w:color="auto" w:fill="F7F7F7"/>
          </w:tcPr>
          <w:p>
            <w:pPr>
              <w:spacing w:after="0"/>
              <w:rPr>
                <w:sz w:val="14"/>
                <w:szCs w:val="14"/>
                <w:color w:val="auto"/>
              </w:rPr>
            </w:pPr>
          </w:p>
        </w:tc>
        <w:tc>
          <w:tcPr>
            <w:tcW w:w="220" w:type="dxa"/>
            <w:vAlign w:val="bottom"/>
            <w:tcBorders>
              <w:top w:val="single" w:sz="8" w:color="auto"/>
              <w:right w:val="single" w:sz="8" w:color="auto"/>
            </w:tcBorders>
            <w:shd w:val="clear" w:color="auto" w:fill="F7F7F7"/>
          </w:tcPr>
          <w:p>
            <w:pPr>
              <w:spacing w:after="0"/>
              <w:rPr>
                <w:sz w:val="14"/>
                <w:szCs w:val="14"/>
                <w:color w:val="auto"/>
              </w:rPr>
            </w:pPr>
          </w:p>
        </w:tc>
        <w:tc>
          <w:tcPr>
            <w:tcW w:w="720" w:type="dxa"/>
            <w:vAlign w:val="bottom"/>
            <w:tcBorders>
              <w:top w:val="single" w:sz="8" w:color="auto"/>
            </w:tcBorders>
            <w:shd w:val="clear" w:color="auto" w:fill="F7F7F7"/>
          </w:tcPr>
          <w:p>
            <w:pPr>
              <w:spacing w:after="0"/>
              <w:rPr>
                <w:sz w:val="14"/>
                <w:szCs w:val="14"/>
                <w:color w:val="auto"/>
              </w:rPr>
            </w:pPr>
          </w:p>
        </w:tc>
        <w:tc>
          <w:tcPr>
            <w:tcW w:w="440" w:type="dxa"/>
            <w:vAlign w:val="bottom"/>
            <w:tcBorders>
              <w:top w:val="single" w:sz="8" w:color="auto"/>
              <w:right w:val="single" w:sz="8" w:color="auto"/>
            </w:tcBorders>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Former Executive Vice President, General Counsel and Chief ESG Officer of</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64</w:t>
            </w:r>
          </w:p>
        </w:tc>
        <w:tc>
          <w:tcPr>
            <w:tcW w:w="720" w:type="dxa"/>
            <w:vAlign w:val="bottom"/>
          </w:tcPr>
          <w:p>
            <w:pPr>
              <w:ind w:left="360"/>
              <w:spacing w:after="0"/>
              <w:rPr>
                <w:sz w:val="20"/>
                <w:szCs w:val="20"/>
                <w:color w:val="auto"/>
              </w:rPr>
            </w:pPr>
            <w:r>
              <w:rPr>
                <w:rFonts w:ascii="Arial" w:cs="Arial" w:eastAsia="Arial" w:hAnsi="Arial"/>
                <w:sz w:val="13"/>
                <w:szCs w:val="13"/>
                <w:color w:val="auto"/>
                <w:w w:val="81"/>
              </w:rPr>
              <w:t>2023 </w:t>
            </w:r>
          </w:p>
        </w:tc>
        <w:tc>
          <w:tcPr>
            <w:tcW w:w="3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620" w:type="dxa"/>
            <w:vAlign w:val="bottom"/>
            <w:shd w:val="clear" w:color="auto" w:fill="F7F7F7"/>
          </w:tcPr>
          <w:p>
            <w:pPr>
              <w:spacing w:after="0"/>
              <w:rPr>
                <w:sz w:val="14"/>
                <w:szCs w:val="14"/>
                <w:color w:val="auto"/>
              </w:rPr>
            </w:pPr>
          </w:p>
        </w:tc>
        <w:tc>
          <w:tcPr>
            <w:tcW w:w="120" w:type="dxa"/>
            <w:vAlign w:val="bottom"/>
            <w:tcBorders>
              <w:right w:val="single" w:sz="8" w:color="auto"/>
            </w:tcBorders>
            <w:shd w:val="clear" w:color="auto" w:fill="F7F7F7"/>
          </w:tcPr>
          <w:p>
            <w:pPr>
              <w:spacing w:after="0"/>
              <w:rPr>
                <w:sz w:val="14"/>
                <w:szCs w:val="14"/>
                <w:color w:val="auto"/>
              </w:rPr>
            </w:pPr>
          </w:p>
        </w:tc>
        <w:tc>
          <w:tcPr>
            <w:tcW w:w="900" w:type="dxa"/>
            <w:vAlign w:val="bottom"/>
            <w:shd w:val="clear" w:color="auto" w:fill="F7F7F7"/>
          </w:tcPr>
          <w:p>
            <w:pPr>
              <w:jc w:val="center"/>
              <w:ind w:left="675"/>
              <w:spacing w:after="0"/>
              <w:rPr>
                <w:sz w:val="20"/>
                <w:szCs w:val="20"/>
                <w:color w:val="auto"/>
              </w:rPr>
            </w:pPr>
            <w:r>
              <w:rPr>
                <w:rFonts w:ascii="Arial" w:cs="Arial" w:eastAsia="Arial" w:hAnsi="Arial"/>
                <w:sz w:val="6"/>
                <w:szCs w:val="6"/>
                <w:color w:val="auto"/>
                <w:w w:val="77"/>
              </w:rPr>
              <w:t xml:space="preserve">  </w:t>
            </w:r>
          </w:p>
        </w:tc>
        <w:tc>
          <w:tcPr>
            <w:tcW w:w="580" w:type="dxa"/>
            <w:vAlign w:val="bottom"/>
            <w:tcBorders>
              <w:right w:val="single" w:sz="8" w:color="auto"/>
            </w:tcBorders>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800" w:type="dxa"/>
            <w:vAlign w:val="bottom"/>
            <w:shd w:val="clear" w:color="auto" w:fill="F7F7F7"/>
          </w:tcPr>
          <w:p>
            <w:pPr>
              <w:ind w:left="700"/>
              <w:spacing w:after="0"/>
              <w:rPr>
                <w:sz w:val="20"/>
                <w:szCs w:val="20"/>
                <w:color w:val="auto"/>
              </w:rPr>
            </w:pPr>
            <w:r>
              <w:rPr>
                <w:rFonts w:ascii="Arial" w:cs="Arial" w:eastAsia="Arial" w:hAnsi="Arial"/>
                <w:sz w:val="8"/>
                <w:szCs w:val="8"/>
                <w:color w:val="auto"/>
                <w:w w:val="77"/>
              </w:rPr>
              <w:t xml:space="preserve">  </w:t>
            </w:r>
          </w:p>
        </w:tc>
        <w:tc>
          <w:tcPr>
            <w:tcW w:w="300" w:type="dxa"/>
            <w:vAlign w:val="bottom"/>
            <w:shd w:val="clear" w:color="auto" w:fill="F7F7F7"/>
          </w:tcPr>
          <w:p>
            <w:pPr>
              <w:ind w:left="60"/>
              <w:spacing w:after="0"/>
              <w:rPr>
                <w:sz w:val="20"/>
                <w:szCs w:val="20"/>
                <w:color w:val="auto"/>
              </w:rPr>
            </w:pPr>
            <w:r>
              <w:rPr>
                <w:rFonts w:ascii="Arial" w:cs="Arial" w:eastAsia="Arial" w:hAnsi="Arial"/>
                <w:sz w:val="13"/>
                <w:szCs w:val="13"/>
                <w:color w:val="auto"/>
              </w:rPr>
              <w:t>  </w:t>
            </w:r>
          </w:p>
        </w:tc>
        <w:tc>
          <w:tcPr>
            <w:tcW w:w="220" w:type="dxa"/>
            <w:vAlign w:val="bottom"/>
            <w:tcBorders>
              <w:right w:val="single" w:sz="8" w:color="auto"/>
            </w:tcBorders>
            <w:shd w:val="clear" w:color="auto" w:fill="F7F7F7"/>
          </w:tcPr>
          <w:p>
            <w:pPr>
              <w:spacing w:after="0"/>
              <w:rPr>
                <w:sz w:val="14"/>
                <w:szCs w:val="14"/>
                <w:color w:val="auto"/>
              </w:rPr>
            </w:pPr>
          </w:p>
        </w:tc>
        <w:tc>
          <w:tcPr>
            <w:tcW w:w="720" w:type="dxa"/>
            <w:vAlign w:val="bottom"/>
            <w:shd w:val="clear" w:color="auto" w:fill="F7F7F7"/>
          </w:tcPr>
          <w:p>
            <w:pPr>
              <w:spacing w:after="0"/>
              <w:rPr>
                <w:sz w:val="14"/>
                <w:szCs w:val="14"/>
                <w:color w:val="auto"/>
              </w:rPr>
            </w:pPr>
          </w:p>
        </w:tc>
        <w:tc>
          <w:tcPr>
            <w:tcW w:w="440" w:type="dxa"/>
            <w:vAlign w:val="bottom"/>
            <w:tcBorders>
              <w:right w:val="single" w:sz="8" w:color="auto"/>
            </w:tcBorders>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Hilton Worldwide Holdings Inc.</w:t>
            </w:r>
          </w:p>
        </w:tc>
        <w:tc>
          <w:tcPr>
            <w:tcW w:w="7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20" w:type="dxa"/>
            <w:vAlign w:val="bottom"/>
            <w:tcBorders>
              <w:bottom w:val="single" w:sz="8" w:color="F7F7F7"/>
            </w:tcBorders>
            <w:shd w:val="clear" w:color="auto" w:fill="F7F7F7"/>
          </w:tcPr>
          <w:p>
            <w:pPr>
              <w:spacing w:after="0"/>
              <w:rPr>
                <w:sz w:val="18"/>
                <w:szCs w:val="18"/>
                <w:color w:val="auto"/>
              </w:rPr>
            </w:pPr>
          </w:p>
        </w:tc>
        <w:tc>
          <w:tcPr>
            <w:tcW w:w="120" w:type="dxa"/>
            <w:vAlign w:val="bottom"/>
            <w:tcBorders>
              <w:bottom w:val="single" w:sz="8" w:color="F7F7F7"/>
              <w:right w:val="single" w:sz="8" w:color="auto"/>
            </w:tcBorders>
            <w:shd w:val="clear" w:color="auto" w:fill="F7F7F7"/>
          </w:tcPr>
          <w:p>
            <w:pPr>
              <w:spacing w:after="0"/>
              <w:rPr>
                <w:sz w:val="18"/>
                <w:szCs w:val="18"/>
                <w:color w:val="auto"/>
              </w:rPr>
            </w:pPr>
          </w:p>
        </w:tc>
        <w:tc>
          <w:tcPr>
            <w:tcW w:w="900" w:type="dxa"/>
            <w:vAlign w:val="bottom"/>
            <w:tcBorders>
              <w:bottom w:val="single" w:sz="8" w:color="F7F7F7"/>
            </w:tcBorders>
            <w:shd w:val="clear" w:color="auto" w:fill="F7F7F7"/>
          </w:tcPr>
          <w:p>
            <w:pPr>
              <w:spacing w:after="0"/>
              <w:rPr>
                <w:sz w:val="18"/>
                <w:szCs w:val="18"/>
                <w:color w:val="auto"/>
              </w:rPr>
            </w:pPr>
          </w:p>
        </w:tc>
        <w:tc>
          <w:tcPr>
            <w:tcW w:w="580" w:type="dxa"/>
            <w:vAlign w:val="bottom"/>
            <w:tcBorders>
              <w:bottom w:val="single" w:sz="8" w:color="F7F7F7"/>
              <w:right w:val="single" w:sz="8" w:color="auto"/>
            </w:tcBorders>
            <w:shd w:val="clear" w:color="auto" w:fill="F7F7F7"/>
          </w:tcPr>
          <w:p>
            <w:pPr>
              <w:spacing w:after="0"/>
              <w:rPr>
                <w:sz w:val="18"/>
                <w:szCs w:val="18"/>
                <w:color w:val="auto"/>
              </w:rPr>
            </w:pPr>
          </w:p>
        </w:tc>
        <w:tc>
          <w:tcPr>
            <w:tcW w:w="800" w:type="dxa"/>
            <w:vAlign w:val="bottom"/>
            <w:tcBorders>
              <w:bottom w:val="single" w:sz="8" w:color="F7F7F7"/>
            </w:tcBorders>
            <w:shd w:val="clear" w:color="auto" w:fill="F7F7F7"/>
          </w:tcPr>
          <w:p>
            <w:pPr>
              <w:spacing w:after="0"/>
              <w:rPr>
                <w:sz w:val="18"/>
                <w:szCs w:val="18"/>
                <w:color w:val="auto"/>
              </w:rPr>
            </w:pPr>
          </w:p>
        </w:tc>
        <w:tc>
          <w:tcPr>
            <w:tcW w:w="300" w:type="dxa"/>
            <w:vAlign w:val="bottom"/>
            <w:tcBorders>
              <w:bottom w:val="single" w:sz="8" w:color="F7F7F7"/>
            </w:tcBorders>
            <w:shd w:val="clear" w:color="auto" w:fill="F7F7F7"/>
          </w:tcPr>
          <w:p>
            <w:pPr>
              <w:spacing w:after="0"/>
              <w:rPr>
                <w:sz w:val="18"/>
                <w:szCs w:val="18"/>
                <w:color w:val="auto"/>
              </w:rPr>
            </w:pPr>
          </w:p>
        </w:tc>
        <w:tc>
          <w:tcPr>
            <w:tcW w:w="220" w:type="dxa"/>
            <w:vAlign w:val="bottom"/>
            <w:tcBorders>
              <w:bottom w:val="single" w:sz="8" w:color="F7F7F7"/>
              <w:right w:val="single" w:sz="8" w:color="auto"/>
            </w:tcBorders>
            <w:shd w:val="clear" w:color="auto" w:fill="F7F7F7"/>
          </w:tcPr>
          <w:p>
            <w:pPr>
              <w:spacing w:after="0"/>
              <w:rPr>
                <w:sz w:val="18"/>
                <w:szCs w:val="18"/>
                <w:color w:val="auto"/>
              </w:rPr>
            </w:pPr>
          </w:p>
        </w:tc>
        <w:tc>
          <w:tcPr>
            <w:tcW w:w="720" w:type="dxa"/>
            <w:vAlign w:val="bottom"/>
            <w:tcBorders>
              <w:bottom w:val="single" w:sz="8" w:color="F7F7F7"/>
            </w:tcBorders>
            <w:shd w:val="clear" w:color="auto" w:fill="F7F7F7"/>
          </w:tcPr>
          <w:p>
            <w:pPr>
              <w:spacing w:after="0"/>
              <w:rPr>
                <w:sz w:val="18"/>
                <w:szCs w:val="18"/>
                <w:color w:val="auto"/>
              </w:rPr>
            </w:pPr>
          </w:p>
        </w:tc>
        <w:tc>
          <w:tcPr>
            <w:tcW w:w="440" w:type="dxa"/>
            <w:vAlign w:val="bottom"/>
            <w:tcBorders>
              <w:bottom w:val="single" w:sz="8" w:color="F7F7F7"/>
              <w:right w:val="single" w:sz="8" w:color="auto"/>
            </w:tcBorders>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Deirdre J. Evens</w:t>
            </w:r>
          </w:p>
        </w:tc>
        <w:tc>
          <w:tcPr>
            <w:tcW w:w="720" w:type="dxa"/>
            <w:vAlign w:val="bottom"/>
            <w:tcBorders>
              <w:top w:val="single" w:sz="8" w:color="auto"/>
              <w:right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Borders>
              <w:top w:val="single" w:sz="8" w:color="auto"/>
              <w:right w:val="single" w:sz="8" w:color="auto"/>
            </w:tcBorders>
          </w:tcPr>
          <w:p>
            <w:pPr>
              <w:spacing w:after="0"/>
              <w:rPr>
                <w:sz w:val="14"/>
                <w:szCs w:val="14"/>
                <w:color w:val="auto"/>
              </w:rPr>
            </w:pPr>
          </w:p>
        </w:tc>
        <w:tc>
          <w:tcPr>
            <w:tcW w:w="620" w:type="dxa"/>
            <w:vAlign w:val="bottom"/>
            <w:tcBorders>
              <w:top w:val="single" w:sz="8" w:color="auto"/>
            </w:tcBorders>
            <w:shd w:val="clear" w:color="auto" w:fill="F7F7F7"/>
          </w:tcPr>
          <w:p>
            <w:pPr>
              <w:spacing w:after="0"/>
              <w:rPr>
                <w:sz w:val="14"/>
                <w:szCs w:val="14"/>
                <w:color w:val="auto"/>
              </w:rPr>
            </w:pPr>
          </w:p>
        </w:tc>
        <w:tc>
          <w:tcPr>
            <w:tcW w:w="120" w:type="dxa"/>
            <w:vAlign w:val="bottom"/>
            <w:tcBorders>
              <w:top w:val="single" w:sz="8" w:color="auto"/>
              <w:right w:val="single" w:sz="8" w:color="auto"/>
            </w:tcBorders>
            <w:shd w:val="clear" w:color="auto" w:fill="F7F7F7"/>
          </w:tcPr>
          <w:p>
            <w:pPr>
              <w:spacing w:after="0"/>
              <w:rPr>
                <w:sz w:val="14"/>
                <w:szCs w:val="14"/>
                <w:color w:val="auto"/>
              </w:rPr>
            </w:pPr>
          </w:p>
        </w:tc>
        <w:tc>
          <w:tcPr>
            <w:tcW w:w="900" w:type="dxa"/>
            <w:vAlign w:val="bottom"/>
            <w:tcBorders>
              <w:top w:val="single" w:sz="8" w:color="auto"/>
            </w:tcBorders>
            <w:shd w:val="clear" w:color="auto" w:fill="F7F7F7"/>
          </w:tcPr>
          <w:p>
            <w:pPr>
              <w:spacing w:after="0"/>
              <w:rPr>
                <w:sz w:val="14"/>
                <w:szCs w:val="14"/>
                <w:color w:val="auto"/>
              </w:rPr>
            </w:pPr>
          </w:p>
        </w:tc>
        <w:tc>
          <w:tcPr>
            <w:tcW w:w="580" w:type="dxa"/>
            <w:vAlign w:val="bottom"/>
            <w:tcBorders>
              <w:top w:val="single" w:sz="8" w:color="auto"/>
              <w:right w:val="single" w:sz="8" w:color="auto"/>
            </w:tcBorders>
            <w:shd w:val="clear" w:color="auto" w:fill="F7F7F7"/>
          </w:tcPr>
          <w:p>
            <w:pPr>
              <w:spacing w:after="0"/>
              <w:rPr>
                <w:sz w:val="14"/>
                <w:szCs w:val="14"/>
                <w:color w:val="auto"/>
              </w:rPr>
            </w:pPr>
          </w:p>
        </w:tc>
        <w:tc>
          <w:tcPr>
            <w:tcW w:w="800" w:type="dxa"/>
            <w:vAlign w:val="bottom"/>
            <w:tcBorders>
              <w:top w:val="single" w:sz="8" w:color="auto"/>
            </w:tcBorders>
            <w:shd w:val="clear" w:color="auto" w:fill="F7F7F7"/>
          </w:tcPr>
          <w:p>
            <w:pPr>
              <w:spacing w:after="0"/>
              <w:rPr>
                <w:sz w:val="14"/>
                <w:szCs w:val="14"/>
                <w:color w:val="auto"/>
              </w:rPr>
            </w:pPr>
          </w:p>
        </w:tc>
        <w:tc>
          <w:tcPr>
            <w:tcW w:w="300" w:type="dxa"/>
            <w:vAlign w:val="bottom"/>
            <w:tcBorders>
              <w:top w:val="single" w:sz="8" w:color="auto"/>
            </w:tcBorders>
            <w:shd w:val="clear" w:color="auto" w:fill="F7F7F7"/>
          </w:tcPr>
          <w:p>
            <w:pPr>
              <w:spacing w:after="0"/>
              <w:rPr>
                <w:sz w:val="14"/>
                <w:szCs w:val="14"/>
                <w:color w:val="auto"/>
              </w:rPr>
            </w:pPr>
          </w:p>
        </w:tc>
        <w:tc>
          <w:tcPr>
            <w:tcW w:w="220" w:type="dxa"/>
            <w:vAlign w:val="bottom"/>
            <w:tcBorders>
              <w:top w:val="single" w:sz="8" w:color="auto"/>
              <w:right w:val="single" w:sz="8" w:color="auto"/>
            </w:tcBorders>
            <w:shd w:val="clear" w:color="auto" w:fill="F7F7F7"/>
          </w:tcPr>
          <w:p>
            <w:pPr>
              <w:spacing w:after="0"/>
              <w:rPr>
                <w:sz w:val="14"/>
                <w:szCs w:val="14"/>
                <w:color w:val="auto"/>
              </w:rPr>
            </w:pPr>
          </w:p>
        </w:tc>
        <w:tc>
          <w:tcPr>
            <w:tcW w:w="720" w:type="dxa"/>
            <w:vAlign w:val="bottom"/>
            <w:tcBorders>
              <w:top w:val="single" w:sz="8" w:color="auto"/>
            </w:tcBorders>
            <w:shd w:val="clear" w:color="auto" w:fill="F7F7F7"/>
          </w:tcPr>
          <w:p>
            <w:pPr>
              <w:spacing w:after="0"/>
              <w:rPr>
                <w:sz w:val="14"/>
                <w:szCs w:val="14"/>
                <w:color w:val="auto"/>
              </w:rPr>
            </w:pPr>
          </w:p>
        </w:tc>
        <w:tc>
          <w:tcPr>
            <w:tcW w:w="440" w:type="dxa"/>
            <w:vAlign w:val="bottom"/>
            <w:tcBorders>
              <w:top w:val="single" w:sz="8" w:color="auto"/>
              <w:right w:val="single" w:sz="8" w:color="auto"/>
            </w:tcBorders>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Former Executive Vice President and General Manager, IT Asset Lifecycle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62</w:t>
            </w:r>
          </w:p>
        </w:tc>
        <w:tc>
          <w:tcPr>
            <w:tcW w:w="720" w:type="dxa"/>
            <w:vAlign w:val="bottom"/>
          </w:tcPr>
          <w:p>
            <w:pPr>
              <w:ind w:left="360"/>
              <w:spacing w:after="0"/>
              <w:rPr>
                <w:sz w:val="20"/>
                <w:szCs w:val="20"/>
                <w:color w:val="auto"/>
              </w:rPr>
            </w:pPr>
            <w:r>
              <w:rPr>
                <w:rFonts w:ascii="Arial" w:cs="Arial" w:eastAsia="Arial" w:hAnsi="Arial"/>
                <w:sz w:val="13"/>
                <w:szCs w:val="13"/>
                <w:color w:val="auto"/>
                <w:w w:val="81"/>
              </w:rPr>
              <w:t>2018 </w:t>
            </w:r>
          </w:p>
        </w:tc>
        <w:tc>
          <w:tcPr>
            <w:tcW w:w="3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620" w:type="dxa"/>
            <w:vAlign w:val="bottom"/>
            <w:shd w:val="clear" w:color="auto" w:fill="F7F7F7"/>
          </w:tcPr>
          <w:p>
            <w:pPr>
              <w:ind w:left="480"/>
              <w:spacing w:after="0"/>
              <w:rPr>
                <w:sz w:val="20"/>
                <w:szCs w:val="20"/>
                <w:color w:val="auto"/>
              </w:rPr>
            </w:pPr>
            <w:r>
              <w:rPr>
                <w:rFonts w:ascii="Arial" w:cs="Arial" w:eastAsia="Arial" w:hAnsi="Arial"/>
                <w:sz w:val="13"/>
                <w:szCs w:val="13"/>
                <w:color w:val="auto"/>
                <w:w w:val="71"/>
              </w:rPr>
              <w:t xml:space="preserve">  </w:t>
            </w:r>
          </w:p>
        </w:tc>
        <w:tc>
          <w:tcPr>
            <w:tcW w:w="120" w:type="dxa"/>
            <w:vAlign w:val="bottom"/>
            <w:tcBorders>
              <w:right w:val="single" w:sz="8" w:color="auto"/>
            </w:tcBorders>
            <w:shd w:val="clear" w:color="auto" w:fill="F7F7F7"/>
          </w:tcPr>
          <w:p>
            <w:pPr>
              <w:jc w:val="right"/>
              <w:spacing w:after="0"/>
              <w:rPr>
                <w:sz w:val="20"/>
                <w:szCs w:val="20"/>
                <w:color w:val="auto"/>
              </w:rPr>
            </w:pPr>
            <w:r>
              <w:rPr>
                <w:rFonts w:ascii="Arial" w:cs="Arial" w:eastAsia="Arial" w:hAnsi="Arial"/>
                <w:sz w:val="13"/>
                <w:szCs w:val="13"/>
                <w:color w:val="auto"/>
              </w:rPr>
              <w:t>  </w:t>
            </w:r>
          </w:p>
        </w:tc>
        <w:tc>
          <w:tcPr>
            <w:tcW w:w="900" w:type="dxa"/>
            <w:vAlign w:val="bottom"/>
            <w:shd w:val="clear" w:color="auto" w:fill="F7F7F7"/>
          </w:tcPr>
          <w:p>
            <w:pPr>
              <w:jc w:val="center"/>
              <w:ind w:left="675"/>
              <w:spacing w:after="0"/>
              <w:rPr>
                <w:sz w:val="20"/>
                <w:szCs w:val="20"/>
                <w:color w:val="auto"/>
              </w:rPr>
            </w:pPr>
            <w:r>
              <w:rPr>
                <w:rFonts w:ascii="Arial" w:cs="Arial" w:eastAsia="Arial" w:hAnsi="Arial"/>
                <w:sz w:val="6"/>
                <w:szCs w:val="6"/>
                <w:color w:val="auto"/>
                <w:w w:val="77"/>
              </w:rPr>
              <w:t xml:space="preserve">  </w:t>
            </w:r>
          </w:p>
        </w:tc>
        <w:tc>
          <w:tcPr>
            <w:tcW w:w="580" w:type="dxa"/>
            <w:vAlign w:val="bottom"/>
            <w:tcBorders>
              <w:right w:val="single" w:sz="8" w:color="auto"/>
            </w:tcBorders>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800" w:type="dxa"/>
            <w:vAlign w:val="bottom"/>
            <w:shd w:val="clear" w:color="auto" w:fill="F7F7F7"/>
          </w:tcPr>
          <w:p>
            <w:pPr>
              <w:spacing w:after="0"/>
              <w:rPr>
                <w:sz w:val="14"/>
                <w:szCs w:val="14"/>
                <w:color w:val="auto"/>
              </w:rPr>
            </w:pPr>
          </w:p>
        </w:tc>
        <w:tc>
          <w:tcPr>
            <w:tcW w:w="300" w:type="dxa"/>
            <w:vAlign w:val="bottom"/>
            <w:shd w:val="clear" w:color="auto" w:fill="F7F7F7"/>
          </w:tcPr>
          <w:p>
            <w:pPr>
              <w:spacing w:after="0"/>
              <w:rPr>
                <w:sz w:val="14"/>
                <w:szCs w:val="14"/>
                <w:color w:val="auto"/>
              </w:rPr>
            </w:pPr>
          </w:p>
        </w:tc>
        <w:tc>
          <w:tcPr>
            <w:tcW w:w="220" w:type="dxa"/>
            <w:vAlign w:val="bottom"/>
            <w:tcBorders>
              <w:right w:val="single" w:sz="8" w:color="auto"/>
            </w:tcBorders>
            <w:shd w:val="clear" w:color="auto" w:fill="F7F7F7"/>
          </w:tcPr>
          <w:p>
            <w:pPr>
              <w:spacing w:after="0"/>
              <w:rPr>
                <w:sz w:val="14"/>
                <w:szCs w:val="14"/>
                <w:color w:val="auto"/>
              </w:rPr>
            </w:pPr>
          </w:p>
        </w:tc>
        <w:tc>
          <w:tcPr>
            <w:tcW w:w="720" w:type="dxa"/>
            <w:vAlign w:val="bottom"/>
            <w:shd w:val="clear" w:color="auto" w:fill="F7F7F7"/>
          </w:tcPr>
          <w:p>
            <w:pPr>
              <w:spacing w:after="0"/>
              <w:rPr>
                <w:sz w:val="14"/>
                <w:szCs w:val="14"/>
                <w:color w:val="auto"/>
              </w:rPr>
            </w:pPr>
          </w:p>
        </w:tc>
        <w:tc>
          <w:tcPr>
            <w:tcW w:w="440" w:type="dxa"/>
            <w:vAlign w:val="bottom"/>
            <w:tcBorders>
              <w:right w:val="single" w:sz="8" w:color="auto"/>
            </w:tcBorders>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Management of Iron Mountain</w:t>
            </w:r>
          </w:p>
        </w:tc>
        <w:tc>
          <w:tcPr>
            <w:tcW w:w="7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20" w:type="dxa"/>
            <w:vAlign w:val="bottom"/>
            <w:tcBorders>
              <w:bottom w:val="single" w:sz="8" w:color="F7F7F7"/>
            </w:tcBorders>
            <w:shd w:val="clear" w:color="auto" w:fill="F7F7F7"/>
          </w:tcPr>
          <w:p>
            <w:pPr>
              <w:spacing w:after="0"/>
              <w:rPr>
                <w:sz w:val="18"/>
                <w:szCs w:val="18"/>
                <w:color w:val="auto"/>
              </w:rPr>
            </w:pPr>
          </w:p>
        </w:tc>
        <w:tc>
          <w:tcPr>
            <w:tcW w:w="120" w:type="dxa"/>
            <w:vAlign w:val="bottom"/>
            <w:tcBorders>
              <w:bottom w:val="single" w:sz="8" w:color="F7F7F7"/>
              <w:right w:val="single" w:sz="8" w:color="auto"/>
            </w:tcBorders>
            <w:shd w:val="clear" w:color="auto" w:fill="F7F7F7"/>
          </w:tcPr>
          <w:p>
            <w:pPr>
              <w:spacing w:after="0"/>
              <w:rPr>
                <w:sz w:val="18"/>
                <w:szCs w:val="18"/>
                <w:color w:val="auto"/>
              </w:rPr>
            </w:pPr>
          </w:p>
        </w:tc>
        <w:tc>
          <w:tcPr>
            <w:tcW w:w="900" w:type="dxa"/>
            <w:vAlign w:val="bottom"/>
            <w:tcBorders>
              <w:bottom w:val="single" w:sz="8" w:color="F7F7F7"/>
            </w:tcBorders>
            <w:shd w:val="clear" w:color="auto" w:fill="F7F7F7"/>
          </w:tcPr>
          <w:p>
            <w:pPr>
              <w:spacing w:after="0"/>
              <w:rPr>
                <w:sz w:val="18"/>
                <w:szCs w:val="18"/>
                <w:color w:val="auto"/>
              </w:rPr>
            </w:pPr>
          </w:p>
        </w:tc>
        <w:tc>
          <w:tcPr>
            <w:tcW w:w="580" w:type="dxa"/>
            <w:vAlign w:val="bottom"/>
            <w:tcBorders>
              <w:bottom w:val="single" w:sz="8" w:color="F7F7F7"/>
              <w:right w:val="single" w:sz="8" w:color="auto"/>
            </w:tcBorders>
            <w:shd w:val="clear" w:color="auto" w:fill="F7F7F7"/>
          </w:tcPr>
          <w:p>
            <w:pPr>
              <w:spacing w:after="0"/>
              <w:rPr>
                <w:sz w:val="18"/>
                <w:szCs w:val="18"/>
                <w:color w:val="auto"/>
              </w:rPr>
            </w:pPr>
          </w:p>
        </w:tc>
        <w:tc>
          <w:tcPr>
            <w:tcW w:w="800" w:type="dxa"/>
            <w:vAlign w:val="bottom"/>
            <w:tcBorders>
              <w:bottom w:val="single" w:sz="8" w:color="F7F7F7"/>
            </w:tcBorders>
            <w:shd w:val="clear" w:color="auto" w:fill="F7F7F7"/>
          </w:tcPr>
          <w:p>
            <w:pPr>
              <w:spacing w:after="0"/>
              <w:rPr>
                <w:sz w:val="18"/>
                <w:szCs w:val="18"/>
                <w:color w:val="auto"/>
              </w:rPr>
            </w:pPr>
          </w:p>
        </w:tc>
        <w:tc>
          <w:tcPr>
            <w:tcW w:w="300" w:type="dxa"/>
            <w:vAlign w:val="bottom"/>
            <w:tcBorders>
              <w:bottom w:val="single" w:sz="8" w:color="F7F7F7"/>
            </w:tcBorders>
            <w:shd w:val="clear" w:color="auto" w:fill="F7F7F7"/>
          </w:tcPr>
          <w:p>
            <w:pPr>
              <w:spacing w:after="0"/>
              <w:rPr>
                <w:sz w:val="18"/>
                <w:szCs w:val="18"/>
                <w:color w:val="auto"/>
              </w:rPr>
            </w:pPr>
          </w:p>
        </w:tc>
        <w:tc>
          <w:tcPr>
            <w:tcW w:w="220" w:type="dxa"/>
            <w:vAlign w:val="bottom"/>
            <w:tcBorders>
              <w:bottom w:val="single" w:sz="8" w:color="F7F7F7"/>
              <w:right w:val="single" w:sz="8" w:color="auto"/>
            </w:tcBorders>
            <w:shd w:val="clear" w:color="auto" w:fill="F7F7F7"/>
          </w:tcPr>
          <w:p>
            <w:pPr>
              <w:spacing w:after="0"/>
              <w:rPr>
                <w:sz w:val="18"/>
                <w:szCs w:val="18"/>
                <w:color w:val="auto"/>
              </w:rPr>
            </w:pPr>
          </w:p>
        </w:tc>
        <w:tc>
          <w:tcPr>
            <w:tcW w:w="720" w:type="dxa"/>
            <w:vAlign w:val="bottom"/>
            <w:tcBorders>
              <w:bottom w:val="single" w:sz="8" w:color="F7F7F7"/>
            </w:tcBorders>
            <w:shd w:val="clear" w:color="auto" w:fill="F7F7F7"/>
          </w:tcPr>
          <w:p>
            <w:pPr>
              <w:spacing w:after="0"/>
              <w:rPr>
                <w:sz w:val="18"/>
                <w:szCs w:val="18"/>
                <w:color w:val="auto"/>
              </w:rPr>
            </w:pPr>
          </w:p>
        </w:tc>
        <w:tc>
          <w:tcPr>
            <w:tcW w:w="440" w:type="dxa"/>
            <w:vAlign w:val="bottom"/>
            <w:tcBorders>
              <w:bottom w:val="single" w:sz="8" w:color="F7F7F7"/>
              <w:right w:val="single" w:sz="8" w:color="auto"/>
            </w:tcBorders>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Thomas W. Furphy</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59</w:t>
            </w:r>
          </w:p>
        </w:tc>
        <w:tc>
          <w:tcPr>
            <w:tcW w:w="72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color w:val="auto"/>
                <w:w w:val="81"/>
              </w:rPr>
              <w:t>2019 </w:t>
            </w:r>
          </w:p>
        </w:tc>
        <w:tc>
          <w:tcPr>
            <w:tcW w:w="30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620" w:type="dxa"/>
            <w:vAlign w:val="bottom"/>
            <w:tcBorders>
              <w:top w:val="single" w:sz="8" w:color="auto"/>
            </w:tcBorders>
            <w:vMerge w:val="restart"/>
            <w:shd w:val="clear" w:color="auto" w:fill="F7F7F7"/>
          </w:tcPr>
          <w:p>
            <w:pPr>
              <w:ind w:left="480"/>
              <w:spacing w:after="0"/>
              <w:rPr>
                <w:sz w:val="20"/>
                <w:szCs w:val="20"/>
                <w:color w:val="auto"/>
              </w:rPr>
            </w:pPr>
            <w:r>
              <w:rPr>
                <w:rFonts w:ascii="Arial" w:cs="Arial" w:eastAsia="Arial" w:hAnsi="Arial"/>
                <w:sz w:val="13"/>
                <w:szCs w:val="13"/>
                <w:color w:val="auto"/>
                <w:w w:val="71"/>
              </w:rPr>
              <w:t xml:space="preserve">  </w:t>
            </w:r>
          </w:p>
        </w:tc>
        <w:tc>
          <w:tcPr>
            <w:tcW w:w="120" w:type="dxa"/>
            <w:vAlign w:val="bottom"/>
            <w:tcBorders>
              <w:top w:val="single" w:sz="8" w:color="auto"/>
              <w:right w:val="single" w:sz="8" w:color="auto"/>
            </w:tcBorders>
            <w:vMerge w:val="restart"/>
            <w:shd w:val="clear" w:color="auto" w:fill="F7F7F7"/>
          </w:tcPr>
          <w:p>
            <w:pPr>
              <w:jc w:val="right"/>
              <w:spacing w:after="0"/>
              <w:rPr>
                <w:sz w:val="20"/>
                <w:szCs w:val="20"/>
                <w:color w:val="auto"/>
              </w:rPr>
            </w:pPr>
            <w:r>
              <w:rPr>
                <w:rFonts w:ascii="Arial" w:cs="Arial" w:eastAsia="Arial" w:hAnsi="Arial"/>
                <w:sz w:val="13"/>
                <w:szCs w:val="13"/>
                <w:color w:val="auto"/>
              </w:rPr>
              <w:t>  </w:t>
            </w:r>
          </w:p>
        </w:tc>
        <w:tc>
          <w:tcPr>
            <w:tcW w:w="900" w:type="dxa"/>
            <w:vAlign w:val="bottom"/>
            <w:tcBorders>
              <w:top w:val="single" w:sz="8" w:color="auto"/>
            </w:tcBorders>
            <w:shd w:val="clear" w:color="auto" w:fill="F7F7F7"/>
          </w:tcPr>
          <w:p>
            <w:pPr>
              <w:spacing w:after="0"/>
              <w:rPr>
                <w:sz w:val="14"/>
                <w:szCs w:val="14"/>
                <w:color w:val="auto"/>
              </w:rPr>
            </w:pPr>
          </w:p>
        </w:tc>
        <w:tc>
          <w:tcPr>
            <w:tcW w:w="580" w:type="dxa"/>
            <w:vAlign w:val="bottom"/>
            <w:tcBorders>
              <w:top w:val="single" w:sz="8" w:color="auto"/>
              <w:right w:val="single" w:sz="8" w:color="auto"/>
            </w:tcBorders>
            <w:shd w:val="clear" w:color="auto" w:fill="F7F7F7"/>
          </w:tcPr>
          <w:p>
            <w:pPr>
              <w:spacing w:after="0"/>
              <w:rPr>
                <w:sz w:val="14"/>
                <w:szCs w:val="14"/>
                <w:color w:val="auto"/>
              </w:rPr>
            </w:pPr>
          </w:p>
        </w:tc>
        <w:tc>
          <w:tcPr>
            <w:tcW w:w="800" w:type="dxa"/>
            <w:vAlign w:val="bottom"/>
            <w:tcBorders>
              <w:top w:val="single" w:sz="8" w:color="auto"/>
            </w:tcBorders>
            <w:shd w:val="clear" w:color="auto" w:fill="F7F7F7"/>
          </w:tcPr>
          <w:p>
            <w:pPr>
              <w:spacing w:after="0"/>
              <w:rPr>
                <w:sz w:val="14"/>
                <w:szCs w:val="14"/>
                <w:color w:val="auto"/>
              </w:rPr>
            </w:pPr>
          </w:p>
        </w:tc>
        <w:tc>
          <w:tcPr>
            <w:tcW w:w="300" w:type="dxa"/>
            <w:vAlign w:val="bottom"/>
            <w:tcBorders>
              <w:top w:val="single" w:sz="8" w:color="auto"/>
            </w:tcBorders>
            <w:shd w:val="clear" w:color="auto" w:fill="F7F7F7"/>
          </w:tcPr>
          <w:p>
            <w:pPr>
              <w:spacing w:after="0"/>
              <w:rPr>
                <w:sz w:val="14"/>
                <w:szCs w:val="14"/>
                <w:color w:val="auto"/>
              </w:rPr>
            </w:pPr>
          </w:p>
        </w:tc>
        <w:tc>
          <w:tcPr>
            <w:tcW w:w="220" w:type="dxa"/>
            <w:vAlign w:val="bottom"/>
            <w:tcBorders>
              <w:top w:val="single" w:sz="8" w:color="auto"/>
              <w:right w:val="single" w:sz="8" w:color="auto"/>
            </w:tcBorders>
            <w:shd w:val="clear" w:color="auto" w:fill="F7F7F7"/>
          </w:tcPr>
          <w:p>
            <w:pPr>
              <w:spacing w:after="0"/>
              <w:rPr>
                <w:sz w:val="14"/>
                <w:szCs w:val="14"/>
                <w:color w:val="auto"/>
              </w:rPr>
            </w:pPr>
          </w:p>
        </w:tc>
        <w:tc>
          <w:tcPr>
            <w:tcW w:w="720" w:type="dxa"/>
            <w:vAlign w:val="bottom"/>
            <w:tcBorders>
              <w:top w:val="single" w:sz="8" w:color="auto"/>
            </w:tcBorders>
            <w:vMerge w:val="restart"/>
            <w:shd w:val="clear" w:color="auto" w:fill="F7F7F7"/>
          </w:tcPr>
          <w:p>
            <w:pPr>
              <w:ind w:left="600"/>
              <w:spacing w:after="0"/>
              <w:rPr>
                <w:sz w:val="20"/>
                <w:szCs w:val="20"/>
                <w:color w:val="auto"/>
              </w:rPr>
            </w:pPr>
            <w:r>
              <w:rPr>
                <w:rFonts w:ascii="Arial" w:cs="Arial" w:eastAsia="Arial" w:hAnsi="Arial"/>
                <w:sz w:val="10"/>
                <w:szCs w:val="10"/>
                <w:color w:val="auto"/>
                <w:w w:val="77"/>
              </w:rPr>
              <w:t xml:space="preserve">  </w:t>
            </w:r>
          </w:p>
        </w:tc>
        <w:tc>
          <w:tcPr>
            <w:tcW w:w="440" w:type="dxa"/>
            <w:vAlign w:val="bottom"/>
            <w:tcBorders>
              <w:top w:val="single" w:sz="8" w:color="auto"/>
              <w:right w:val="single" w:sz="8" w:color="auto"/>
            </w:tcBorders>
            <w:vMerge w:val="restart"/>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Chief Executive Officer and Managing Director of Consumer Equity Partners</w:t>
            </w:r>
          </w:p>
        </w:tc>
        <w:tc>
          <w:tcPr>
            <w:tcW w:w="720" w:type="dxa"/>
            <w:vAlign w:val="bottom"/>
            <w:tcBorders>
              <w:right w:val="single" w:sz="8" w:color="auto"/>
            </w:tcBorders>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tcBorders>
              <w:right w:val="single" w:sz="8" w:color="auto"/>
            </w:tcBorders>
            <w:vMerge w:val="continue"/>
          </w:tcPr>
          <w:p>
            <w:pPr>
              <w:spacing w:after="0"/>
              <w:rPr>
                <w:sz w:val="9"/>
                <w:szCs w:val="9"/>
                <w:color w:val="auto"/>
              </w:rPr>
            </w:pPr>
          </w:p>
        </w:tc>
        <w:tc>
          <w:tcPr>
            <w:tcW w:w="620" w:type="dxa"/>
            <w:vAlign w:val="bottom"/>
            <w:vMerge w:val="continue"/>
            <w:shd w:val="clear" w:color="auto" w:fill="F7F7F7"/>
          </w:tcPr>
          <w:p>
            <w:pPr>
              <w:spacing w:after="0"/>
              <w:rPr>
                <w:sz w:val="9"/>
                <w:szCs w:val="9"/>
                <w:color w:val="auto"/>
              </w:rPr>
            </w:pPr>
          </w:p>
        </w:tc>
        <w:tc>
          <w:tcPr>
            <w:tcW w:w="120" w:type="dxa"/>
            <w:vAlign w:val="bottom"/>
            <w:tcBorders>
              <w:right w:val="single" w:sz="8" w:color="auto"/>
            </w:tcBorders>
            <w:vMerge w:val="continue"/>
            <w:shd w:val="clear" w:color="auto" w:fill="F7F7F7"/>
          </w:tcPr>
          <w:p>
            <w:pPr>
              <w:spacing w:after="0"/>
              <w:rPr>
                <w:sz w:val="9"/>
                <w:szCs w:val="9"/>
                <w:color w:val="auto"/>
              </w:rPr>
            </w:pPr>
          </w:p>
        </w:tc>
        <w:tc>
          <w:tcPr>
            <w:tcW w:w="900" w:type="dxa"/>
            <w:vAlign w:val="bottom"/>
            <w:shd w:val="clear" w:color="auto" w:fill="F7F7F7"/>
          </w:tcPr>
          <w:p>
            <w:pPr>
              <w:spacing w:after="0"/>
              <w:rPr>
                <w:sz w:val="9"/>
                <w:szCs w:val="9"/>
                <w:color w:val="auto"/>
              </w:rPr>
            </w:pPr>
          </w:p>
        </w:tc>
        <w:tc>
          <w:tcPr>
            <w:tcW w:w="580" w:type="dxa"/>
            <w:vAlign w:val="bottom"/>
            <w:tcBorders>
              <w:right w:val="single" w:sz="8" w:color="auto"/>
            </w:tcBorders>
            <w:shd w:val="clear" w:color="auto" w:fill="F7F7F7"/>
          </w:tcPr>
          <w:p>
            <w:pPr>
              <w:spacing w:after="0"/>
              <w:rPr>
                <w:sz w:val="9"/>
                <w:szCs w:val="9"/>
                <w:color w:val="auto"/>
              </w:rPr>
            </w:pPr>
          </w:p>
        </w:tc>
        <w:tc>
          <w:tcPr>
            <w:tcW w:w="800" w:type="dxa"/>
            <w:vAlign w:val="bottom"/>
            <w:shd w:val="clear" w:color="auto" w:fill="F7F7F7"/>
          </w:tcPr>
          <w:p>
            <w:pPr>
              <w:spacing w:after="0"/>
              <w:rPr>
                <w:sz w:val="9"/>
                <w:szCs w:val="9"/>
                <w:color w:val="auto"/>
              </w:rPr>
            </w:pPr>
          </w:p>
        </w:tc>
        <w:tc>
          <w:tcPr>
            <w:tcW w:w="300" w:type="dxa"/>
            <w:vAlign w:val="bottom"/>
            <w:shd w:val="clear" w:color="auto" w:fill="F7F7F7"/>
          </w:tcPr>
          <w:p>
            <w:pPr>
              <w:spacing w:after="0"/>
              <w:rPr>
                <w:sz w:val="9"/>
                <w:szCs w:val="9"/>
                <w:color w:val="auto"/>
              </w:rPr>
            </w:pPr>
          </w:p>
        </w:tc>
        <w:tc>
          <w:tcPr>
            <w:tcW w:w="220" w:type="dxa"/>
            <w:vAlign w:val="bottom"/>
            <w:tcBorders>
              <w:right w:val="single" w:sz="8" w:color="auto"/>
            </w:tcBorders>
            <w:shd w:val="clear" w:color="auto" w:fill="F7F7F7"/>
          </w:tcPr>
          <w:p>
            <w:pPr>
              <w:spacing w:after="0"/>
              <w:rPr>
                <w:sz w:val="9"/>
                <w:szCs w:val="9"/>
                <w:color w:val="auto"/>
              </w:rPr>
            </w:pPr>
          </w:p>
        </w:tc>
        <w:tc>
          <w:tcPr>
            <w:tcW w:w="720" w:type="dxa"/>
            <w:vAlign w:val="bottom"/>
            <w:vMerge w:val="continue"/>
            <w:shd w:val="clear" w:color="auto" w:fill="F7F7F7"/>
          </w:tcPr>
          <w:p>
            <w:pPr>
              <w:spacing w:after="0"/>
              <w:rPr>
                <w:sz w:val="9"/>
                <w:szCs w:val="9"/>
                <w:color w:val="auto"/>
              </w:rPr>
            </w:pPr>
          </w:p>
        </w:tc>
        <w:tc>
          <w:tcPr>
            <w:tcW w:w="440" w:type="dxa"/>
            <w:vAlign w:val="bottom"/>
            <w:tcBorders>
              <w:right w:val="single" w:sz="8" w:color="auto"/>
            </w:tcBorders>
            <w:vMerge w:val="continue"/>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620" w:type="dxa"/>
            <w:vAlign w:val="bottom"/>
            <w:tcBorders>
              <w:bottom w:val="single" w:sz="8" w:color="F7F7F7"/>
            </w:tcBorders>
            <w:shd w:val="clear" w:color="auto" w:fill="F7F7F7"/>
          </w:tcPr>
          <w:p>
            <w:pPr>
              <w:spacing w:after="0"/>
              <w:rPr>
                <w:sz w:val="8"/>
                <w:szCs w:val="8"/>
                <w:color w:val="auto"/>
              </w:rPr>
            </w:pPr>
          </w:p>
        </w:tc>
        <w:tc>
          <w:tcPr>
            <w:tcW w:w="120" w:type="dxa"/>
            <w:vAlign w:val="bottom"/>
            <w:tcBorders>
              <w:bottom w:val="single" w:sz="8" w:color="F7F7F7"/>
              <w:right w:val="single" w:sz="8" w:color="auto"/>
            </w:tcBorders>
            <w:shd w:val="clear" w:color="auto" w:fill="F7F7F7"/>
          </w:tcPr>
          <w:p>
            <w:pPr>
              <w:spacing w:after="0"/>
              <w:rPr>
                <w:sz w:val="8"/>
                <w:szCs w:val="8"/>
                <w:color w:val="auto"/>
              </w:rPr>
            </w:pPr>
          </w:p>
        </w:tc>
        <w:tc>
          <w:tcPr>
            <w:tcW w:w="900" w:type="dxa"/>
            <w:vAlign w:val="bottom"/>
            <w:tcBorders>
              <w:bottom w:val="single" w:sz="8" w:color="F7F7F7"/>
            </w:tcBorders>
            <w:shd w:val="clear" w:color="auto" w:fill="F7F7F7"/>
          </w:tcPr>
          <w:p>
            <w:pPr>
              <w:spacing w:after="0"/>
              <w:rPr>
                <w:sz w:val="8"/>
                <w:szCs w:val="8"/>
                <w:color w:val="auto"/>
              </w:rPr>
            </w:pPr>
          </w:p>
        </w:tc>
        <w:tc>
          <w:tcPr>
            <w:tcW w:w="580" w:type="dxa"/>
            <w:vAlign w:val="bottom"/>
            <w:tcBorders>
              <w:bottom w:val="single" w:sz="8" w:color="F7F7F7"/>
              <w:right w:val="single" w:sz="8" w:color="auto"/>
            </w:tcBorders>
            <w:shd w:val="clear" w:color="auto" w:fill="F7F7F7"/>
          </w:tcPr>
          <w:p>
            <w:pPr>
              <w:spacing w:after="0"/>
              <w:rPr>
                <w:sz w:val="8"/>
                <w:szCs w:val="8"/>
                <w:color w:val="auto"/>
              </w:rPr>
            </w:pPr>
          </w:p>
        </w:tc>
        <w:tc>
          <w:tcPr>
            <w:tcW w:w="800" w:type="dxa"/>
            <w:vAlign w:val="bottom"/>
            <w:tcBorders>
              <w:bottom w:val="single" w:sz="8" w:color="F7F7F7"/>
            </w:tcBorders>
            <w:shd w:val="clear" w:color="auto" w:fill="F7F7F7"/>
          </w:tcPr>
          <w:p>
            <w:pPr>
              <w:spacing w:after="0"/>
              <w:rPr>
                <w:sz w:val="8"/>
                <w:szCs w:val="8"/>
                <w:color w:val="auto"/>
              </w:rPr>
            </w:pPr>
          </w:p>
        </w:tc>
        <w:tc>
          <w:tcPr>
            <w:tcW w:w="300" w:type="dxa"/>
            <w:vAlign w:val="bottom"/>
            <w:tcBorders>
              <w:bottom w:val="single" w:sz="8" w:color="F7F7F7"/>
            </w:tcBorders>
            <w:shd w:val="clear" w:color="auto" w:fill="F7F7F7"/>
          </w:tcPr>
          <w:p>
            <w:pPr>
              <w:spacing w:after="0"/>
              <w:rPr>
                <w:sz w:val="8"/>
                <w:szCs w:val="8"/>
                <w:color w:val="auto"/>
              </w:rPr>
            </w:pPr>
          </w:p>
        </w:tc>
        <w:tc>
          <w:tcPr>
            <w:tcW w:w="220" w:type="dxa"/>
            <w:vAlign w:val="bottom"/>
            <w:tcBorders>
              <w:bottom w:val="single" w:sz="8" w:color="F7F7F7"/>
              <w:right w:val="single" w:sz="8" w:color="auto"/>
            </w:tcBorders>
            <w:shd w:val="clear" w:color="auto" w:fill="F7F7F7"/>
          </w:tcPr>
          <w:p>
            <w:pPr>
              <w:spacing w:after="0"/>
              <w:rPr>
                <w:sz w:val="8"/>
                <w:szCs w:val="8"/>
                <w:color w:val="auto"/>
              </w:rPr>
            </w:pPr>
          </w:p>
        </w:tc>
        <w:tc>
          <w:tcPr>
            <w:tcW w:w="720" w:type="dxa"/>
            <w:vAlign w:val="bottom"/>
            <w:tcBorders>
              <w:bottom w:val="single" w:sz="8" w:color="F7F7F7"/>
            </w:tcBorders>
            <w:shd w:val="clear" w:color="auto" w:fill="F7F7F7"/>
          </w:tcPr>
          <w:p>
            <w:pPr>
              <w:spacing w:after="0"/>
              <w:rPr>
                <w:sz w:val="8"/>
                <w:szCs w:val="8"/>
                <w:color w:val="auto"/>
              </w:rPr>
            </w:pPr>
          </w:p>
        </w:tc>
        <w:tc>
          <w:tcPr>
            <w:tcW w:w="440" w:type="dxa"/>
            <w:vAlign w:val="bottom"/>
            <w:tcBorders>
              <w:bottom w:val="single" w:sz="8" w:color="F7F7F7"/>
              <w:right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Karin M. Klein</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54</w:t>
            </w:r>
          </w:p>
        </w:tc>
        <w:tc>
          <w:tcPr>
            <w:tcW w:w="72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color w:val="auto"/>
                <w:w w:val="81"/>
              </w:rPr>
              <w:t>2019 </w:t>
            </w:r>
          </w:p>
        </w:tc>
        <w:tc>
          <w:tcPr>
            <w:tcW w:w="30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620" w:type="dxa"/>
            <w:vAlign w:val="bottom"/>
            <w:tcBorders>
              <w:top w:val="single" w:sz="8" w:color="auto"/>
            </w:tcBorders>
            <w:vMerge w:val="restart"/>
            <w:shd w:val="clear" w:color="auto" w:fill="F7F7F7"/>
          </w:tcPr>
          <w:p>
            <w:pPr>
              <w:ind w:left="500"/>
              <w:spacing w:after="0"/>
              <w:rPr>
                <w:sz w:val="20"/>
                <w:szCs w:val="20"/>
                <w:color w:val="auto"/>
              </w:rPr>
            </w:pPr>
            <w:r>
              <w:rPr>
                <w:rFonts w:ascii="Arial" w:cs="Arial" w:eastAsia="Arial" w:hAnsi="Arial"/>
                <w:sz w:val="10"/>
                <w:szCs w:val="10"/>
                <w:color w:val="auto"/>
                <w:w w:val="77"/>
              </w:rPr>
              <w:t xml:space="preserve">  </w:t>
            </w:r>
          </w:p>
        </w:tc>
        <w:tc>
          <w:tcPr>
            <w:tcW w:w="120" w:type="dxa"/>
            <w:vAlign w:val="bottom"/>
            <w:tcBorders>
              <w:top w:val="single" w:sz="8" w:color="auto"/>
              <w:right w:val="single" w:sz="8" w:color="auto"/>
            </w:tcBorders>
            <w:vMerge w:val="restart"/>
            <w:shd w:val="clear" w:color="auto" w:fill="F7F7F7"/>
          </w:tcPr>
          <w:p>
            <w:pPr>
              <w:jc w:val="right"/>
              <w:spacing w:after="0"/>
              <w:rPr>
                <w:sz w:val="20"/>
                <w:szCs w:val="20"/>
                <w:color w:val="auto"/>
              </w:rPr>
            </w:pPr>
            <w:r>
              <w:rPr>
                <w:rFonts w:ascii="Arial" w:cs="Arial" w:eastAsia="Arial" w:hAnsi="Arial"/>
                <w:sz w:val="13"/>
                <w:szCs w:val="13"/>
                <w:color w:val="auto"/>
              </w:rPr>
              <w:t>  </w:t>
            </w:r>
          </w:p>
        </w:tc>
        <w:tc>
          <w:tcPr>
            <w:tcW w:w="900" w:type="dxa"/>
            <w:vAlign w:val="bottom"/>
            <w:tcBorders>
              <w:top w:val="single" w:sz="8" w:color="auto"/>
            </w:tcBorders>
            <w:shd w:val="clear" w:color="auto" w:fill="F7F7F7"/>
          </w:tcPr>
          <w:p>
            <w:pPr>
              <w:spacing w:after="0"/>
              <w:rPr>
                <w:sz w:val="14"/>
                <w:szCs w:val="14"/>
                <w:color w:val="auto"/>
              </w:rPr>
            </w:pPr>
          </w:p>
        </w:tc>
        <w:tc>
          <w:tcPr>
            <w:tcW w:w="580" w:type="dxa"/>
            <w:vAlign w:val="bottom"/>
            <w:tcBorders>
              <w:top w:val="single" w:sz="8" w:color="auto"/>
              <w:right w:val="single" w:sz="8" w:color="auto"/>
            </w:tcBorders>
            <w:shd w:val="clear" w:color="auto" w:fill="F7F7F7"/>
          </w:tcPr>
          <w:p>
            <w:pPr>
              <w:spacing w:after="0"/>
              <w:rPr>
                <w:sz w:val="14"/>
                <w:szCs w:val="14"/>
                <w:color w:val="auto"/>
              </w:rPr>
            </w:pPr>
          </w:p>
        </w:tc>
        <w:tc>
          <w:tcPr>
            <w:tcW w:w="800" w:type="dxa"/>
            <w:vAlign w:val="bottom"/>
            <w:tcBorders>
              <w:top w:val="single" w:sz="8" w:color="auto"/>
            </w:tcBorders>
            <w:vMerge w:val="restart"/>
            <w:shd w:val="clear" w:color="auto" w:fill="F7F7F7"/>
          </w:tcPr>
          <w:p>
            <w:pPr>
              <w:ind w:left="680"/>
              <w:spacing w:after="0"/>
              <w:rPr>
                <w:sz w:val="20"/>
                <w:szCs w:val="20"/>
                <w:color w:val="auto"/>
              </w:rPr>
            </w:pPr>
            <w:r>
              <w:rPr>
                <w:rFonts w:ascii="Arial" w:cs="Arial" w:eastAsia="Arial" w:hAnsi="Arial"/>
                <w:sz w:val="10"/>
                <w:szCs w:val="10"/>
                <w:color w:val="auto"/>
                <w:w w:val="77"/>
              </w:rPr>
              <w:t xml:space="preserve">  </w:t>
            </w:r>
          </w:p>
        </w:tc>
        <w:tc>
          <w:tcPr>
            <w:tcW w:w="300" w:type="dxa"/>
            <w:vAlign w:val="bottom"/>
            <w:tcBorders>
              <w:top w:val="single" w:sz="8" w:color="auto"/>
            </w:tcBorders>
            <w:vMerge w:val="restart"/>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220" w:type="dxa"/>
            <w:vAlign w:val="bottom"/>
            <w:tcBorders>
              <w:top w:val="single" w:sz="8" w:color="auto"/>
              <w:right w:val="single" w:sz="8" w:color="auto"/>
            </w:tcBorders>
            <w:shd w:val="clear" w:color="auto" w:fill="F7F7F7"/>
          </w:tcPr>
          <w:p>
            <w:pPr>
              <w:spacing w:after="0"/>
              <w:rPr>
                <w:sz w:val="14"/>
                <w:szCs w:val="14"/>
                <w:color w:val="auto"/>
              </w:rPr>
            </w:pPr>
          </w:p>
        </w:tc>
        <w:tc>
          <w:tcPr>
            <w:tcW w:w="720" w:type="dxa"/>
            <w:vAlign w:val="bottom"/>
            <w:tcBorders>
              <w:top w:val="single" w:sz="8" w:color="auto"/>
            </w:tcBorders>
            <w:shd w:val="clear" w:color="auto" w:fill="F7F7F7"/>
          </w:tcPr>
          <w:p>
            <w:pPr>
              <w:spacing w:after="0"/>
              <w:rPr>
                <w:sz w:val="14"/>
                <w:szCs w:val="14"/>
                <w:color w:val="auto"/>
              </w:rPr>
            </w:pPr>
          </w:p>
        </w:tc>
        <w:tc>
          <w:tcPr>
            <w:tcW w:w="440" w:type="dxa"/>
            <w:vAlign w:val="bottom"/>
            <w:tcBorders>
              <w:top w:val="single" w:sz="8" w:color="auto"/>
              <w:right w:val="single" w:sz="8" w:color="auto"/>
            </w:tcBorders>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Founding Partner of Bloomberg Beta</w:t>
            </w:r>
          </w:p>
        </w:tc>
        <w:tc>
          <w:tcPr>
            <w:tcW w:w="720" w:type="dxa"/>
            <w:vAlign w:val="bottom"/>
            <w:tcBorders>
              <w:right w:val="single" w:sz="8" w:color="auto"/>
            </w:tcBorders>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tcBorders>
              <w:right w:val="single" w:sz="8" w:color="auto"/>
            </w:tcBorders>
            <w:vMerge w:val="continue"/>
          </w:tcPr>
          <w:p>
            <w:pPr>
              <w:spacing w:after="0"/>
              <w:rPr>
                <w:sz w:val="9"/>
                <w:szCs w:val="9"/>
                <w:color w:val="auto"/>
              </w:rPr>
            </w:pPr>
          </w:p>
        </w:tc>
        <w:tc>
          <w:tcPr>
            <w:tcW w:w="620" w:type="dxa"/>
            <w:vAlign w:val="bottom"/>
            <w:vMerge w:val="continue"/>
            <w:shd w:val="clear" w:color="auto" w:fill="F7F7F7"/>
          </w:tcPr>
          <w:p>
            <w:pPr>
              <w:spacing w:after="0"/>
              <w:rPr>
                <w:sz w:val="9"/>
                <w:szCs w:val="9"/>
                <w:color w:val="auto"/>
              </w:rPr>
            </w:pPr>
          </w:p>
        </w:tc>
        <w:tc>
          <w:tcPr>
            <w:tcW w:w="120" w:type="dxa"/>
            <w:vAlign w:val="bottom"/>
            <w:tcBorders>
              <w:right w:val="single" w:sz="8" w:color="auto"/>
            </w:tcBorders>
            <w:vMerge w:val="continue"/>
            <w:shd w:val="clear" w:color="auto" w:fill="F7F7F7"/>
          </w:tcPr>
          <w:p>
            <w:pPr>
              <w:spacing w:after="0"/>
              <w:rPr>
                <w:sz w:val="9"/>
                <w:szCs w:val="9"/>
                <w:color w:val="auto"/>
              </w:rPr>
            </w:pPr>
          </w:p>
        </w:tc>
        <w:tc>
          <w:tcPr>
            <w:tcW w:w="900" w:type="dxa"/>
            <w:vAlign w:val="bottom"/>
            <w:shd w:val="clear" w:color="auto" w:fill="F7F7F7"/>
          </w:tcPr>
          <w:p>
            <w:pPr>
              <w:spacing w:after="0"/>
              <w:rPr>
                <w:sz w:val="9"/>
                <w:szCs w:val="9"/>
                <w:color w:val="auto"/>
              </w:rPr>
            </w:pPr>
          </w:p>
        </w:tc>
        <w:tc>
          <w:tcPr>
            <w:tcW w:w="580" w:type="dxa"/>
            <w:vAlign w:val="bottom"/>
            <w:tcBorders>
              <w:right w:val="single" w:sz="8" w:color="auto"/>
            </w:tcBorders>
            <w:shd w:val="clear" w:color="auto" w:fill="F7F7F7"/>
          </w:tcPr>
          <w:p>
            <w:pPr>
              <w:spacing w:after="0"/>
              <w:rPr>
                <w:sz w:val="9"/>
                <w:szCs w:val="9"/>
                <w:color w:val="auto"/>
              </w:rPr>
            </w:pPr>
          </w:p>
        </w:tc>
        <w:tc>
          <w:tcPr>
            <w:tcW w:w="800" w:type="dxa"/>
            <w:vAlign w:val="bottom"/>
            <w:vMerge w:val="continue"/>
            <w:shd w:val="clear" w:color="auto" w:fill="F7F7F7"/>
          </w:tcPr>
          <w:p>
            <w:pPr>
              <w:spacing w:after="0"/>
              <w:rPr>
                <w:sz w:val="9"/>
                <w:szCs w:val="9"/>
                <w:color w:val="auto"/>
              </w:rPr>
            </w:pPr>
          </w:p>
        </w:tc>
        <w:tc>
          <w:tcPr>
            <w:tcW w:w="300" w:type="dxa"/>
            <w:vAlign w:val="bottom"/>
            <w:vMerge w:val="continue"/>
            <w:shd w:val="clear" w:color="auto" w:fill="F7F7F7"/>
          </w:tcPr>
          <w:p>
            <w:pPr>
              <w:spacing w:after="0"/>
              <w:rPr>
                <w:sz w:val="9"/>
                <w:szCs w:val="9"/>
                <w:color w:val="auto"/>
              </w:rPr>
            </w:pPr>
          </w:p>
        </w:tc>
        <w:tc>
          <w:tcPr>
            <w:tcW w:w="220" w:type="dxa"/>
            <w:vAlign w:val="bottom"/>
            <w:tcBorders>
              <w:right w:val="single" w:sz="8" w:color="auto"/>
            </w:tcBorders>
            <w:shd w:val="clear" w:color="auto" w:fill="F7F7F7"/>
          </w:tcPr>
          <w:p>
            <w:pPr>
              <w:spacing w:after="0"/>
              <w:rPr>
                <w:sz w:val="9"/>
                <w:szCs w:val="9"/>
                <w:color w:val="auto"/>
              </w:rPr>
            </w:pPr>
          </w:p>
        </w:tc>
        <w:tc>
          <w:tcPr>
            <w:tcW w:w="720" w:type="dxa"/>
            <w:vAlign w:val="bottom"/>
            <w:shd w:val="clear" w:color="auto" w:fill="F7F7F7"/>
          </w:tcPr>
          <w:p>
            <w:pPr>
              <w:spacing w:after="0"/>
              <w:rPr>
                <w:sz w:val="9"/>
                <w:szCs w:val="9"/>
                <w:color w:val="auto"/>
              </w:rPr>
            </w:pPr>
          </w:p>
        </w:tc>
        <w:tc>
          <w:tcPr>
            <w:tcW w:w="440" w:type="dxa"/>
            <w:vAlign w:val="bottom"/>
            <w:tcBorders>
              <w:right w:val="single" w:sz="8" w:color="auto"/>
            </w:tcBorders>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620" w:type="dxa"/>
            <w:vAlign w:val="bottom"/>
            <w:tcBorders>
              <w:bottom w:val="single" w:sz="8" w:color="F7F7F7"/>
            </w:tcBorders>
            <w:shd w:val="clear" w:color="auto" w:fill="F7F7F7"/>
          </w:tcPr>
          <w:p>
            <w:pPr>
              <w:spacing w:after="0"/>
              <w:rPr>
                <w:sz w:val="8"/>
                <w:szCs w:val="8"/>
                <w:color w:val="auto"/>
              </w:rPr>
            </w:pPr>
          </w:p>
        </w:tc>
        <w:tc>
          <w:tcPr>
            <w:tcW w:w="120" w:type="dxa"/>
            <w:vAlign w:val="bottom"/>
            <w:tcBorders>
              <w:bottom w:val="single" w:sz="8" w:color="F7F7F7"/>
              <w:right w:val="single" w:sz="8" w:color="auto"/>
            </w:tcBorders>
            <w:shd w:val="clear" w:color="auto" w:fill="F7F7F7"/>
          </w:tcPr>
          <w:p>
            <w:pPr>
              <w:spacing w:after="0"/>
              <w:rPr>
                <w:sz w:val="8"/>
                <w:szCs w:val="8"/>
                <w:color w:val="auto"/>
              </w:rPr>
            </w:pPr>
          </w:p>
        </w:tc>
        <w:tc>
          <w:tcPr>
            <w:tcW w:w="900" w:type="dxa"/>
            <w:vAlign w:val="bottom"/>
            <w:tcBorders>
              <w:bottom w:val="single" w:sz="8" w:color="F7F7F7"/>
            </w:tcBorders>
            <w:shd w:val="clear" w:color="auto" w:fill="F7F7F7"/>
          </w:tcPr>
          <w:p>
            <w:pPr>
              <w:spacing w:after="0"/>
              <w:rPr>
                <w:sz w:val="8"/>
                <w:szCs w:val="8"/>
                <w:color w:val="auto"/>
              </w:rPr>
            </w:pPr>
          </w:p>
        </w:tc>
        <w:tc>
          <w:tcPr>
            <w:tcW w:w="580" w:type="dxa"/>
            <w:vAlign w:val="bottom"/>
            <w:tcBorders>
              <w:bottom w:val="single" w:sz="8" w:color="F7F7F7"/>
              <w:right w:val="single" w:sz="8" w:color="auto"/>
            </w:tcBorders>
            <w:shd w:val="clear" w:color="auto" w:fill="F7F7F7"/>
          </w:tcPr>
          <w:p>
            <w:pPr>
              <w:spacing w:after="0"/>
              <w:rPr>
                <w:sz w:val="8"/>
                <w:szCs w:val="8"/>
                <w:color w:val="auto"/>
              </w:rPr>
            </w:pPr>
          </w:p>
        </w:tc>
        <w:tc>
          <w:tcPr>
            <w:tcW w:w="800" w:type="dxa"/>
            <w:vAlign w:val="bottom"/>
            <w:tcBorders>
              <w:bottom w:val="single" w:sz="8" w:color="F7F7F7"/>
            </w:tcBorders>
            <w:shd w:val="clear" w:color="auto" w:fill="F7F7F7"/>
          </w:tcPr>
          <w:p>
            <w:pPr>
              <w:spacing w:after="0"/>
              <w:rPr>
                <w:sz w:val="8"/>
                <w:szCs w:val="8"/>
                <w:color w:val="auto"/>
              </w:rPr>
            </w:pPr>
          </w:p>
        </w:tc>
        <w:tc>
          <w:tcPr>
            <w:tcW w:w="300" w:type="dxa"/>
            <w:vAlign w:val="bottom"/>
            <w:tcBorders>
              <w:bottom w:val="single" w:sz="8" w:color="F7F7F7"/>
            </w:tcBorders>
            <w:shd w:val="clear" w:color="auto" w:fill="F7F7F7"/>
          </w:tcPr>
          <w:p>
            <w:pPr>
              <w:spacing w:after="0"/>
              <w:rPr>
                <w:sz w:val="8"/>
                <w:szCs w:val="8"/>
                <w:color w:val="auto"/>
              </w:rPr>
            </w:pPr>
          </w:p>
        </w:tc>
        <w:tc>
          <w:tcPr>
            <w:tcW w:w="220" w:type="dxa"/>
            <w:vAlign w:val="bottom"/>
            <w:tcBorders>
              <w:bottom w:val="single" w:sz="8" w:color="F7F7F7"/>
              <w:right w:val="single" w:sz="8" w:color="auto"/>
            </w:tcBorders>
            <w:shd w:val="clear" w:color="auto" w:fill="F7F7F7"/>
          </w:tcPr>
          <w:p>
            <w:pPr>
              <w:spacing w:after="0"/>
              <w:rPr>
                <w:sz w:val="8"/>
                <w:szCs w:val="8"/>
                <w:color w:val="auto"/>
              </w:rPr>
            </w:pPr>
          </w:p>
        </w:tc>
        <w:tc>
          <w:tcPr>
            <w:tcW w:w="720" w:type="dxa"/>
            <w:vAlign w:val="bottom"/>
            <w:tcBorders>
              <w:bottom w:val="single" w:sz="8" w:color="F7F7F7"/>
            </w:tcBorders>
            <w:shd w:val="clear" w:color="auto" w:fill="F7F7F7"/>
          </w:tcPr>
          <w:p>
            <w:pPr>
              <w:spacing w:after="0"/>
              <w:rPr>
                <w:sz w:val="8"/>
                <w:szCs w:val="8"/>
                <w:color w:val="auto"/>
              </w:rPr>
            </w:pPr>
          </w:p>
        </w:tc>
        <w:tc>
          <w:tcPr>
            <w:tcW w:w="440" w:type="dxa"/>
            <w:vAlign w:val="bottom"/>
            <w:tcBorders>
              <w:bottom w:val="single" w:sz="8" w:color="F7F7F7"/>
              <w:right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Peter D. Linneman</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75</w:t>
            </w:r>
          </w:p>
        </w:tc>
        <w:tc>
          <w:tcPr>
            <w:tcW w:w="72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color w:val="auto"/>
                <w:w w:val="81"/>
              </w:rPr>
              <w:t>2017 </w:t>
            </w:r>
          </w:p>
        </w:tc>
        <w:tc>
          <w:tcPr>
            <w:tcW w:w="30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620" w:type="dxa"/>
            <w:vAlign w:val="bottom"/>
            <w:tcBorders>
              <w:top w:val="single" w:sz="8" w:color="auto"/>
            </w:tcBorders>
            <w:vMerge w:val="restart"/>
            <w:shd w:val="clear" w:color="auto" w:fill="F7F7F7"/>
          </w:tcPr>
          <w:p>
            <w:pPr>
              <w:ind w:left="480"/>
              <w:spacing w:after="0"/>
              <w:rPr>
                <w:sz w:val="20"/>
                <w:szCs w:val="20"/>
                <w:color w:val="auto"/>
              </w:rPr>
            </w:pPr>
            <w:r>
              <w:rPr>
                <w:rFonts w:ascii="Arial" w:cs="Arial" w:eastAsia="Arial" w:hAnsi="Arial"/>
                <w:sz w:val="13"/>
                <w:szCs w:val="13"/>
                <w:color w:val="auto"/>
                <w:w w:val="71"/>
              </w:rPr>
              <w:t xml:space="preserve">  </w:t>
            </w:r>
          </w:p>
        </w:tc>
        <w:tc>
          <w:tcPr>
            <w:tcW w:w="120" w:type="dxa"/>
            <w:vAlign w:val="bottom"/>
            <w:tcBorders>
              <w:top w:val="single" w:sz="8" w:color="auto"/>
              <w:right w:val="single" w:sz="8" w:color="auto"/>
            </w:tcBorders>
            <w:vMerge w:val="restart"/>
            <w:shd w:val="clear" w:color="auto" w:fill="F7F7F7"/>
          </w:tcPr>
          <w:p>
            <w:pPr>
              <w:jc w:val="right"/>
              <w:spacing w:after="0"/>
              <w:rPr>
                <w:sz w:val="20"/>
                <w:szCs w:val="20"/>
                <w:color w:val="auto"/>
              </w:rPr>
            </w:pPr>
            <w:r>
              <w:rPr>
                <w:rFonts w:ascii="Arial" w:cs="Arial" w:eastAsia="Arial" w:hAnsi="Arial"/>
                <w:sz w:val="13"/>
                <w:szCs w:val="13"/>
                <w:color w:val="auto"/>
              </w:rPr>
              <w:t>  </w:t>
            </w:r>
          </w:p>
        </w:tc>
        <w:tc>
          <w:tcPr>
            <w:tcW w:w="900" w:type="dxa"/>
            <w:vAlign w:val="bottom"/>
            <w:tcBorders>
              <w:top w:val="single" w:sz="8" w:color="auto"/>
            </w:tcBorders>
            <w:shd w:val="clear" w:color="auto" w:fill="F7F7F7"/>
          </w:tcPr>
          <w:p>
            <w:pPr>
              <w:spacing w:after="0"/>
              <w:rPr>
                <w:sz w:val="14"/>
                <w:szCs w:val="14"/>
                <w:color w:val="auto"/>
              </w:rPr>
            </w:pPr>
          </w:p>
        </w:tc>
        <w:tc>
          <w:tcPr>
            <w:tcW w:w="580" w:type="dxa"/>
            <w:vAlign w:val="bottom"/>
            <w:tcBorders>
              <w:top w:val="single" w:sz="8" w:color="auto"/>
              <w:right w:val="single" w:sz="8" w:color="auto"/>
            </w:tcBorders>
            <w:shd w:val="clear" w:color="auto" w:fill="F7F7F7"/>
          </w:tcPr>
          <w:p>
            <w:pPr>
              <w:spacing w:after="0"/>
              <w:rPr>
                <w:sz w:val="14"/>
                <w:szCs w:val="14"/>
                <w:color w:val="auto"/>
              </w:rPr>
            </w:pPr>
          </w:p>
        </w:tc>
        <w:tc>
          <w:tcPr>
            <w:tcW w:w="800" w:type="dxa"/>
            <w:vAlign w:val="bottom"/>
            <w:tcBorders>
              <w:top w:val="single" w:sz="8" w:color="auto"/>
            </w:tcBorders>
            <w:vMerge w:val="restart"/>
            <w:shd w:val="clear" w:color="auto" w:fill="F7F7F7"/>
          </w:tcPr>
          <w:p>
            <w:pPr>
              <w:ind w:left="680"/>
              <w:spacing w:after="0"/>
              <w:rPr>
                <w:sz w:val="20"/>
                <w:szCs w:val="20"/>
                <w:color w:val="auto"/>
              </w:rPr>
            </w:pPr>
            <w:r>
              <w:rPr>
                <w:rFonts w:ascii="Arial" w:cs="Arial" w:eastAsia="Arial" w:hAnsi="Arial"/>
                <w:sz w:val="10"/>
                <w:szCs w:val="10"/>
                <w:color w:val="auto"/>
                <w:w w:val="77"/>
              </w:rPr>
              <w:t xml:space="preserve">  </w:t>
            </w:r>
          </w:p>
        </w:tc>
        <w:tc>
          <w:tcPr>
            <w:tcW w:w="300" w:type="dxa"/>
            <w:vAlign w:val="bottom"/>
            <w:tcBorders>
              <w:top w:val="single" w:sz="8" w:color="auto"/>
            </w:tcBorders>
            <w:vMerge w:val="restart"/>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220" w:type="dxa"/>
            <w:vAlign w:val="bottom"/>
            <w:tcBorders>
              <w:top w:val="single" w:sz="8" w:color="auto"/>
              <w:right w:val="single" w:sz="8" w:color="auto"/>
            </w:tcBorders>
            <w:shd w:val="clear" w:color="auto" w:fill="F7F7F7"/>
          </w:tcPr>
          <w:p>
            <w:pPr>
              <w:spacing w:after="0"/>
              <w:rPr>
                <w:sz w:val="14"/>
                <w:szCs w:val="14"/>
                <w:color w:val="auto"/>
              </w:rPr>
            </w:pPr>
          </w:p>
        </w:tc>
        <w:tc>
          <w:tcPr>
            <w:tcW w:w="720" w:type="dxa"/>
            <w:vAlign w:val="bottom"/>
            <w:tcBorders>
              <w:top w:val="single" w:sz="8" w:color="auto"/>
            </w:tcBorders>
            <w:shd w:val="clear" w:color="auto" w:fill="F7F7F7"/>
          </w:tcPr>
          <w:p>
            <w:pPr>
              <w:spacing w:after="0"/>
              <w:rPr>
                <w:sz w:val="14"/>
                <w:szCs w:val="14"/>
                <w:color w:val="auto"/>
              </w:rPr>
            </w:pPr>
          </w:p>
        </w:tc>
        <w:tc>
          <w:tcPr>
            <w:tcW w:w="440" w:type="dxa"/>
            <w:vAlign w:val="bottom"/>
            <w:tcBorders>
              <w:top w:val="single" w:sz="8" w:color="auto"/>
              <w:right w:val="single" w:sz="8" w:color="auto"/>
            </w:tcBorders>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Principal of Linneman Associates</w:t>
            </w:r>
          </w:p>
        </w:tc>
        <w:tc>
          <w:tcPr>
            <w:tcW w:w="720" w:type="dxa"/>
            <w:vAlign w:val="bottom"/>
            <w:tcBorders>
              <w:right w:val="single" w:sz="8" w:color="auto"/>
            </w:tcBorders>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300" w:type="dxa"/>
            <w:vAlign w:val="bottom"/>
            <w:tcBorders>
              <w:right w:val="single" w:sz="8" w:color="auto"/>
            </w:tcBorders>
            <w:vMerge w:val="continue"/>
          </w:tcPr>
          <w:p>
            <w:pPr>
              <w:spacing w:after="0"/>
              <w:rPr>
                <w:sz w:val="18"/>
                <w:szCs w:val="18"/>
                <w:color w:val="auto"/>
              </w:rPr>
            </w:pPr>
          </w:p>
        </w:tc>
        <w:tc>
          <w:tcPr>
            <w:tcW w:w="620" w:type="dxa"/>
            <w:vAlign w:val="bottom"/>
            <w:tcBorders>
              <w:bottom w:val="single" w:sz="8" w:color="F7F7F7"/>
            </w:tcBorders>
            <w:vMerge w:val="continue"/>
            <w:shd w:val="clear" w:color="auto" w:fill="F7F7F7"/>
          </w:tcPr>
          <w:p>
            <w:pPr>
              <w:spacing w:after="0"/>
              <w:rPr>
                <w:sz w:val="18"/>
                <w:szCs w:val="18"/>
                <w:color w:val="auto"/>
              </w:rPr>
            </w:pPr>
          </w:p>
        </w:tc>
        <w:tc>
          <w:tcPr>
            <w:tcW w:w="120" w:type="dxa"/>
            <w:vAlign w:val="bottom"/>
            <w:tcBorders>
              <w:bottom w:val="single" w:sz="8" w:color="F7F7F7"/>
              <w:right w:val="single" w:sz="8" w:color="auto"/>
            </w:tcBorders>
            <w:vMerge w:val="continue"/>
            <w:shd w:val="clear" w:color="auto" w:fill="F7F7F7"/>
          </w:tcPr>
          <w:p>
            <w:pPr>
              <w:spacing w:after="0"/>
              <w:rPr>
                <w:sz w:val="18"/>
                <w:szCs w:val="18"/>
                <w:color w:val="auto"/>
              </w:rPr>
            </w:pPr>
          </w:p>
        </w:tc>
        <w:tc>
          <w:tcPr>
            <w:tcW w:w="900" w:type="dxa"/>
            <w:vAlign w:val="bottom"/>
            <w:tcBorders>
              <w:bottom w:val="single" w:sz="8" w:color="F7F7F7"/>
            </w:tcBorders>
            <w:shd w:val="clear" w:color="auto" w:fill="F7F7F7"/>
          </w:tcPr>
          <w:p>
            <w:pPr>
              <w:spacing w:after="0"/>
              <w:rPr>
                <w:sz w:val="18"/>
                <w:szCs w:val="18"/>
                <w:color w:val="auto"/>
              </w:rPr>
            </w:pPr>
          </w:p>
        </w:tc>
        <w:tc>
          <w:tcPr>
            <w:tcW w:w="580" w:type="dxa"/>
            <w:vAlign w:val="bottom"/>
            <w:tcBorders>
              <w:bottom w:val="single" w:sz="8" w:color="F7F7F7"/>
              <w:right w:val="single" w:sz="8" w:color="auto"/>
            </w:tcBorders>
            <w:shd w:val="clear" w:color="auto" w:fill="F7F7F7"/>
          </w:tcPr>
          <w:p>
            <w:pPr>
              <w:spacing w:after="0"/>
              <w:rPr>
                <w:sz w:val="18"/>
                <w:szCs w:val="18"/>
                <w:color w:val="auto"/>
              </w:rPr>
            </w:pPr>
          </w:p>
        </w:tc>
        <w:tc>
          <w:tcPr>
            <w:tcW w:w="800" w:type="dxa"/>
            <w:vAlign w:val="bottom"/>
            <w:tcBorders>
              <w:bottom w:val="single" w:sz="8" w:color="F7F7F7"/>
            </w:tcBorders>
            <w:vMerge w:val="continue"/>
            <w:shd w:val="clear" w:color="auto" w:fill="F7F7F7"/>
          </w:tcPr>
          <w:p>
            <w:pPr>
              <w:spacing w:after="0"/>
              <w:rPr>
                <w:sz w:val="18"/>
                <w:szCs w:val="18"/>
                <w:color w:val="auto"/>
              </w:rPr>
            </w:pPr>
          </w:p>
        </w:tc>
        <w:tc>
          <w:tcPr>
            <w:tcW w:w="300" w:type="dxa"/>
            <w:vAlign w:val="bottom"/>
            <w:tcBorders>
              <w:bottom w:val="single" w:sz="8" w:color="F7F7F7"/>
            </w:tcBorders>
            <w:vMerge w:val="continue"/>
            <w:shd w:val="clear" w:color="auto" w:fill="F7F7F7"/>
          </w:tcPr>
          <w:p>
            <w:pPr>
              <w:spacing w:after="0"/>
              <w:rPr>
                <w:sz w:val="18"/>
                <w:szCs w:val="18"/>
                <w:color w:val="auto"/>
              </w:rPr>
            </w:pPr>
          </w:p>
        </w:tc>
        <w:tc>
          <w:tcPr>
            <w:tcW w:w="220" w:type="dxa"/>
            <w:vAlign w:val="bottom"/>
            <w:tcBorders>
              <w:bottom w:val="single" w:sz="8" w:color="F7F7F7"/>
              <w:right w:val="single" w:sz="8" w:color="auto"/>
            </w:tcBorders>
            <w:shd w:val="clear" w:color="auto" w:fill="F7F7F7"/>
          </w:tcPr>
          <w:p>
            <w:pPr>
              <w:spacing w:after="0"/>
              <w:rPr>
                <w:sz w:val="18"/>
                <w:szCs w:val="18"/>
                <w:color w:val="auto"/>
              </w:rPr>
            </w:pPr>
          </w:p>
        </w:tc>
        <w:tc>
          <w:tcPr>
            <w:tcW w:w="720" w:type="dxa"/>
            <w:vAlign w:val="bottom"/>
            <w:tcBorders>
              <w:bottom w:val="single" w:sz="8" w:color="F7F7F7"/>
            </w:tcBorders>
            <w:shd w:val="clear" w:color="auto" w:fill="F7F7F7"/>
          </w:tcPr>
          <w:p>
            <w:pPr>
              <w:spacing w:after="0"/>
              <w:rPr>
                <w:sz w:val="18"/>
                <w:szCs w:val="18"/>
                <w:color w:val="auto"/>
              </w:rPr>
            </w:pPr>
          </w:p>
        </w:tc>
        <w:tc>
          <w:tcPr>
            <w:tcW w:w="440" w:type="dxa"/>
            <w:vAlign w:val="bottom"/>
            <w:tcBorders>
              <w:bottom w:val="single" w:sz="8" w:color="F7F7F7"/>
              <w:right w:val="single" w:sz="8" w:color="auto"/>
            </w:tcBorders>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Lisa Palmer</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58</w:t>
            </w:r>
          </w:p>
        </w:tc>
        <w:tc>
          <w:tcPr>
            <w:tcW w:w="72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color w:val="auto"/>
                <w:w w:val="81"/>
              </w:rPr>
              <w:t>2018 </w:t>
            </w:r>
          </w:p>
        </w:tc>
        <w:tc>
          <w:tcPr>
            <w:tcW w:w="30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620" w:type="dxa"/>
            <w:vAlign w:val="bottom"/>
            <w:tcBorders>
              <w:top w:val="single" w:sz="8" w:color="auto"/>
            </w:tcBorders>
            <w:shd w:val="clear" w:color="auto" w:fill="F7F7F7"/>
          </w:tcPr>
          <w:p>
            <w:pPr>
              <w:spacing w:after="0"/>
              <w:rPr>
                <w:sz w:val="14"/>
                <w:szCs w:val="14"/>
                <w:color w:val="auto"/>
              </w:rPr>
            </w:pPr>
          </w:p>
        </w:tc>
        <w:tc>
          <w:tcPr>
            <w:tcW w:w="120" w:type="dxa"/>
            <w:vAlign w:val="bottom"/>
            <w:tcBorders>
              <w:top w:val="single" w:sz="8" w:color="auto"/>
              <w:right w:val="single" w:sz="8" w:color="auto"/>
            </w:tcBorders>
            <w:shd w:val="clear" w:color="auto" w:fill="F7F7F7"/>
          </w:tcPr>
          <w:p>
            <w:pPr>
              <w:spacing w:after="0"/>
              <w:rPr>
                <w:sz w:val="14"/>
                <w:szCs w:val="14"/>
                <w:color w:val="auto"/>
              </w:rPr>
            </w:pPr>
          </w:p>
        </w:tc>
        <w:tc>
          <w:tcPr>
            <w:tcW w:w="900" w:type="dxa"/>
            <w:vAlign w:val="bottom"/>
            <w:tcBorders>
              <w:top w:val="single" w:sz="8" w:color="auto"/>
            </w:tcBorders>
            <w:shd w:val="clear" w:color="auto" w:fill="F7F7F7"/>
          </w:tcPr>
          <w:p>
            <w:pPr>
              <w:spacing w:after="0"/>
              <w:rPr>
                <w:sz w:val="14"/>
                <w:szCs w:val="14"/>
                <w:color w:val="auto"/>
              </w:rPr>
            </w:pPr>
          </w:p>
        </w:tc>
        <w:tc>
          <w:tcPr>
            <w:tcW w:w="580" w:type="dxa"/>
            <w:vAlign w:val="bottom"/>
            <w:tcBorders>
              <w:top w:val="single" w:sz="8" w:color="auto"/>
              <w:right w:val="single" w:sz="8" w:color="auto"/>
            </w:tcBorders>
            <w:shd w:val="clear" w:color="auto" w:fill="F7F7F7"/>
          </w:tcPr>
          <w:p>
            <w:pPr>
              <w:spacing w:after="0"/>
              <w:rPr>
                <w:sz w:val="14"/>
                <w:szCs w:val="14"/>
                <w:color w:val="auto"/>
              </w:rPr>
            </w:pPr>
          </w:p>
        </w:tc>
        <w:tc>
          <w:tcPr>
            <w:tcW w:w="800" w:type="dxa"/>
            <w:vAlign w:val="bottom"/>
            <w:tcBorders>
              <w:top w:val="single" w:sz="8" w:color="auto"/>
            </w:tcBorders>
            <w:shd w:val="clear" w:color="auto" w:fill="F7F7F7"/>
          </w:tcPr>
          <w:p>
            <w:pPr>
              <w:spacing w:after="0"/>
              <w:rPr>
                <w:sz w:val="14"/>
                <w:szCs w:val="14"/>
                <w:color w:val="auto"/>
              </w:rPr>
            </w:pPr>
          </w:p>
        </w:tc>
        <w:tc>
          <w:tcPr>
            <w:tcW w:w="300" w:type="dxa"/>
            <w:vAlign w:val="bottom"/>
            <w:tcBorders>
              <w:top w:val="single" w:sz="8" w:color="auto"/>
            </w:tcBorders>
            <w:shd w:val="clear" w:color="auto" w:fill="F7F7F7"/>
          </w:tcPr>
          <w:p>
            <w:pPr>
              <w:spacing w:after="0"/>
              <w:rPr>
                <w:sz w:val="14"/>
                <w:szCs w:val="14"/>
                <w:color w:val="auto"/>
              </w:rPr>
            </w:pPr>
          </w:p>
        </w:tc>
        <w:tc>
          <w:tcPr>
            <w:tcW w:w="220" w:type="dxa"/>
            <w:vAlign w:val="bottom"/>
            <w:tcBorders>
              <w:top w:val="single" w:sz="8" w:color="auto"/>
              <w:right w:val="single" w:sz="8" w:color="auto"/>
            </w:tcBorders>
            <w:shd w:val="clear" w:color="auto" w:fill="F7F7F7"/>
          </w:tcPr>
          <w:p>
            <w:pPr>
              <w:spacing w:after="0"/>
              <w:rPr>
                <w:sz w:val="14"/>
                <w:szCs w:val="14"/>
                <w:color w:val="auto"/>
              </w:rPr>
            </w:pPr>
          </w:p>
        </w:tc>
        <w:tc>
          <w:tcPr>
            <w:tcW w:w="720" w:type="dxa"/>
            <w:vAlign w:val="bottom"/>
            <w:tcBorders>
              <w:top w:val="single" w:sz="8" w:color="auto"/>
            </w:tcBorders>
            <w:vMerge w:val="restart"/>
            <w:shd w:val="clear" w:color="auto" w:fill="F7F7F7"/>
          </w:tcPr>
          <w:p>
            <w:pPr>
              <w:ind w:left="600"/>
              <w:spacing w:after="0"/>
              <w:rPr>
                <w:sz w:val="20"/>
                <w:szCs w:val="20"/>
                <w:color w:val="auto"/>
              </w:rPr>
            </w:pPr>
            <w:r>
              <w:rPr>
                <w:rFonts w:ascii="Arial" w:cs="Arial" w:eastAsia="Arial" w:hAnsi="Arial"/>
                <w:sz w:val="10"/>
                <w:szCs w:val="10"/>
                <w:color w:val="auto"/>
                <w:w w:val="77"/>
              </w:rPr>
              <w:t xml:space="preserve">  </w:t>
            </w:r>
          </w:p>
        </w:tc>
        <w:tc>
          <w:tcPr>
            <w:tcW w:w="440" w:type="dxa"/>
            <w:vAlign w:val="bottom"/>
            <w:tcBorders>
              <w:top w:val="single" w:sz="8" w:color="auto"/>
              <w:right w:val="single" w:sz="8" w:color="auto"/>
            </w:tcBorders>
            <w:vMerge w:val="restart"/>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President and Chief Executive Officer of Regency Centers Corporation</w:t>
            </w:r>
          </w:p>
        </w:tc>
        <w:tc>
          <w:tcPr>
            <w:tcW w:w="72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20" w:type="dxa"/>
            <w:vAlign w:val="bottom"/>
            <w:shd w:val="clear" w:color="auto" w:fill="F7F7F7"/>
          </w:tcPr>
          <w:p>
            <w:pPr>
              <w:spacing w:after="0"/>
              <w:rPr>
                <w:sz w:val="7"/>
                <w:szCs w:val="7"/>
                <w:color w:val="auto"/>
              </w:rPr>
            </w:pPr>
          </w:p>
        </w:tc>
        <w:tc>
          <w:tcPr>
            <w:tcW w:w="120" w:type="dxa"/>
            <w:vAlign w:val="bottom"/>
            <w:tcBorders>
              <w:right w:val="single" w:sz="8" w:color="auto"/>
            </w:tcBorders>
            <w:shd w:val="clear" w:color="auto" w:fill="F7F7F7"/>
          </w:tcPr>
          <w:p>
            <w:pPr>
              <w:spacing w:after="0"/>
              <w:rPr>
                <w:sz w:val="7"/>
                <w:szCs w:val="7"/>
                <w:color w:val="auto"/>
              </w:rPr>
            </w:pPr>
          </w:p>
        </w:tc>
        <w:tc>
          <w:tcPr>
            <w:tcW w:w="900" w:type="dxa"/>
            <w:vAlign w:val="bottom"/>
            <w:shd w:val="clear" w:color="auto" w:fill="F7F7F7"/>
          </w:tcPr>
          <w:p>
            <w:pPr>
              <w:spacing w:after="0"/>
              <w:rPr>
                <w:sz w:val="7"/>
                <w:szCs w:val="7"/>
                <w:color w:val="auto"/>
              </w:rPr>
            </w:pPr>
          </w:p>
        </w:tc>
        <w:tc>
          <w:tcPr>
            <w:tcW w:w="580" w:type="dxa"/>
            <w:vAlign w:val="bottom"/>
            <w:tcBorders>
              <w:right w:val="single" w:sz="8" w:color="auto"/>
            </w:tcBorders>
            <w:shd w:val="clear" w:color="auto" w:fill="F7F7F7"/>
          </w:tcPr>
          <w:p>
            <w:pPr>
              <w:spacing w:after="0"/>
              <w:rPr>
                <w:sz w:val="7"/>
                <w:szCs w:val="7"/>
                <w:color w:val="auto"/>
              </w:rPr>
            </w:pPr>
          </w:p>
        </w:tc>
        <w:tc>
          <w:tcPr>
            <w:tcW w:w="80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220" w:type="dxa"/>
            <w:vAlign w:val="bottom"/>
            <w:tcBorders>
              <w:right w:val="single" w:sz="8" w:color="auto"/>
            </w:tcBorders>
            <w:shd w:val="clear" w:color="auto" w:fill="F7F7F7"/>
          </w:tcPr>
          <w:p>
            <w:pPr>
              <w:spacing w:after="0"/>
              <w:rPr>
                <w:sz w:val="7"/>
                <w:szCs w:val="7"/>
                <w:color w:val="auto"/>
              </w:rPr>
            </w:pPr>
          </w:p>
        </w:tc>
        <w:tc>
          <w:tcPr>
            <w:tcW w:w="720" w:type="dxa"/>
            <w:vAlign w:val="bottom"/>
            <w:vMerge w:val="continue"/>
            <w:shd w:val="clear" w:color="auto" w:fill="F7F7F7"/>
          </w:tcPr>
          <w:p>
            <w:pPr>
              <w:spacing w:after="0"/>
              <w:rPr>
                <w:sz w:val="7"/>
                <w:szCs w:val="7"/>
                <w:color w:val="auto"/>
              </w:rPr>
            </w:pPr>
          </w:p>
        </w:tc>
        <w:tc>
          <w:tcPr>
            <w:tcW w:w="440" w:type="dxa"/>
            <w:vAlign w:val="bottom"/>
            <w:tcBorders>
              <w:right w:val="single" w:sz="8" w:color="auto"/>
            </w:tcBorders>
            <w:vMerge w:val="continue"/>
            <w:shd w:val="clear" w:color="auto" w:fill="F7F7F7"/>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5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20" w:type="dxa"/>
            <w:vAlign w:val="bottom"/>
            <w:tcBorders>
              <w:bottom w:val="single" w:sz="8" w:color="F7F7F7"/>
            </w:tcBorders>
            <w:shd w:val="clear" w:color="auto" w:fill="F7F7F7"/>
          </w:tcPr>
          <w:p>
            <w:pPr>
              <w:spacing w:after="0"/>
              <w:rPr>
                <w:sz w:val="10"/>
                <w:szCs w:val="10"/>
                <w:color w:val="auto"/>
              </w:rPr>
            </w:pPr>
          </w:p>
        </w:tc>
        <w:tc>
          <w:tcPr>
            <w:tcW w:w="120" w:type="dxa"/>
            <w:vAlign w:val="bottom"/>
            <w:tcBorders>
              <w:bottom w:val="single" w:sz="8" w:color="F7F7F7"/>
              <w:right w:val="single" w:sz="8" w:color="auto"/>
            </w:tcBorders>
            <w:shd w:val="clear" w:color="auto" w:fill="F7F7F7"/>
          </w:tcPr>
          <w:p>
            <w:pPr>
              <w:spacing w:after="0"/>
              <w:rPr>
                <w:sz w:val="10"/>
                <w:szCs w:val="10"/>
                <w:color w:val="auto"/>
              </w:rPr>
            </w:pPr>
          </w:p>
        </w:tc>
        <w:tc>
          <w:tcPr>
            <w:tcW w:w="900" w:type="dxa"/>
            <w:vAlign w:val="bottom"/>
            <w:tcBorders>
              <w:bottom w:val="single" w:sz="8" w:color="F7F7F7"/>
            </w:tcBorders>
            <w:shd w:val="clear" w:color="auto" w:fill="F7F7F7"/>
          </w:tcPr>
          <w:p>
            <w:pPr>
              <w:spacing w:after="0"/>
              <w:rPr>
                <w:sz w:val="10"/>
                <w:szCs w:val="10"/>
                <w:color w:val="auto"/>
              </w:rPr>
            </w:pPr>
          </w:p>
        </w:tc>
        <w:tc>
          <w:tcPr>
            <w:tcW w:w="580" w:type="dxa"/>
            <w:vAlign w:val="bottom"/>
            <w:tcBorders>
              <w:bottom w:val="single" w:sz="8" w:color="F7F7F7"/>
              <w:right w:val="single" w:sz="8" w:color="auto"/>
            </w:tcBorders>
            <w:shd w:val="clear" w:color="auto" w:fill="F7F7F7"/>
          </w:tcPr>
          <w:p>
            <w:pPr>
              <w:spacing w:after="0"/>
              <w:rPr>
                <w:sz w:val="10"/>
                <w:szCs w:val="10"/>
                <w:color w:val="auto"/>
              </w:rPr>
            </w:pPr>
          </w:p>
        </w:tc>
        <w:tc>
          <w:tcPr>
            <w:tcW w:w="800" w:type="dxa"/>
            <w:vAlign w:val="bottom"/>
            <w:tcBorders>
              <w:bottom w:val="single" w:sz="8" w:color="F7F7F7"/>
            </w:tcBorders>
            <w:shd w:val="clear" w:color="auto" w:fill="F7F7F7"/>
          </w:tcPr>
          <w:p>
            <w:pPr>
              <w:spacing w:after="0"/>
              <w:rPr>
                <w:sz w:val="10"/>
                <w:szCs w:val="10"/>
                <w:color w:val="auto"/>
              </w:rPr>
            </w:pPr>
          </w:p>
        </w:tc>
        <w:tc>
          <w:tcPr>
            <w:tcW w:w="300" w:type="dxa"/>
            <w:vAlign w:val="bottom"/>
            <w:tcBorders>
              <w:bottom w:val="single" w:sz="8" w:color="F7F7F7"/>
            </w:tcBorders>
            <w:shd w:val="clear" w:color="auto" w:fill="F7F7F7"/>
          </w:tcPr>
          <w:p>
            <w:pPr>
              <w:spacing w:after="0"/>
              <w:rPr>
                <w:sz w:val="10"/>
                <w:szCs w:val="10"/>
                <w:color w:val="auto"/>
              </w:rPr>
            </w:pPr>
          </w:p>
        </w:tc>
        <w:tc>
          <w:tcPr>
            <w:tcW w:w="220" w:type="dxa"/>
            <w:vAlign w:val="bottom"/>
            <w:tcBorders>
              <w:bottom w:val="single" w:sz="8" w:color="F7F7F7"/>
              <w:right w:val="single" w:sz="8" w:color="auto"/>
            </w:tcBorders>
            <w:shd w:val="clear" w:color="auto" w:fill="F7F7F7"/>
          </w:tcPr>
          <w:p>
            <w:pPr>
              <w:spacing w:after="0"/>
              <w:rPr>
                <w:sz w:val="10"/>
                <w:szCs w:val="10"/>
                <w:color w:val="auto"/>
              </w:rPr>
            </w:pPr>
          </w:p>
        </w:tc>
        <w:tc>
          <w:tcPr>
            <w:tcW w:w="720" w:type="dxa"/>
            <w:vAlign w:val="bottom"/>
            <w:tcBorders>
              <w:bottom w:val="single" w:sz="8" w:color="F7F7F7"/>
            </w:tcBorders>
            <w:shd w:val="clear" w:color="auto" w:fill="F7F7F7"/>
          </w:tcPr>
          <w:p>
            <w:pPr>
              <w:spacing w:after="0"/>
              <w:rPr>
                <w:sz w:val="10"/>
                <w:szCs w:val="10"/>
                <w:color w:val="auto"/>
              </w:rPr>
            </w:pPr>
          </w:p>
        </w:tc>
        <w:tc>
          <w:tcPr>
            <w:tcW w:w="440" w:type="dxa"/>
            <w:vAlign w:val="bottom"/>
            <w:tcBorders>
              <w:bottom w:val="single" w:sz="8" w:color="F7F7F7"/>
              <w:right w:val="single" w:sz="8" w:color="auto"/>
            </w:tcBorders>
            <w:shd w:val="clear" w:color="auto" w:fill="F7F7F7"/>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Mark J. Parrell</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59</w:t>
            </w:r>
          </w:p>
        </w:tc>
        <w:tc>
          <w:tcPr>
            <w:tcW w:w="72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color w:val="auto"/>
                <w:w w:val="81"/>
              </w:rPr>
              <w:t>2026 </w:t>
            </w:r>
          </w:p>
        </w:tc>
        <w:tc>
          <w:tcPr>
            <w:tcW w:w="30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620" w:type="dxa"/>
            <w:vAlign w:val="bottom"/>
            <w:tcBorders>
              <w:top w:val="single" w:sz="8" w:color="auto"/>
            </w:tcBorders>
            <w:vMerge w:val="restart"/>
            <w:shd w:val="clear" w:color="auto" w:fill="F7F7F7"/>
          </w:tcPr>
          <w:p>
            <w:pPr>
              <w:ind w:left="480"/>
              <w:spacing w:after="0"/>
              <w:rPr>
                <w:sz w:val="20"/>
                <w:szCs w:val="20"/>
                <w:color w:val="auto"/>
              </w:rPr>
            </w:pPr>
            <w:r>
              <w:rPr>
                <w:rFonts w:ascii="Arial" w:cs="Arial" w:eastAsia="Arial" w:hAnsi="Arial"/>
                <w:sz w:val="13"/>
                <w:szCs w:val="13"/>
                <w:color w:val="auto"/>
                <w:w w:val="71"/>
              </w:rPr>
              <w:t xml:space="preserve">  </w:t>
            </w:r>
          </w:p>
        </w:tc>
        <w:tc>
          <w:tcPr>
            <w:tcW w:w="120" w:type="dxa"/>
            <w:vAlign w:val="bottom"/>
            <w:tcBorders>
              <w:top w:val="single" w:sz="8" w:color="auto"/>
              <w:right w:val="single" w:sz="8" w:color="auto"/>
            </w:tcBorders>
            <w:vMerge w:val="restart"/>
            <w:shd w:val="clear" w:color="auto" w:fill="F7F7F7"/>
          </w:tcPr>
          <w:p>
            <w:pPr>
              <w:jc w:val="right"/>
              <w:spacing w:after="0"/>
              <w:rPr>
                <w:sz w:val="20"/>
                <w:szCs w:val="20"/>
                <w:color w:val="auto"/>
              </w:rPr>
            </w:pPr>
            <w:r>
              <w:rPr>
                <w:rFonts w:ascii="Arial" w:cs="Arial" w:eastAsia="Arial" w:hAnsi="Arial"/>
                <w:sz w:val="13"/>
                <w:szCs w:val="13"/>
                <w:color w:val="auto"/>
              </w:rPr>
              <w:t>  </w:t>
            </w:r>
          </w:p>
        </w:tc>
        <w:tc>
          <w:tcPr>
            <w:tcW w:w="900" w:type="dxa"/>
            <w:vAlign w:val="bottom"/>
            <w:tcBorders>
              <w:top w:val="single" w:sz="8" w:color="auto"/>
            </w:tcBorders>
            <w:shd w:val="clear" w:color="auto" w:fill="F7F7F7"/>
          </w:tcPr>
          <w:p>
            <w:pPr>
              <w:spacing w:after="0"/>
              <w:rPr>
                <w:sz w:val="14"/>
                <w:szCs w:val="14"/>
                <w:color w:val="auto"/>
              </w:rPr>
            </w:pPr>
          </w:p>
        </w:tc>
        <w:tc>
          <w:tcPr>
            <w:tcW w:w="580" w:type="dxa"/>
            <w:vAlign w:val="bottom"/>
            <w:tcBorders>
              <w:top w:val="single" w:sz="8" w:color="auto"/>
              <w:right w:val="single" w:sz="8" w:color="auto"/>
            </w:tcBorders>
            <w:shd w:val="clear" w:color="auto" w:fill="F7F7F7"/>
          </w:tcPr>
          <w:p>
            <w:pPr>
              <w:spacing w:after="0"/>
              <w:rPr>
                <w:sz w:val="14"/>
                <w:szCs w:val="14"/>
                <w:color w:val="auto"/>
              </w:rPr>
            </w:pPr>
          </w:p>
        </w:tc>
        <w:tc>
          <w:tcPr>
            <w:tcW w:w="800" w:type="dxa"/>
            <w:vAlign w:val="bottom"/>
            <w:tcBorders>
              <w:top w:val="single" w:sz="8" w:color="auto"/>
            </w:tcBorders>
            <w:shd w:val="clear" w:color="auto" w:fill="F7F7F7"/>
          </w:tcPr>
          <w:p>
            <w:pPr>
              <w:spacing w:after="0"/>
              <w:rPr>
                <w:sz w:val="14"/>
                <w:szCs w:val="14"/>
                <w:color w:val="auto"/>
              </w:rPr>
            </w:pPr>
          </w:p>
        </w:tc>
        <w:tc>
          <w:tcPr>
            <w:tcW w:w="300" w:type="dxa"/>
            <w:vAlign w:val="bottom"/>
            <w:tcBorders>
              <w:top w:val="single" w:sz="8" w:color="auto"/>
            </w:tcBorders>
            <w:shd w:val="clear" w:color="auto" w:fill="F7F7F7"/>
          </w:tcPr>
          <w:p>
            <w:pPr>
              <w:spacing w:after="0"/>
              <w:rPr>
                <w:sz w:val="14"/>
                <w:szCs w:val="14"/>
                <w:color w:val="auto"/>
              </w:rPr>
            </w:pPr>
          </w:p>
        </w:tc>
        <w:tc>
          <w:tcPr>
            <w:tcW w:w="220" w:type="dxa"/>
            <w:vAlign w:val="bottom"/>
            <w:tcBorders>
              <w:top w:val="single" w:sz="8" w:color="auto"/>
              <w:right w:val="single" w:sz="8" w:color="auto"/>
            </w:tcBorders>
            <w:shd w:val="clear" w:color="auto" w:fill="F7F7F7"/>
          </w:tcPr>
          <w:p>
            <w:pPr>
              <w:spacing w:after="0"/>
              <w:rPr>
                <w:sz w:val="14"/>
                <w:szCs w:val="14"/>
                <w:color w:val="auto"/>
              </w:rPr>
            </w:pPr>
          </w:p>
        </w:tc>
        <w:tc>
          <w:tcPr>
            <w:tcW w:w="720" w:type="dxa"/>
            <w:vAlign w:val="bottom"/>
            <w:tcBorders>
              <w:top w:val="single" w:sz="8" w:color="auto"/>
            </w:tcBorders>
            <w:vMerge w:val="restart"/>
            <w:shd w:val="clear" w:color="auto" w:fill="F7F7F7"/>
          </w:tcPr>
          <w:p>
            <w:pPr>
              <w:ind w:left="600"/>
              <w:spacing w:after="0"/>
              <w:rPr>
                <w:sz w:val="20"/>
                <w:szCs w:val="20"/>
                <w:color w:val="auto"/>
              </w:rPr>
            </w:pPr>
            <w:r>
              <w:rPr>
                <w:rFonts w:ascii="Arial" w:cs="Arial" w:eastAsia="Arial" w:hAnsi="Arial"/>
                <w:sz w:val="10"/>
                <w:szCs w:val="10"/>
                <w:color w:val="auto"/>
                <w:w w:val="77"/>
              </w:rPr>
              <w:t xml:space="preserve">  </w:t>
            </w:r>
          </w:p>
        </w:tc>
        <w:tc>
          <w:tcPr>
            <w:tcW w:w="440" w:type="dxa"/>
            <w:vAlign w:val="bottom"/>
            <w:tcBorders>
              <w:top w:val="single" w:sz="8" w:color="auto"/>
              <w:right w:val="single" w:sz="8" w:color="auto"/>
            </w:tcBorders>
            <w:vMerge w:val="restart"/>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President and Chief Executive Officer of Equity Residential</w:t>
            </w:r>
          </w:p>
        </w:tc>
        <w:tc>
          <w:tcPr>
            <w:tcW w:w="720" w:type="dxa"/>
            <w:vAlign w:val="bottom"/>
            <w:tcBorders>
              <w:right w:val="single" w:sz="8" w:color="auto"/>
            </w:tcBorders>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tcBorders>
              <w:right w:val="single" w:sz="8" w:color="auto"/>
            </w:tcBorders>
            <w:vMerge w:val="continue"/>
          </w:tcPr>
          <w:p>
            <w:pPr>
              <w:spacing w:after="0"/>
              <w:rPr>
                <w:sz w:val="9"/>
                <w:szCs w:val="9"/>
                <w:color w:val="auto"/>
              </w:rPr>
            </w:pPr>
          </w:p>
        </w:tc>
        <w:tc>
          <w:tcPr>
            <w:tcW w:w="620" w:type="dxa"/>
            <w:vAlign w:val="bottom"/>
            <w:vMerge w:val="continue"/>
            <w:shd w:val="clear" w:color="auto" w:fill="F7F7F7"/>
          </w:tcPr>
          <w:p>
            <w:pPr>
              <w:spacing w:after="0"/>
              <w:rPr>
                <w:sz w:val="9"/>
                <w:szCs w:val="9"/>
                <w:color w:val="auto"/>
              </w:rPr>
            </w:pPr>
          </w:p>
        </w:tc>
        <w:tc>
          <w:tcPr>
            <w:tcW w:w="120" w:type="dxa"/>
            <w:vAlign w:val="bottom"/>
            <w:tcBorders>
              <w:right w:val="single" w:sz="8" w:color="auto"/>
            </w:tcBorders>
            <w:vMerge w:val="continue"/>
            <w:shd w:val="clear" w:color="auto" w:fill="F7F7F7"/>
          </w:tcPr>
          <w:p>
            <w:pPr>
              <w:spacing w:after="0"/>
              <w:rPr>
                <w:sz w:val="9"/>
                <w:szCs w:val="9"/>
                <w:color w:val="auto"/>
              </w:rPr>
            </w:pPr>
          </w:p>
        </w:tc>
        <w:tc>
          <w:tcPr>
            <w:tcW w:w="900" w:type="dxa"/>
            <w:vAlign w:val="bottom"/>
            <w:shd w:val="clear" w:color="auto" w:fill="F7F7F7"/>
          </w:tcPr>
          <w:p>
            <w:pPr>
              <w:spacing w:after="0"/>
              <w:rPr>
                <w:sz w:val="9"/>
                <w:szCs w:val="9"/>
                <w:color w:val="auto"/>
              </w:rPr>
            </w:pPr>
          </w:p>
        </w:tc>
        <w:tc>
          <w:tcPr>
            <w:tcW w:w="580" w:type="dxa"/>
            <w:vAlign w:val="bottom"/>
            <w:tcBorders>
              <w:right w:val="single" w:sz="8" w:color="auto"/>
            </w:tcBorders>
            <w:shd w:val="clear" w:color="auto" w:fill="F7F7F7"/>
          </w:tcPr>
          <w:p>
            <w:pPr>
              <w:spacing w:after="0"/>
              <w:rPr>
                <w:sz w:val="9"/>
                <w:szCs w:val="9"/>
                <w:color w:val="auto"/>
              </w:rPr>
            </w:pPr>
          </w:p>
        </w:tc>
        <w:tc>
          <w:tcPr>
            <w:tcW w:w="800" w:type="dxa"/>
            <w:vAlign w:val="bottom"/>
            <w:shd w:val="clear" w:color="auto" w:fill="F7F7F7"/>
          </w:tcPr>
          <w:p>
            <w:pPr>
              <w:spacing w:after="0"/>
              <w:rPr>
                <w:sz w:val="9"/>
                <w:szCs w:val="9"/>
                <w:color w:val="auto"/>
              </w:rPr>
            </w:pPr>
          </w:p>
        </w:tc>
        <w:tc>
          <w:tcPr>
            <w:tcW w:w="300" w:type="dxa"/>
            <w:vAlign w:val="bottom"/>
            <w:shd w:val="clear" w:color="auto" w:fill="F7F7F7"/>
          </w:tcPr>
          <w:p>
            <w:pPr>
              <w:spacing w:after="0"/>
              <w:rPr>
                <w:sz w:val="9"/>
                <w:szCs w:val="9"/>
                <w:color w:val="auto"/>
              </w:rPr>
            </w:pPr>
          </w:p>
        </w:tc>
        <w:tc>
          <w:tcPr>
            <w:tcW w:w="220" w:type="dxa"/>
            <w:vAlign w:val="bottom"/>
            <w:tcBorders>
              <w:right w:val="single" w:sz="8" w:color="auto"/>
            </w:tcBorders>
            <w:shd w:val="clear" w:color="auto" w:fill="F7F7F7"/>
          </w:tcPr>
          <w:p>
            <w:pPr>
              <w:spacing w:after="0"/>
              <w:rPr>
                <w:sz w:val="9"/>
                <w:szCs w:val="9"/>
                <w:color w:val="auto"/>
              </w:rPr>
            </w:pPr>
          </w:p>
        </w:tc>
        <w:tc>
          <w:tcPr>
            <w:tcW w:w="720" w:type="dxa"/>
            <w:vAlign w:val="bottom"/>
            <w:vMerge w:val="continue"/>
            <w:shd w:val="clear" w:color="auto" w:fill="F7F7F7"/>
          </w:tcPr>
          <w:p>
            <w:pPr>
              <w:spacing w:after="0"/>
              <w:rPr>
                <w:sz w:val="9"/>
                <w:szCs w:val="9"/>
                <w:color w:val="auto"/>
              </w:rPr>
            </w:pPr>
          </w:p>
        </w:tc>
        <w:tc>
          <w:tcPr>
            <w:tcW w:w="440" w:type="dxa"/>
            <w:vAlign w:val="bottom"/>
            <w:tcBorders>
              <w:right w:val="single" w:sz="8" w:color="auto"/>
            </w:tcBorders>
            <w:vMerge w:val="continue"/>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620" w:type="dxa"/>
            <w:vAlign w:val="bottom"/>
            <w:tcBorders>
              <w:bottom w:val="single" w:sz="8" w:color="F7F7F7"/>
            </w:tcBorders>
            <w:shd w:val="clear" w:color="auto" w:fill="F7F7F7"/>
          </w:tcPr>
          <w:p>
            <w:pPr>
              <w:spacing w:after="0"/>
              <w:rPr>
                <w:sz w:val="8"/>
                <w:szCs w:val="8"/>
                <w:color w:val="auto"/>
              </w:rPr>
            </w:pPr>
          </w:p>
        </w:tc>
        <w:tc>
          <w:tcPr>
            <w:tcW w:w="120" w:type="dxa"/>
            <w:vAlign w:val="bottom"/>
            <w:tcBorders>
              <w:bottom w:val="single" w:sz="8" w:color="F7F7F7"/>
              <w:right w:val="single" w:sz="8" w:color="auto"/>
            </w:tcBorders>
            <w:shd w:val="clear" w:color="auto" w:fill="F7F7F7"/>
          </w:tcPr>
          <w:p>
            <w:pPr>
              <w:spacing w:after="0"/>
              <w:rPr>
                <w:sz w:val="8"/>
                <w:szCs w:val="8"/>
                <w:color w:val="auto"/>
              </w:rPr>
            </w:pPr>
          </w:p>
        </w:tc>
        <w:tc>
          <w:tcPr>
            <w:tcW w:w="900" w:type="dxa"/>
            <w:vAlign w:val="bottom"/>
            <w:tcBorders>
              <w:bottom w:val="single" w:sz="8" w:color="F7F7F7"/>
            </w:tcBorders>
            <w:shd w:val="clear" w:color="auto" w:fill="F7F7F7"/>
          </w:tcPr>
          <w:p>
            <w:pPr>
              <w:spacing w:after="0"/>
              <w:rPr>
                <w:sz w:val="8"/>
                <w:szCs w:val="8"/>
                <w:color w:val="auto"/>
              </w:rPr>
            </w:pPr>
          </w:p>
        </w:tc>
        <w:tc>
          <w:tcPr>
            <w:tcW w:w="580" w:type="dxa"/>
            <w:vAlign w:val="bottom"/>
            <w:tcBorders>
              <w:bottom w:val="single" w:sz="8" w:color="F7F7F7"/>
              <w:right w:val="single" w:sz="8" w:color="auto"/>
            </w:tcBorders>
            <w:shd w:val="clear" w:color="auto" w:fill="F7F7F7"/>
          </w:tcPr>
          <w:p>
            <w:pPr>
              <w:spacing w:after="0"/>
              <w:rPr>
                <w:sz w:val="8"/>
                <w:szCs w:val="8"/>
                <w:color w:val="auto"/>
              </w:rPr>
            </w:pPr>
          </w:p>
        </w:tc>
        <w:tc>
          <w:tcPr>
            <w:tcW w:w="800" w:type="dxa"/>
            <w:vAlign w:val="bottom"/>
            <w:tcBorders>
              <w:bottom w:val="single" w:sz="8" w:color="F7F7F7"/>
            </w:tcBorders>
            <w:shd w:val="clear" w:color="auto" w:fill="F7F7F7"/>
          </w:tcPr>
          <w:p>
            <w:pPr>
              <w:spacing w:after="0"/>
              <w:rPr>
                <w:sz w:val="8"/>
                <w:szCs w:val="8"/>
                <w:color w:val="auto"/>
              </w:rPr>
            </w:pPr>
          </w:p>
        </w:tc>
        <w:tc>
          <w:tcPr>
            <w:tcW w:w="300" w:type="dxa"/>
            <w:vAlign w:val="bottom"/>
            <w:tcBorders>
              <w:bottom w:val="single" w:sz="8" w:color="F7F7F7"/>
            </w:tcBorders>
            <w:shd w:val="clear" w:color="auto" w:fill="F7F7F7"/>
          </w:tcPr>
          <w:p>
            <w:pPr>
              <w:spacing w:after="0"/>
              <w:rPr>
                <w:sz w:val="8"/>
                <w:szCs w:val="8"/>
                <w:color w:val="auto"/>
              </w:rPr>
            </w:pPr>
          </w:p>
        </w:tc>
        <w:tc>
          <w:tcPr>
            <w:tcW w:w="220" w:type="dxa"/>
            <w:vAlign w:val="bottom"/>
            <w:tcBorders>
              <w:bottom w:val="single" w:sz="8" w:color="F7F7F7"/>
              <w:right w:val="single" w:sz="8" w:color="auto"/>
            </w:tcBorders>
            <w:shd w:val="clear" w:color="auto" w:fill="F7F7F7"/>
          </w:tcPr>
          <w:p>
            <w:pPr>
              <w:spacing w:after="0"/>
              <w:rPr>
                <w:sz w:val="8"/>
                <w:szCs w:val="8"/>
                <w:color w:val="auto"/>
              </w:rPr>
            </w:pPr>
          </w:p>
        </w:tc>
        <w:tc>
          <w:tcPr>
            <w:tcW w:w="720" w:type="dxa"/>
            <w:vAlign w:val="bottom"/>
            <w:tcBorders>
              <w:bottom w:val="single" w:sz="8" w:color="F7F7F7"/>
            </w:tcBorders>
            <w:shd w:val="clear" w:color="auto" w:fill="F7F7F7"/>
          </w:tcPr>
          <w:p>
            <w:pPr>
              <w:spacing w:after="0"/>
              <w:rPr>
                <w:sz w:val="8"/>
                <w:szCs w:val="8"/>
                <w:color w:val="auto"/>
              </w:rPr>
            </w:pPr>
          </w:p>
        </w:tc>
        <w:tc>
          <w:tcPr>
            <w:tcW w:w="440" w:type="dxa"/>
            <w:vAlign w:val="bottom"/>
            <w:tcBorders>
              <w:bottom w:val="single" w:sz="8" w:color="F7F7F7"/>
              <w:right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James H. Simmons, III</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59</w:t>
            </w:r>
          </w:p>
        </w:tc>
        <w:tc>
          <w:tcPr>
            <w:tcW w:w="72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color w:val="auto"/>
                <w:w w:val="81"/>
              </w:rPr>
              <w:t>2021 </w:t>
            </w:r>
          </w:p>
        </w:tc>
        <w:tc>
          <w:tcPr>
            <w:tcW w:w="30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  </w:t>
            </w:r>
          </w:p>
        </w:tc>
        <w:tc>
          <w:tcPr>
            <w:tcW w:w="620" w:type="dxa"/>
            <w:vAlign w:val="bottom"/>
            <w:tcBorders>
              <w:top w:val="single" w:sz="8" w:color="auto"/>
            </w:tcBorders>
            <w:shd w:val="clear" w:color="auto" w:fill="F7F7F7"/>
          </w:tcPr>
          <w:p>
            <w:pPr>
              <w:spacing w:after="0"/>
              <w:rPr>
                <w:sz w:val="14"/>
                <w:szCs w:val="14"/>
                <w:color w:val="auto"/>
              </w:rPr>
            </w:pPr>
          </w:p>
        </w:tc>
        <w:tc>
          <w:tcPr>
            <w:tcW w:w="120" w:type="dxa"/>
            <w:vAlign w:val="bottom"/>
            <w:tcBorders>
              <w:top w:val="single" w:sz="8" w:color="auto"/>
              <w:right w:val="single" w:sz="8" w:color="auto"/>
            </w:tcBorders>
            <w:shd w:val="clear" w:color="auto" w:fill="F7F7F7"/>
          </w:tcPr>
          <w:p>
            <w:pPr>
              <w:spacing w:after="0"/>
              <w:rPr>
                <w:sz w:val="14"/>
                <w:szCs w:val="14"/>
                <w:color w:val="auto"/>
              </w:rPr>
            </w:pPr>
          </w:p>
        </w:tc>
        <w:tc>
          <w:tcPr>
            <w:tcW w:w="900" w:type="dxa"/>
            <w:vAlign w:val="bottom"/>
            <w:tcBorders>
              <w:top w:val="single" w:sz="8" w:color="auto"/>
            </w:tcBorders>
            <w:vMerge w:val="restart"/>
            <w:shd w:val="clear" w:color="auto" w:fill="F7F7F7"/>
          </w:tcPr>
          <w:p>
            <w:pPr>
              <w:jc w:val="center"/>
              <w:ind w:left="675"/>
              <w:spacing w:after="0"/>
              <w:rPr>
                <w:sz w:val="20"/>
                <w:szCs w:val="20"/>
                <w:color w:val="auto"/>
              </w:rPr>
            </w:pPr>
            <w:r>
              <w:rPr>
                <w:rFonts w:ascii="Arial" w:cs="Arial" w:eastAsia="Arial" w:hAnsi="Arial"/>
                <w:sz w:val="6"/>
                <w:szCs w:val="6"/>
                <w:color w:val="auto"/>
                <w:w w:val="77"/>
              </w:rPr>
              <w:t xml:space="preserve">  </w:t>
            </w:r>
          </w:p>
        </w:tc>
        <w:tc>
          <w:tcPr>
            <w:tcW w:w="580" w:type="dxa"/>
            <w:vAlign w:val="bottom"/>
            <w:tcBorders>
              <w:top w:val="single" w:sz="8" w:color="auto"/>
              <w:right w:val="single" w:sz="8" w:color="auto"/>
            </w:tcBorders>
            <w:vMerge w:val="restart"/>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800" w:type="dxa"/>
            <w:vAlign w:val="bottom"/>
            <w:tcBorders>
              <w:top w:val="single" w:sz="8" w:color="auto"/>
            </w:tcBorders>
            <w:shd w:val="clear" w:color="auto" w:fill="F7F7F7"/>
          </w:tcPr>
          <w:p>
            <w:pPr>
              <w:spacing w:after="0"/>
              <w:rPr>
                <w:sz w:val="14"/>
                <w:szCs w:val="14"/>
                <w:color w:val="auto"/>
              </w:rPr>
            </w:pPr>
          </w:p>
        </w:tc>
        <w:tc>
          <w:tcPr>
            <w:tcW w:w="300" w:type="dxa"/>
            <w:vAlign w:val="bottom"/>
            <w:tcBorders>
              <w:top w:val="single" w:sz="8" w:color="auto"/>
            </w:tcBorders>
            <w:shd w:val="clear" w:color="auto" w:fill="F7F7F7"/>
          </w:tcPr>
          <w:p>
            <w:pPr>
              <w:spacing w:after="0"/>
              <w:rPr>
                <w:sz w:val="14"/>
                <w:szCs w:val="14"/>
                <w:color w:val="auto"/>
              </w:rPr>
            </w:pPr>
          </w:p>
        </w:tc>
        <w:tc>
          <w:tcPr>
            <w:tcW w:w="220" w:type="dxa"/>
            <w:vAlign w:val="bottom"/>
            <w:tcBorders>
              <w:top w:val="single" w:sz="8" w:color="auto"/>
              <w:right w:val="single" w:sz="8" w:color="auto"/>
            </w:tcBorders>
            <w:shd w:val="clear" w:color="auto" w:fill="F7F7F7"/>
          </w:tcPr>
          <w:p>
            <w:pPr>
              <w:spacing w:after="0"/>
              <w:rPr>
                <w:sz w:val="14"/>
                <w:szCs w:val="14"/>
                <w:color w:val="auto"/>
              </w:rPr>
            </w:pPr>
          </w:p>
        </w:tc>
        <w:tc>
          <w:tcPr>
            <w:tcW w:w="720" w:type="dxa"/>
            <w:vAlign w:val="bottom"/>
            <w:tcBorders>
              <w:top w:val="single" w:sz="8" w:color="auto"/>
            </w:tcBorders>
            <w:vMerge w:val="restart"/>
            <w:shd w:val="clear" w:color="auto" w:fill="F7F7F7"/>
          </w:tcPr>
          <w:p>
            <w:pPr>
              <w:ind w:left="600"/>
              <w:spacing w:after="0"/>
              <w:rPr>
                <w:sz w:val="20"/>
                <w:szCs w:val="20"/>
                <w:color w:val="auto"/>
              </w:rPr>
            </w:pPr>
            <w:r>
              <w:rPr>
                <w:rFonts w:ascii="Arial" w:cs="Arial" w:eastAsia="Arial" w:hAnsi="Arial"/>
                <w:sz w:val="10"/>
                <w:szCs w:val="10"/>
                <w:color w:val="auto"/>
                <w:w w:val="77"/>
              </w:rPr>
              <w:t xml:space="preserve">  </w:t>
            </w:r>
          </w:p>
        </w:tc>
        <w:tc>
          <w:tcPr>
            <w:tcW w:w="440" w:type="dxa"/>
            <w:vAlign w:val="bottom"/>
            <w:tcBorders>
              <w:top w:val="single" w:sz="8" w:color="auto"/>
              <w:right w:val="single" w:sz="8" w:color="auto"/>
            </w:tcBorders>
            <w:vMerge w:val="restart"/>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Chief Executive Officer and Founding Partner of Asland Capital Partners</w:t>
            </w:r>
          </w:p>
        </w:tc>
        <w:tc>
          <w:tcPr>
            <w:tcW w:w="72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620" w:type="dxa"/>
            <w:vAlign w:val="bottom"/>
            <w:shd w:val="clear" w:color="auto" w:fill="F7F7F7"/>
          </w:tcPr>
          <w:p>
            <w:pPr>
              <w:spacing w:after="0"/>
              <w:rPr>
                <w:sz w:val="7"/>
                <w:szCs w:val="7"/>
                <w:color w:val="auto"/>
              </w:rPr>
            </w:pPr>
          </w:p>
        </w:tc>
        <w:tc>
          <w:tcPr>
            <w:tcW w:w="120" w:type="dxa"/>
            <w:vAlign w:val="bottom"/>
            <w:tcBorders>
              <w:right w:val="single" w:sz="8" w:color="auto"/>
            </w:tcBorders>
            <w:shd w:val="clear" w:color="auto" w:fill="F7F7F7"/>
          </w:tcPr>
          <w:p>
            <w:pPr>
              <w:spacing w:after="0"/>
              <w:rPr>
                <w:sz w:val="7"/>
                <w:szCs w:val="7"/>
                <w:color w:val="auto"/>
              </w:rPr>
            </w:pPr>
          </w:p>
        </w:tc>
        <w:tc>
          <w:tcPr>
            <w:tcW w:w="900" w:type="dxa"/>
            <w:vAlign w:val="bottom"/>
            <w:vMerge w:val="continue"/>
            <w:shd w:val="clear" w:color="auto" w:fill="F7F7F7"/>
          </w:tcPr>
          <w:p>
            <w:pPr>
              <w:spacing w:after="0"/>
              <w:rPr>
                <w:sz w:val="7"/>
                <w:szCs w:val="7"/>
                <w:color w:val="auto"/>
              </w:rPr>
            </w:pPr>
          </w:p>
        </w:tc>
        <w:tc>
          <w:tcPr>
            <w:tcW w:w="580" w:type="dxa"/>
            <w:vAlign w:val="bottom"/>
            <w:tcBorders>
              <w:right w:val="single" w:sz="8" w:color="auto"/>
            </w:tcBorders>
            <w:vMerge w:val="continue"/>
            <w:shd w:val="clear" w:color="auto" w:fill="F7F7F7"/>
          </w:tcPr>
          <w:p>
            <w:pPr>
              <w:spacing w:after="0"/>
              <w:rPr>
                <w:sz w:val="7"/>
                <w:szCs w:val="7"/>
                <w:color w:val="auto"/>
              </w:rPr>
            </w:pPr>
          </w:p>
        </w:tc>
        <w:tc>
          <w:tcPr>
            <w:tcW w:w="800" w:type="dxa"/>
            <w:vAlign w:val="bottom"/>
            <w:shd w:val="clear" w:color="auto" w:fill="F7F7F7"/>
          </w:tcPr>
          <w:p>
            <w:pPr>
              <w:spacing w:after="0"/>
              <w:rPr>
                <w:sz w:val="7"/>
                <w:szCs w:val="7"/>
                <w:color w:val="auto"/>
              </w:rPr>
            </w:pPr>
          </w:p>
        </w:tc>
        <w:tc>
          <w:tcPr>
            <w:tcW w:w="300" w:type="dxa"/>
            <w:vAlign w:val="bottom"/>
            <w:shd w:val="clear" w:color="auto" w:fill="F7F7F7"/>
          </w:tcPr>
          <w:p>
            <w:pPr>
              <w:spacing w:after="0"/>
              <w:rPr>
                <w:sz w:val="7"/>
                <w:szCs w:val="7"/>
                <w:color w:val="auto"/>
              </w:rPr>
            </w:pPr>
          </w:p>
        </w:tc>
        <w:tc>
          <w:tcPr>
            <w:tcW w:w="220" w:type="dxa"/>
            <w:vAlign w:val="bottom"/>
            <w:tcBorders>
              <w:right w:val="single" w:sz="8" w:color="auto"/>
            </w:tcBorders>
            <w:shd w:val="clear" w:color="auto" w:fill="F7F7F7"/>
          </w:tcPr>
          <w:p>
            <w:pPr>
              <w:spacing w:after="0"/>
              <w:rPr>
                <w:sz w:val="7"/>
                <w:szCs w:val="7"/>
                <w:color w:val="auto"/>
              </w:rPr>
            </w:pPr>
          </w:p>
        </w:tc>
        <w:tc>
          <w:tcPr>
            <w:tcW w:w="720" w:type="dxa"/>
            <w:vAlign w:val="bottom"/>
            <w:vMerge w:val="continue"/>
            <w:shd w:val="clear" w:color="auto" w:fill="F7F7F7"/>
          </w:tcPr>
          <w:p>
            <w:pPr>
              <w:spacing w:after="0"/>
              <w:rPr>
                <w:sz w:val="7"/>
                <w:szCs w:val="7"/>
                <w:color w:val="auto"/>
              </w:rPr>
            </w:pPr>
          </w:p>
        </w:tc>
        <w:tc>
          <w:tcPr>
            <w:tcW w:w="440" w:type="dxa"/>
            <w:vAlign w:val="bottom"/>
            <w:tcBorders>
              <w:right w:val="single" w:sz="8" w:color="auto"/>
            </w:tcBorders>
            <w:vMerge w:val="continue"/>
            <w:shd w:val="clear" w:color="auto" w:fill="F7F7F7"/>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5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20" w:type="dxa"/>
            <w:vAlign w:val="bottom"/>
            <w:tcBorders>
              <w:bottom w:val="single" w:sz="8" w:color="F7F7F7"/>
            </w:tcBorders>
            <w:shd w:val="clear" w:color="auto" w:fill="F7F7F7"/>
          </w:tcPr>
          <w:p>
            <w:pPr>
              <w:spacing w:after="0"/>
              <w:rPr>
                <w:sz w:val="10"/>
                <w:szCs w:val="10"/>
                <w:color w:val="auto"/>
              </w:rPr>
            </w:pPr>
          </w:p>
        </w:tc>
        <w:tc>
          <w:tcPr>
            <w:tcW w:w="120" w:type="dxa"/>
            <w:vAlign w:val="bottom"/>
            <w:tcBorders>
              <w:bottom w:val="single" w:sz="8" w:color="F7F7F7"/>
              <w:right w:val="single" w:sz="8" w:color="auto"/>
            </w:tcBorders>
            <w:shd w:val="clear" w:color="auto" w:fill="F7F7F7"/>
          </w:tcPr>
          <w:p>
            <w:pPr>
              <w:spacing w:after="0"/>
              <w:rPr>
                <w:sz w:val="10"/>
                <w:szCs w:val="10"/>
                <w:color w:val="auto"/>
              </w:rPr>
            </w:pPr>
          </w:p>
        </w:tc>
        <w:tc>
          <w:tcPr>
            <w:tcW w:w="900" w:type="dxa"/>
            <w:vAlign w:val="bottom"/>
            <w:tcBorders>
              <w:bottom w:val="single" w:sz="8" w:color="F7F7F7"/>
            </w:tcBorders>
            <w:shd w:val="clear" w:color="auto" w:fill="F7F7F7"/>
          </w:tcPr>
          <w:p>
            <w:pPr>
              <w:spacing w:after="0"/>
              <w:rPr>
                <w:sz w:val="10"/>
                <w:szCs w:val="10"/>
                <w:color w:val="auto"/>
              </w:rPr>
            </w:pPr>
          </w:p>
        </w:tc>
        <w:tc>
          <w:tcPr>
            <w:tcW w:w="580" w:type="dxa"/>
            <w:vAlign w:val="bottom"/>
            <w:tcBorders>
              <w:bottom w:val="single" w:sz="8" w:color="F7F7F7"/>
              <w:right w:val="single" w:sz="8" w:color="auto"/>
            </w:tcBorders>
            <w:shd w:val="clear" w:color="auto" w:fill="F7F7F7"/>
          </w:tcPr>
          <w:p>
            <w:pPr>
              <w:spacing w:after="0"/>
              <w:rPr>
                <w:sz w:val="10"/>
                <w:szCs w:val="10"/>
                <w:color w:val="auto"/>
              </w:rPr>
            </w:pPr>
          </w:p>
        </w:tc>
        <w:tc>
          <w:tcPr>
            <w:tcW w:w="800" w:type="dxa"/>
            <w:vAlign w:val="bottom"/>
            <w:tcBorders>
              <w:bottom w:val="single" w:sz="8" w:color="F7F7F7"/>
            </w:tcBorders>
            <w:shd w:val="clear" w:color="auto" w:fill="F7F7F7"/>
          </w:tcPr>
          <w:p>
            <w:pPr>
              <w:spacing w:after="0"/>
              <w:rPr>
                <w:sz w:val="10"/>
                <w:szCs w:val="10"/>
                <w:color w:val="auto"/>
              </w:rPr>
            </w:pPr>
          </w:p>
        </w:tc>
        <w:tc>
          <w:tcPr>
            <w:tcW w:w="300" w:type="dxa"/>
            <w:vAlign w:val="bottom"/>
            <w:tcBorders>
              <w:bottom w:val="single" w:sz="8" w:color="F7F7F7"/>
            </w:tcBorders>
            <w:shd w:val="clear" w:color="auto" w:fill="F7F7F7"/>
          </w:tcPr>
          <w:p>
            <w:pPr>
              <w:spacing w:after="0"/>
              <w:rPr>
                <w:sz w:val="10"/>
                <w:szCs w:val="10"/>
                <w:color w:val="auto"/>
              </w:rPr>
            </w:pPr>
          </w:p>
        </w:tc>
        <w:tc>
          <w:tcPr>
            <w:tcW w:w="220" w:type="dxa"/>
            <w:vAlign w:val="bottom"/>
            <w:tcBorders>
              <w:bottom w:val="single" w:sz="8" w:color="F7F7F7"/>
              <w:right w:val="single" w:sz="8" w:color="auto"/>
            </w:tcBorders>
            <w:shd w:val="clear" w:color="auto" w:fill="F7F7F7"/>
          </w:tcPr>
          <w:p>
            <w:pPr>
              <w:spacing w:after="0"/>
              <w:rPr>
                <w:sz w:val="10"/>
                <w:szCs w:val="10"/>
                <w:color w:val="auto"/>
              </w:rPr>
            </w:pPr>
          </w:p>
        </w:tc>
        <w:tc>
          <w:tcPr>
            <w:tcW w:w="720" w:type="dxa"/>
            <w:vAlign w:val="bottom"/>
            <w:tcBorders>
              <w:bottom w:val="single" w:sz="8" w:color="F7F7F7"/>
            </w:tcBorders>
            <w:shd w:val="clear" w:color="auto" w:fill="F7F7F7"/>
          </w:tcPr>
          <w:p>
            <w:pPr>
              <w:spacing w:after="0"/>
              <w:rPr>
                <w:sz w:val="10"/>
                <w:szCs w:val="10"/>
                <w:color w:val="auto"/>
              </w:rPr>
            </w:pPr>
          </w:p>
        </w:tc>
        <w:tc>
          <w:tcPr>
            <w:tcW w:w="440" w:type="dxa"/>
            <w:vAlign w:val="bottom"/>
            <w:tcBorders>
              <w:bottom w:val="single" w:sz="8" w:color="F7F7F7"/>
              <w:right w:val="single" w:sz="8" w:color="auto"/>
            </w:tcBorders>
            <w:shd w:val="clear" w:color="auto" w:fill="F7F7F7"/>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4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Martin E. Stein, Jr.</w:t>
            </w:r>
          </w:p>
        </w:tc>
        <w:tc>
          <w:tcPr>
            <w:tcW w:w="720" w:type="dxa"/>
            <w:vAlign w:val="bottom"/>
            <w:tcBorders>
              <w:top w:val="single" w:sz="8" w:color="auto"/>
              <w:right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Borders>
              <w:top w:val="single" w:sz="8" w:color="auto"/>
              <w:right w:val="single" w:sz="8" w:color="auto"/>
            </w:tcBorders>
          </w:tcPr>
          <w:p>
            <w:pPr>
              <w:spacing w:after="0"/>
              <w:rPr>
                <w:sz w:val="14"/>
                <w:szCs w:val="14"/>
                <w:color w:val="auto"/>
              </w:rPr>
            </w:pPr>
          </w:p>
        </w:tc>
        <w:tc>
          <w:tcPr>
            <w:tcW w:w="620" w:type="dxa"/>
            <w:vAlign w:val="bottom"/>
            <w:tcBorders>
              <w:top w:val="single" w:sz="8" w:color="auto"/>
            </w:tcBorders>
            <w:shd w:val="clear" w:color="auto" w:fill="F7F7F7"/>
          </w:tcPr>
          <w:p>
            <w:pPr>
              <w:spacing w:after="0"/>
              <w:rPr>
                <w:sz w:val="14"/>
                <w:szCs w:val="14"/>
                <w:color w:val="auto"/>
              </w:rPr>
            </w:pPr>
          </w:p>
        </w:tc>
        <w:tc>
          <w:tcPr>
            <w:tcW w:w="120" w:type="dxa"/>
            <w:vAlign w:val="bottom"/>
            <w:tcBorders>
              <w:top w:val="single" w:sz="8" w:color="auto"/>
              <w:right w:val="single" w:sz="8" w:color="auto"/>
            </w:tcBorders>
            <w:shd w:val="clear" w:color="auto" w:fill="F7F7F7"/>
          </w:tcPr>
          <w:p>
            <w:pPr>
              <w:spacing w:after="0"/>
              <w:rPr>
                <w:sz w:val="14"/>
                <w:szCs w:val="14"/>
                <w:color w:val="auto"/>
              </w:rPr>
            </w:pPr>
          </w:p>
        </w:tc>
        <w:tc>
          <w:tcPr>
            <w:tcW w:w="900" w:type="dxa"/>
            <w:vAlign w:val="bottom"/>
            <w:tcBorders>
              <w:top w:val="single" w:sz="8" w:color="auto"/>
            </w:tcBorders>
            <w:shd w:val="clear" w:color="auto" w:fill="F7F7F7"/>
          </w:tcPr>
          <w:p>
            <w:pPr>
              <w:spacing w:after="0"/>
              <w:rPr>
                <w:sz w:val="14"/>
                <w:szCs w:val="14"/>
                <w:color w:val="auto"/>
              </w:rPr>
            </w:pPr>
          </w:p>
        </w:tc>
        <w:tc>
          <w:tcPr>
            <w:tcW w:w="580" w:type="dxa"/>
            <w:vAlign w:val="bottom"/>
            <w:tcBorders>
              <w:top w:val="single" w:sz="8" w:color="auto"/>
              <w:right w:val="single" w:sz="8" w:color="auto"/>
            </w:tcBorders>
            <w:shd w:val="clear" w:color="auto" w:fill="F7F7F7"/>
          </w:tcPr>
          <w:p>
            <w:pPr>
              <w:spacing w:after="0"/>
              <w:rPr>
                <w:sz w:val="14"/>
                <w:szCs w:val="14"/>
                <w:color w:val="auto"/>
              </w:rPr>
            </w:pPr>
          </w:p>
        </w:tc>
        <w:tc>
          <w:tcPr>
            <w:tcW w:w="800" w:type="dxa"/>
            <w:vAlign w:val="bottom"/>
            <w:tcBorders>
              <w:top w:val="single" w:sz="8" w:color="auto"/>
            </w:tcBorders>
            <w:shd w:val="clear" w:color="auto" w:fill="F7F7F7"/>
          </w:tcPr>
          <w:p>
            <w:pPr>
              <w:spacing w:after="0"/>
              <w:rPr>
                <w:sz w:val="14"/>
                <w:szCs w:val="14"/>
                <w:color w:val="auto"/>
              </w:rPr>
            </w:pPr>
          </w:p>
        </w:tc>
        <w:tc>
          <w:tcPr>
            <w:tcW w:w="300" w:type="dxa"/>
            <w:vAlign w:val="bottom"/>
            <w:tcBorders>
              <w:top w:val="single" w:sz="8" w:color="auto"/>
            </w:tcBorders>
            <w:shd w:val="clear" w:color="auto" w:fill="F7F7F7"/>
          </w:tcPr>
          <w:p>
            <w:pPr>
              <w:spacing w:after="0"/>
              <w:rPr>
                <w:sz w:val="14"/>
                <w:szCs w:val="14"/>
                <w:color w:val="auto"/>
              </w:rPr>
            </w:pPr>
          </w:p>
        </w:tc>
        <w:tc>
          <w:tcPr>
            <w:tcW w:w="220" w:type="dxa"/>
            <w:vAlign w:val="bottom"/>
            <w:tcBorders>
              <w:top w:val="single" w:sz="8" w:color="auto"/>
              <w:right w:val="single" w:sz="8" w:color="auto"/>
            </w:tcBorders>
            <w:shd w:val="clear" w:color="auto" w:fill="F7F7F7"/>
          </w:tcPr>
          <w:p>
            <w:pPr>
              <w:spacing w:after="0"/>
              <w:rPr>
                <w:sz w:val="14"/>
                <w:szCs w:val="14"/>
                <w:color w:val="auto"/>
              </w:rPr>
            </w:pPr>
          </w:p>
        </w:tc>
        <w:tc>
          <w:tcPr>
            <w:tcW w:w="720" w:type="dxa"/>
            <w:vAlign w:val="bottom"/>
            <w:tcBorders>
              <w:top w:val="single" w:sz="8" w:color="auto"/>
            </w:tcBorders>
            <w:shd w:val="clear" w:color="auto" w:fill="F7F7F7"/>
          </w:tcPr>
          <w:p>
            <w:pPr>
              <w:spacing w:after="0"/>
              <w:rPr>
                <w:sz w:val="14"/>
                <w:szCs w:val="14"/>
                <w:color w:val="auto"/>
              </w:rPr>
            </w:pPr>
          </w:p>
        </w:tc>
        <w:tc>
          <w:tcPr>
            <w:tcW w:w="440" w:type="dxa"/>
            <w:vAlign w:val="bottom"/>
            <w:tcBorders>
              <w:top w:val="single" w:sz="8" w:color="auto"/>
              <w:right w:val="single" w:sz="8" w:color="auto"/>
            </w:tcBorders>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Executive Chairman of the Board and Former Chief Executive Officer of</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73</w:t>
            </w:r>
          </w:p>
        </w:tc>
        <w:tc>
          <w:tcPr>
            <w:tcW w:w="720" w:type="dxa"/>
            <w:vAlign w:val="bottom"/>
          </w:tcPr>
          <w:p>
            <w:pPr>
              <w:ind w:left="360"/>
              <w:spacing w:after="0"/>
              <w:rPr>
                <w:sz w:val="20"/>
                <w:szCs w:val="20"/>
                <w:color w:val="auto"/>
              </w:rPr>
            </w:pPr>
            <w:r>
              <w:rPr>
                <w:rFonts w:ascii="Arial" w:cs="Arial" w:eastAsia="Arial" w:hAnsi="Arial"/>
                <w:sz w:val="13"/>
                <w:szCs w:val="13"/>
                <w:color w:val="auto"/>
                <w:w w:val="81"/>
              </w:rPr>
              <w:t>1993 </w:t>
            </w:r>
          </w:p>
        </w:tc>
        <w:tc>
          <w:tcPr>
            <w:tcW w:w="3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  </w:t>
            </w:r>
          </w:p>
        </w:tc>
        <w:tc>
          <w:tcPr>
            <w:tcW w:w="620" w:type="dxa"/>
            <w:vAlign w:val="bottom"/>
            <w:shd w:val="clear" w:color="auto" w:fill="F7F7F7"/>
          </w:tcPr>
          <w:p>
            <w:pPr>
              <w:spacing w:after="0"/>
              <w:rPr>
                <w:sz w:val="14"/>
                <w:szCs w:val="14"/>
                <w:color w:val="auto"/>
              </w:rPr>
            </w:pPr>
          </w:p>
        </w:tc>
        <w:tc>
          <w:tcPr>
            <w:tcW w:w="120" w:type="dxa"/>
            <w:vAlign w:val="bottom"/>
            <w:tcBorders>
              <w:right w:val="single" w:sz="8" w:color="auto"/>
            </w:tcBorders>
            <w:shd w:val="clear" w:color="auto" w:fill="F7F7F7"/>
          </w:tcPr>
          <w:p>
            <w:pPr>
              <w:spacing w:after="0"/>
              <w:rPr>
                <w:sz w:val="14"/>
                <w:szCs w:val="14"/>
                <w:color w:val="auto"/>
              </w:rPr>
            </w:pPr>
          </w:p>
        </w:tc>
        <w:tc>
          <w:tcPr>
            <w:tcW w:w="900" w:type="dxa"/>
            <w:vAlign w:val="bottom"/>
            <w:shd w:val="clear" w:color="auto" w:fill="F7F7F7"/>
          </w:tcPr>
          <w:p>
            <w:pPr>
              <w:spacing w:after="0"/>
              <w:rPr>
                <w:sz w:val="14"/>
                <w:szCs w:val="14"/>
                <w:color w:val="auto"/>
              </w:rPr>
            </w:pPr>
          </w:p>
        </w:tc>
        <w:tc>
          <w:tcPr>
            <w:tcW w:w="580" w:type="dxa"/>
            <w:vAlign w:val="bottom"/>
            <w:tcBorders>
              <w:right w:val="single" w:sz="8" w:color="auto"/>
            </w:tcBorders>
            <w:shd w:val="clear" w:color="auto" w:fill="F7F7F7"/>
          </w:tcPr>
          <w:p>
            <w:pPr>
              <w:spacing w:after="0"/>
              <w:rPr>
                <w:sz w:val="14"/>
                <w:szCs w:val="14"/>
                <w:color w:val="auto"/>
              </w:rPr>
            </w:pPr>
          </w:p>
        </w:tc>
        <w:tc>
          <w:tcPr>
            <w:tcW w:w="800" w:type="dxa"/>
            <w:vAlign w:val="bottom"/>
            <w:shd w:val="clear" w:color="auto" w:fill="F7F7F7"/>
          </w:tcPr>
          <w:p>
            <w:pPr>
              <w:spacing w:after="0"/>
              <w:rPr>
                <w:sz w:val="14"/>
                <w:szCs w:val="14"/>
                <w:color w:val="auto"/>
              </w:rPr>
            </w:pPr>
          </w:p>
        </w:tc>
        <w:tc>
          <w:tcPr>
            <w:tcW w:w="300" w:type="dxa"/>
            <w:vAlign w:val="bottom"/>
            <w:shd w:val="clear" w:color="auto" w:fill="F7F7F7"/>
          </w:tcPr>
          <w:p>
            <w:pPr>
              <w:spacing w:after="0"/>
              <w:rPr>
                <w:sz w:val="14"/>
                <w:szCs w:val="14"/>
                <w:color w:val="auto"/>
              </w:rPr>
            </w:pPr>
          </w:p>
        </w:tc>
        <w:tc>
          <w:tcPr>
            <w:tcW w:w="220" w:type="dxa"/>
            <w:vAlign w:val="bottom"/>
            <w:tcBorders>
              <w:right w:val="single" w:sz="8" w:color="auto"/>
            </w:tcBorders>
            <w:shd w:val="clear" w:color="auto" w:fill="F7F7F7"/>
          </w:tcPr>
          <w:p>
            <w:pPr>
              <w:spacing w:after="0"/>
              <w:rPr>
                <w:sz w:val="14"/>
                <w:szCs w:val="14"/>
                <w:color w:val="auto"/>
              </w:rPr>
            </w:pPr>
          </w:p>
        </w:tc>
        <w:tc>
          <w:tcPr>
            <w:tcW w:w="720" w:type="dxa"/>
            <w:vAlign w:val="bottom"/>
            <w:shd w:val="clear" w:color="auto" w:fill="F7F7F7"/>
          </w:tcPr>
          <w:p>
            <w:pPr>
              <w:ind w:left="600"/>
              <w:spacing w:after="0"/>
              <w:rPr>
                <w:sz w:val="20"/>
                <w:szCs w:val="20"/>
                <w:color w:val="auto"/>
              </w:rPr>
            </w:pPr>
            <w:r>
              <w:rPr>
                <w:rFonts w:ascii="Arial" w:cs="Arial" w:eastAsia="Arial" w:hAnsi="Arial"/>
                <w:sz w:val="10"/>
                <w:szCs w:val="10"/>
                <w:color w:val="auto"/>
                <w:w w:val="77"/>
              </w:rPr>
              <w:t xml:space="preserve">  </w:t>
            </w:r>
          </w:p>
        </w:tc>
        <w:tc>
          <w:tcPr>
            <w:tcW w:w="440" w:type="dxa"/>
            <w:vAlign w:val="bottom"/>
            <w:tcBorders>
              <w:right w:val="single" w:sz="8" w:color="auto"/>
            </w:tcBorders>
            <w:shd w:val="clear" w:color="auto" w:fill="F7F7F7"/>
          </w:tcPr>
          <w:p>
            <w:pPr>
              <w:ind w:left="4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45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Regency Centers Corporation</w:t>
            </w:r>
          </w:p>
        </w:tc>
        <w:tc>
          <w:tcPr>
            <w:tcW w:w="7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20" w:type="dxa"/>
            <w:vAlign w:val="bottom"/>
            <w:tcBorders>
              <w:bottom w:val="single" w:sz="8" w:color="F7F7F7"/>
            </w:tcBorders>
            <w:shd w:val="clear" w:color="auto" w:fill="F7F7F7"/>
          </w:tcPr>
          <w:p>
            <w:pPr>
              <w:spacing w:after="0"/>
              <w:rPr>
                <w:sz w:val="18"/>
                <w:szCs w:val="18"/>
                <w:color w:val="auto"/>
              </w:rPr>
            </w:pPr>
          </w:p>
        </w:tc>
        <w:tc>
          <w:tcPr>
            <w:tcW w:w="120" w:type="dxa"/>
            <w:vAlign w:val="bottom"/>
            <w:tcBorders>
              <w:bottom w:val="single" w:sz="8" w:color="F7F7F7"/>
              <w:right w:val="single" w:sz="8" w:color="auto"/>
            </w:tcBorders>
            <w:shd w:val="clear" w:color="auto" w:fill="F7F7F7"/>
          </w:tcPr>
          <w:p>
            <w:pPr>
              <w:spacing w:after="0"/>
              <w:rPr>
                <w:sz w:val="18"/>
                <w:szCs w:val="18"/>
                <w:color w:val="auto"/>
              </w:rPr>
            </w:pPr>
          </w:p>
        </w:tc>
        <w:tc>
          <w:tcPr>
            <w:tcW w:w="900" w:type="dxa"/>
            <w:vAlign w:val="bottom"/>
            <w:tcBorders>
              <w:bottom w:val="single" w:sz="8" w:color="F7F7F7"/>
            </w:tcBorders>
            <w:shd w:val="clear" w:color="auto" w:fill="F7F7F7"/>
          </w:tcPr>
          <w:p>
            <w:pPr>
              <w:spacing w:after="0"/>
              <w:rPr>
                <w:sz w:val="18"/>
                <w:szCs w:val="18"/>
                <w:color w:val="auto"/>
              </w:rPr>
            </w:pPr>
          </w:p>
        </w:tc>
        <w:tc>
          <w:tcPr>
            <w:tcW w:w="580" w:type="dxa"/>
            <w:vAlign w:val="bottom"/>
            <w:tcBorders>
              <w:bottom w:val="single" w:sz="8" w:color="F7F7F7"/>
              <w:right w:val="single" w:sz="8" w:color="auto"/>
            </w:tcBorders>
            <w:shd w:val="clear" w:color="auto" w:fill="F7F7F7"/>
          </w:tcPr>
          <w:p>
            <w:pPr>
              <w:spacing w:after="0"/>
              <w:rPr>
                <w:sz w:val="18"/>
                <w:szCs w:val="18"/>
                <w:color w:val="auto"/>
              </w:rPr>
            </w:pPr>
          </w:p>
        </w:tc>
        <w:tc>
          <w:tcPr>
            <w:tcW w:w="800" w:type="dxa"/>
            <w:vAlign w:val="bottom"/>
            <w:tcBorders>
              <w:bottom w:val="single" w:sz="8" w:color="F7F7F7"/>
            </w:tcBorders>
            <w:shd w:val="clear" w:color="auto" w:fill="F7F7F7"/>
          </w:tcPr>
          <w:p>
            <w:pPr>
              <w:spacing w:after="0"/>
              <w:rPr>
                <w:sz w:val="18"/>
                <w:szCs w:val="18"/>
                <w:color w:val="auto"/>
              </w:rPr>
            </w:pPr>
          </w:p>
        </w:tc>
        <w:tc>
          <w:tcPr>
            <w:tcW w:w="300" w:type="dxa"/>
            <w:vAlign w:val="bottom"/>
            <w:tcBorders>
              <w:bottom w:val="single" w:sz="8" w:color="F7F7F7"/>
            </w:tcBorders>
            <w:shd w:val="clear" w:color="auto" w:fill="F7F7F7"/>
          </w:tcPr>
          <w:p>
            <w:pPr>
              <w:spacing w:after="0"/>
              <w:rPr>
                <w:sz w:val="18"/>
                <w:szCs w:val="18"/>
                <w:color w:val="auto"/>
              </w:rPr>
            </w:pPr>
          </w:p>
        </w:tc>
        <w:tc>
          <w:tcPr>
            <w:tcW w:w="220" w:type="dxa"/>
            <w:vAlign w:val="bottom"/>
            <w:tcBorders>
              <w:bottom w:val="single" w:sz="8" w:color="F7F7F7"/>
              <w:right w:val="single" w:sz="8" w:color="auto"/>
            </w:tcBorders>
            <w:shd w:val="clear" w:color="auto" w:fill="F7F7F7"/>
          </w:tcPr>
          <w:p>
            <w:pPr>
              <w:spacing w:after="0"/>
              <w:rPr>
                <w:sz w:val="18"/>
                <w:szCs w:val="18"/>
                <w:color w:val="auto"/>
              </w:rPr>
            </w:pPr>
          </w:p>
        </w:tc>
        <w:tc>
          <w:tcPr>
            <w:tcW w:w="720" w:type="dxa"/>
            <w:vAlign w:val="bottom"/>
            <w:tcBorders>
              <w:bottom w:val="single" w:sz="8" w:color="F7F7F7"/>
            </w:tcBorders>
            <w:shd w:val="clear" w:color="auto" w:fill="F7F7F7"/>
          </w:tcPr>
          <w:p>
            <w:pPr>
              <w:spacing w:after="0"/>
              <w:rPr>
                <w:sz w:val="18"/>
                <w:szCs w:val="18"/>
                <w:color w:val="auto"/>
              </w:rPr>
            </w:pPr>
          </w:p>
        </w:tc>
        <w:tc>
          <w:tcPr>
            <w:tcW w:w="440" w:type="dxa"/>
            <w:vAlign w:val="bottom"/>
            <w:tcBorders>
              <w:bottom w:val="single" w:sz="8" w:color="F7F7F7"/>
              <w:right w:val="single" w:sz="8" w:color="auto"/>
            </w:tcBorders>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40" w:type="dxa"/>
            <w:vAlign w:val="bottom"/>
          </w:tcPr>
          <w:p>
            <w:pPr>
              <w:spacing w:after="0"/>
              <w:rPr>
                <w:sz w:val="24"/>
                <w:szCs w:val="24"/>
                <w:color w:val="auto"/>
              </w:rPr>
            </w:pPr>
          </w:p>
        </w:tc>
        <w:tc>
          <w:tcPr>
            <w:tcW w:w="4520" w:type="dxa"/>
            <w:vAlign w:val="bottom"/>
            <w:tcBorders>
              <w:top w:val="single" w:sz="8" w:color="E56D3D"/>
            </w:tcBorders>
          </w:tcPr>
          <w:p>
            <w:pPr>
              <w:ind w:left="80"/>
              <w:spacing w:after="0"/>
              <w:rPr>
                <w:sz w:val="20"/>
                <w:szCs w:val="20"/>
                <w:color w:val="auto"/>
              </w:rPr>
            </w:pPr>
            <w:r>
              <w:rPr>
                <w:rFonts w:ascii="Arial" w:cs="Arial" w:eastAsia="Arial" w:hAnsi="Arial"/>
                <w:sz w:val="13"/>
                <w:szCs w:val="13"/>
                <w:color w:val="auto"/>
              </w:rPr>
              <w:t xml:space="preserve">  Member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     Committee Chair            Audit Committee Financial Expert</w:t>
            </w:r>
          </w:p>
        </w:tc>
        <w:tc>
          <w:tcPr>
            <w:tcW w:w="720" w:type="dxa"/>
            <w:vAlign w:val="bottom"/>
            <w:tcBorders>
              <w:top w:val="single" w:sz="8" w:color="E56D3D"/>
            </w:tcBorders>
          </w:tcPr>
          <w:p>
            <w:pPr>
              <w:spacing w:after="0"/>
              <w:rPr>
                <w:sz w:val="24"/>
                <w:szCs w:val="24"/>
                <w:color w:val="auto"/>
              </w:rPr>
            </w:pPr>
          </w:p>
        </w:tc>
        <w:tc>
          <w:tcPr>
            <w:tcW w:w="720" w:type="dxa"/>
            <w:vAlign w:val="bottom"/>
            <w:tcBorders>
              <w:top w:val="single" w:sz="8" w:color="E56D3D"/>
            </w:tcBorders>
          </w:tcPr>
          <w:p>
            <w:pPr>
              <w:spacing w:after="0"/>
              <w:rPr>
                <w:sz w:val="24"/>
                <w:szCs w:val="24"/>
                <w:color w:val="auto"/>
              </w:rPr>
            </w:pPr>
          </w:p>
        </w:tc>
        <w:tc>
          <w:tcPr>
            <w:tcW w:w="300" w:type="dxa"/>
            <w:vAlign w:val="bottom"/>
            <w:tcBorders>
              <w:top w:val="single" w:sz="8" w:color="E56D3D"/>
            </w:tcBorders>
          </w:tcPr>
          <w:p>
            <w:pPr>
              <w:spacing w:after="0"/>
              <w:rPr>
                <w:sz w:val="24"/>
                <w:szCs w:val="24"/>
                <w:color w:val="auto"/>
              </w:rPr>
            </w:pPr>
          </w:p>
        </w:tc>
        <w:tc>
          <w:tcPr>
            <w:tcW w:w="620" w:type="dxa"/>
            <w:vAlign w:val="bottom"/>
            <w:tcBorders>
              <w:top w:val="single" w:sz="8" w:color="E56D3D"/>
            </w:tcBorders>
          </w:tcPr>
          <w:p>
            <w:pPr>
              <w:spacing w:after="0"/>
              <w:rPr>
                <w:sz w:val="24"/>
                <w:szCs w:val="24"/>
                <w:color w:val="auto"/>
              </w:rPr>
            </w:pPr>
          </w:p>
        </w:tc>
        <w:tc>
          <w:tcPr>
            <w:tcW w:w="120" w:type="dxa"/>
            <w:vAlign w:val="bottom"/>
            <w:tcBorders>
              <w:top w:val="single" w:sz="8" w:color="E56D3D"/>
            </w:tcBorders>
          </w:tcPr>
          <w:p>
            <w:pPr>
              <w:spacing w:after="0"/>
              <w:rPr>
                <w:sz w:val="24"/>
                <w:szCs w:val="24"/>
                <w:color w:val="auto"/>
              </w:rPr>
            </w:pPr>
          </w:p>
        </w:tc>
        <w:tc>
          <w:tcPr>
            <w:tcW w:w="900" w:type="dxa"/>
            <w:vAlign w:val="bottom"/>
            <w:tcBorders>
              <w:top w:val="single" w:sz="8" w:color="E56D3D"/>
            </w:tcBorders>
          </w:tcPr>
          <w:p>
            <w:pPr>
              <w:spacing w:after="0"/>
              <w:rPr>
                <w:sz w:val="24"/>
                <w:szCs w:val="24"/>
                <w:color w:val="auto"/>
              </w:rPr>
            </w:pPr>
          </w:p>
        </w:tc>
        <w:tc>
          <w:tcPr>
            <w:tcW w:w="580" w:type="dxa"/>
            <w:vAlign w:val="bottom"/>
            <w:tcBorders>
              <w:top w:val="single" w:sz="8" w:color="E56D3D"/>
            </w:tcBorders>
          </w:tcPr>
          <w:p>
            <w:pPr>
              <w:spacing w:after="0"/>
              <w:rPr>
                <w:sz w:val="24"/>
                <w:szCs w:val="24"/>
                <w:color w:val="auto"/>
              </w:rPr>
            </w:pPr>
          </w:p>
        </w:tc>
        <w:tc>
          <w:tcPr>
            <w:tcW w:w="800" w:type="dxa"/>
            <w:vAlign w:val="bottom"/>
            <w:tcBorders>
              <w:top w:val="single" w:sz="8" w:color="E56D3D"/>
            </w:tcBorders>
          </w:tcPr>
          <w:p>
            <w:pPr>
              <w:spacing w:after="0"/>
              <w:rPr>
                <w:sz w:val="24"/>
                <w:szCs w:val="24"/>
                <w:color w:val="auto"/>
              </w:rPr>
            </w:pPr>
          </w:p>
        </w:tc>
        <w:tc>
          <w:tcPr>
            <w:tcW w:w="300" w:type="dxa"/>
            <w:vAlign w:val="bottom"/>
            <w:tcBorders>
              <w:top w:val="single" w:sz="8" w:color="E56D3D"/>
            </w:tcBorders>
          </w:tcPr>
          <w:p>
            <w:pPr>
              <w:spacing w:after="0"/>
              <w:rPr>
                <w:sz w:val="24"/>
                <w:szCs w:val="24"/>
                <w:color w:val="auto"/>
              </w:rPr>
            </w:pPr>
          </w:p>
        </w:tc>
        <w:tc>
          <w:tcPr>
            <w:tcW w:w="220" w:type="dxa"/>
            <w:vAlign w:val="bottom"/>
            <w:tcBorders>
              <w:top w:val="single" w:sz="8" w:color="E56D3D"/>
            </w:tcBorders>
          </w:tcPr>
          <w:p>
            <w:pPr>
              <w:spacing w:after="0"/>
              <w:rPr>
                <w:sz w:val="24"/>
                <w:szCs w:val="24"/>
                <w:color w:val="auto"/>
              </w:rPr>
            </w:pPr>
          </w:p>
        </w:tc>
        <w:tc>
          <w:tcPr>
            <w:tcW w:w="720" w:type="dxa"/>
            <w:vAlign w:val="bottom"/>
            <w:tcBorders>
              <w:top w:val="single" w:sz="8" w:color="E56D3D"/>
            </w:tcBorders>
          </w:tcPr>
          <w:p>
            <w:pPr>
              <w:spacing w:after="0"/>
              <w:rPr>
                <w:sz w:val="24"/>
                <w:szCs w:val="24"/>
                <w:color w:val="auto"/>
              </w:rPr>
            </w:pPr>
          </w:p>
        </w:tc>
        <w:tc>
          <w:tcPr>
            <w:tcW w:w="440" w:type="dxa"/>
            <w:vAlign w:val="bottom"/>
            <w:tcBorders>
              <w:top w:val="single" w:sz="8" w:color="E56D3D"/>
            </w:tcBorders>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8</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-3422650</wp:posOffset>
            </wp:positionV>
            <wp:extent cx="94615" cy="768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-3422650</wp:posOffset>
            </wp:positionV>
            <wp:extent cx="76835" cy="768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-3165475</wp:posOffset>
            </wp:positionV>
            <wp:extent cx="76835" cy="768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-3165475</wp:posOffset>
            </wp:positionV>
            <wp:extent cx="94615" cy="768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-2874010</wp:posOffset>
            </wp:positionV>
            <wp:extent cx="76835" cy="774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-2874010</wp:posOffset>
            </wp:positionV>
            <wp:extent cx="94615" cy="774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-2505075</wp:posOffset>
            </wp:positionV>
            <wp:extent cx="171450" cy="768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7683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-2522220</wp:posOffset>
            </wp:positionV>
            <wp:extent cx="76835" cy="768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-2205355</wp:posOffset>
            </wp:positionV>
            <wp:extent cx="171450" cy="774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7747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-2222500</wp:posOffset>
            </wp:positionV>
            <wp:extent cx="76835" cy="768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-1956435</wp:posOffset>
            </wp:positionV>
            <wp:extent cx="196850" cy="774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850" cy="7747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-1965325</wp:posOffset>
            </wp:positionV>
            <wp:extent cx="76835" cy="76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-1699260</wp:posOffset>
            </wp:positionV>
            <wp:extent cx="171450" cy="774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 cy="7747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-1716405</wp:posOffset>
            </wp:positionV>
            <wp:extent cx="76835" cy="77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-1476375</wp:posOffset>
            </wp:positionV>
            <wp:extent cx="76835" cy="774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-1210945</wp:posOffset>
            </wp:positionV>
            <wp:extent cx="171450" cy="768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7683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-1210945</wp:posOffset>
            </wp:positionV>
            <wp:extent cx="76835" cy="76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-979170</wp:posOffset>
            </wp:positionV>
            <wp:extent cx="76835" cy="76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-979170</wp:posOffset>
            </wp:positionV>
            <wp:extent cx="76835" cy="768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-679450</wp:posOffset>
            </wp:positionV>
            <wp:extent cx="76835" cy="76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-319405</wp:posOffset>
            </wp:positionV>
            <wp:extent cx="76835"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-327660</wp:posOffset>
            </wp:positionV>
            <wp:extent cx="93980" cy="768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-327660</wp:posOffset>
            </wp:positionV>
            <wp:extent cx="76835" cy="768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Proposal One: Election Of Directors </w:t>
      </w:r>
      <w:r>
        <w:rPr>
          <w:rFonts w:ascii="Arial" w:cs="Arial" w:eastAsia="Arial" w:hAnsi="Arial"/>
          <w:sz w:val="19"/>
          <w:szCs w:val="19"/>
          <w:b w:val="1"/>
          <w:bCs w:val="1"/>
          <w:color w:val="E56D3D"/>
        </w:rPr>
        <w: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Director Nominee Qualifications</w:t>
      </w:r>
    </w:p>
    <w:p>
      <w:pPr>
        <w:spacing w:after="0" w:line="112"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The following skills matrix and biographies of our nominees contain information regarding each person’s attributes (not including attributes developed and enhanced by virtue of their service on the Company’s Board) and other director positions held currently or at any time during at least the last five years, as well as information regarding involvement in certain legal or administrative proceedings, if applicable. The biographies also reflect the Board Committee memberships the nominees are anticipated to hold upon their election. We believe that each nominee possesses the core competencies expected of all of our directors, namely, independence (except for Mr. Stein and Ms. Palmer), integrity, sound business judgment and the ability and willingness to represent the long-term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141605</wp:posOffset>
            </wp:positionV>
            <wp:extent cx="4568825" cy="3689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688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426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4260850"/>
                    </a:xfrm>
                    <a:prstGeom prst="rect">
                      <a:avLst/>
                    </a:prstGeom>
                    <a:noFill/>
                  </pic:spPr>
                </pic:pic>
              </a:graphicData>
            </a:graphic>
          </wp:anchor>
        </w:drawing>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4"/>
          <w:szCs w:val="14"/>
          <w:color w:val="E56D3D"/>
        </w:rPr>
        <w:t>BUSINESS/STRATEGIC LEADERSHIP</w:t>
      </w:r>
    </w:p>
    <w:p>
      <w:pPr>
        <w:spacing w:after="0" w:line="15" w:lineRule="exact"/>
        <w:rPr>
          <w:sz w:val="20"/>
          <w:szCs w:val="20"/>
          <w:color w:val="auto"/>
        </w:rPr>
      </w:pPr>
    </w:p>
    <w:p>
      <w:pPr>
        <w:ind w:left="180" w:right="7620"/>
        <w:spacing w:after="0" w:line="252" w:lineRule="auto"/>
        <w:rPr>
          <w:sz w:val="20"/>
          <w:szCs w:val="20"/>
          <w:color w:val="auto"/>
        </w:rPr>
      </w:pPr>
      <w:r>
        <w:rPr>
          <w:rFonts w:ascii="Arial" w:cs="Arial" w:eastAsia="Arial" w:hAnsi="Arial"/>
          <w:sz w:val="14"/>
          <w:szCs w:val="14"/>
          <w:color w:val="auto"/>
        </w:rPr>
        <w:t>“C Suite” experience (CEO, CFO, COO or similar) or sub “C Suite” experience as division president or functional leader within a substantial organization.</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E56D3D"/>
        </w:rPr>
        <w:t>REAL ESTATE/REIT</w:t>
      </w:r>
    </w:p>
    <w:p>
      <w:pPr>
        <w:spacing w:after="0" w:line="15" w:lineRule="exact"/>
        <w:rPr>
          <w:sz w:val="20"/>
          <w:szCs w:val="20"/>
          <w:color w:val="auto"/>
        </w:rPr>
      </w:pPr>
    </w:p>
    <w:p>
      <w:pPr>
        <w:ind w:left="180" w:right="7360"/>
        <w:spacing w:after="0" w:line="249" w:lineRule="auto"/>
        <w:rPr>
          <w:sz w:val="20"/>
          <w:szCs w:val="20"/>
          <w:color w:val="auto"/>
        </w:rPr>
      </w:pPr>
      <w:r>
        <w:rPr>
          <w:rFonts w:ascii="Arial" w:cs="Arial" w:eastAsia="Arial" w:hAnsi="Arial"/>
          <w:sz w:val="14"/>
          <w:szCs w:val="14"/>
          <w:color w:val="auto"/>
        </w:rPr>
        <w:t>Experience in a significant organization where the ownership, operation and development of real estate is integral to the business; or knowledge and experience in issues facing real estate investment trusts.</w:t>
      </w:r>
    </w:p>
    <w:p>
      <w:pPr>
        <w:spacing w:after="0" w:line="114" w:lineRule="exact"/>
        <w:rPr>
          <w:sz w:val="20"/>
          <w:szCs w:val="20"/>
          <w:color w:val="auto"/>
        </w:rPr>
      </w:pPr>
    </w:p>
    <w:p>
      <w:pPr>
        <w:ind w:left="180" w:right="7980"/>
        <w:spacing w:after="0" w:line="263" w:lineRule="auto"/>
        <w:rPr>
          <w:sz w:val="20"/>
          <w:szCs w:val="20"/>
          <w:color w:val="auto"/>
        </w:rPr>
      </w:pPr>
      <w:r>
        <w:rPr>
          <w:rFonts w:ascii="Arial" w:cs="Arial" w:eastAsia="Arial" w:hAnsi="Arial"/>
          <w:sz w:val="14"/>
          <w:szCs w:val="14"/>
          <w:color w:val="E56D3D"/>
        </w:rPr>
        <w:t xml:space="preserve">CAPITAL MARKETS/INVESTMENTS </w:t>
      </w:r>
      <w:r>
        <w:rPr>
          <w:rFonts w:ascii="Arial" w:cs="Arial" w:eastAsia="Arial" w:hAnsi="Arial"/>
          <w:sz w:val="14"/>
          <w:szCs w:val="14"/>
          <w:color w:val="000000"/>
        </w:rPr>
        <w:t>Experience in equity, debt and capital markets, generally.</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4"/>
          <w:szCs w:val="14"/>
          <w:color w:val="E56D3D"/>
        </w:rPr>
        <w:t>CONSUMER RETAIL</w:t>
      </w:r>
    </w:p>
    <w:p>
      <w:pPr>
        <w:spacing w:after="0" w:line="15" w:lineRule="exact"/>
        <w:rPr>
          <w:sz w:val="20"/>
          <w:szCs w:val="20"/>
          <w:color w:val="auto"/>
        </w:rPr>
      </w:pPr>
    </w:p>
    <w:p>
      <w:pPr>
        <w:ind w:left="180" w:right="7480"/>
        <w:spacing w:after="0" w:line="264" w:lineRule="auto"/>
        <w:rPr>
          <w:sz w:val="20"/>
          <w:szCs w:val="20"/>
          <w:color w:val="auto"/>
        </w:rPr>
      </w:pPr>
      <w:r>
        <w:rPr>
          <w:rFonts w:ascii="Arial" w:cs="Arial" w:eastAsia="Arial" w:hAnsi="Arial"/>
          <w:sz w:val="14"/>
          <w:szCs w:val="14"/>
          <w:color w:val="auto"/>
        </w:rPr>
        <w:t>Experience in a consumer driven or technology related retailer.</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4"/>
          <w:szCs w:val="14"/>
          <w:color w:val="E56D3D"/>
        </w:rPr>
        <w:t>CORPORATE GOVERNANCE/</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E56D3D"/>
        </w:rPr>
        <w:t>PUBLIC BOARD</w:t>
      </w:r>
    </w:p>
    <w:p>
      <w:pPr>
        <w:spacing w:after="0" w:line="1" w:lineRule="exact"/>
        <w:rPr>
          <w:sz w:val="20"/>
          <w:szCs w:val="20"/>
          <w:color w:val="auto"/>
        </w:rPr>
      </w:pPr>
    </w:p>
    <w:p>
      <w:pPr>
        <w:ind w:left="180" w:right="7440"/>
        <w:spacing w:after="0" w:line="249" w:lineRule="auto"/>
        <w:rPr>
          <w:sz w:val="20"/>
          <w:szCs w:val="20"/>
          <w:color w:val="auto"/>
        </w:rPr>
      </w:pPr>
      <w:r>
        <w:rPr>
          <w:rFonts w:ascii="Arial" w:cs="Arial" w:eastAsia="Arial" w:hAnsi="Arial"/>
          <w:sz w:val="14"/>
          <w:szCs w:val="14"/>
          <w:color w:val="auto"/>
        </w:rPr>
        <w:t>Experience serving as a public company director (other than Regency Centers) and demonstrated understanding of corporate governance standards and practices in public companies.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4"/>
          <w:szCs w:val="14"/>
          <w:color w:val="E56D3D"/>
        </w:rPr>
        <w:t>FINANCIAL/ACCOUNTING*</w:t>
      </w:r>
    </w:p>
    <w:p>
      <w:pPr>
        <w:spacing w:after="0" w:line="15" w:lineRule="exact"/>
        <w:rPr>
          <w:sz w:val="20"/>
          <w:szCs w:val="20"/>
          <w:color w:val="auto"/>
        </w:rPr>
      </w:pPr>
    </w:p>
    <w:p>
      <w:pPr>
        <w:ind w:left="180" w:right="7360"/>
        <w:spacing w:after="0" w:line="249" w:lineRule="auto"/>
        <w:rPr>
          <w:sz w:val="20"/>
          <w:szCs w:val="20"/>
          <w:color w:val="auto"/>
        </w:rPr>
      </w:pPr>
      <w:r>
        <w:rPr>
          <w:rFonts w:ascii="Arial" w:cs="Arial" w:eastAsia="Arial" w:hAnsi="Arial"/>
          <w:sz w:val="14"/>
          <w:szCs w:val="14"/>
          <w:color w:val="auto"/>
        </w:rPr>
        <w:t>Experience as a public company senior leader with significant financial responsibilities (e.g. CEO or CFO) or able to qualify as an Audit Committee Financial Expert under SEC rules.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4"/>
          <w:szCs w:val="14"/>
          <w:color w:val="E56D3D"/>
        </w:rPr>
        <w:t>HUMAN CAPITAL</w:t>
      </w:r>
    </w:p>
    <w:p>
      <w:pPr>
        <w:spacing w:after="0" w:line="15" w:lineRule="exact"/>
        <w:rPr>
          <w:sz w:val="20"/>
          <w:szCs w:val="20"/>
          <w:color w:val="auto"/>
        </w:rPr>
      </w:pPr>
    </w:p>
    <w:p>
      <w:pPr>
        <w:ind w:left="180" w:right="7560"/>
        <w:spacing w:after="0" w:line="249" w:lineRule="auto"/>
        <w:rPr>
          <w:sz w:val="20"/>
          <w:szCs w:val="20"/>
          <w:color w:val="auto"/>
        </w:rPr>
      </w:pPr>
      <w:r>
        <w:rPr>
          <w:rFonts w:ascii="Arial" w:cs="Arial" w:eastAsia="Arial" w:hAnsi="Arial"/>
          <w:sz w:val="14"/>
          <w:szCs w:val="14"/>
          <w:color w:val="auto"/>
        </w:rPr>
        <w:t>Experience managing a large and diverse workforce with involvement in benefits, compensation and incentive planning, including Board and management succession planning.</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4"/>
          <w:szCs w:val="14"/>
          <w:color w:val="E56D3D"/>
        </w:rPr>
        <w:t>TECHNOLOGY/CYBER RISK</w:t>
      </w:r>
    </w:p>
    <w:p>
      <w:pPr>
        <w:spacing w:after="0" w:line="15" w:lineRule="exact"/>
        <w:rPr>
          <w:sz w:val="20"/>
          <w:szCs w:val="20"/>
          <w:color w:val="auto"/>
        </w:rPr>
      </w:pPr>
    </w:p>
    <w:p>
      <w:pPr>
        <w:ind w:left="180" w:right="7380"/>
        <w:spacing w:after="0" w:line="264" w:lineRule="auto"/>
        <w:rPr>
          <w:sz w:val="20"/>
          <w:szCs w:val="20"/>
          <w:color w:val="auto"/>
        </w:rPr>
      </w:pPr>
      <w:r>
        <w:rPr>
          <w:rFonts w:ascii="Arial" w:cs="Arial" w:eastAsia="Arial" w:hAnsi="Arial"/>
          <w:sz w:val="14"/>
          <w:szCs w:val="14"/>
          <w:color w:val="auto"/>
        </w:rPr>
        <w:t>Significant experience with or oversight of innovation, technology, information systems and data management.</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*All of our directors are “financially literate” as defined by SEC rules.</w:t>
      </w:r>
    </w:p>
    <w:p>
      <w:pPr>
        <w:spacing w:after="0" w:line="133" w:lineRule="exact"/>
        <w:rPr>
          <w:sz w:val="20"/>
          <w:szCs w:val="20"/>
          <w:color w:val="auto"/>
        </w:rPr>
      </w:pPr>
    </w:p>
    <w:p>
      <w:pPr>
        <w:ind w:left="808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9</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3068955" cy="2769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68955" cy="2769235"/>
                    </a:xfrm>
                    <a:prstGeom prst="rect">
                      <a:avLst/>
                    </a:prstGeom>
                    <a:noFill/>
                  </pic:spPr>
                </pic:pic>
              </a:graphicData>
            </a:graphic>
          </wp:anchor>
        </w:drawing>
      </w:r>
    </w:p>
    <w:p>
      <w:pPr>
        <w:spacing w:after="0" w:line="20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Gary E.</w:t>
      </w:r>
    </w:p>
    <w:p>
      <w:pPr>
        <w:spacing w:after="0" w:line="1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Anderson</w:t>
      </w:r>
    </w:p>
    <w:p>
      <w:pPr>
        <w:spacing w:after="0" w:line="10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Age: </w:t>
      </w:r>
      <w:r>
        <w:rPr>
          <w:rFonts w:ascii="Arial" w:cs="Arial" w:eastAsia="Arial" w:hAnsi="Arial"/>
          <w:sz w:val="16"/>
          <w:szCs w:val="16"/>
          <w:color w:val="6A6E6F"/>
        </w:rPr>
        <w:t>60</w:t>
      </w:r>
    </w:p>
    <w:p>
      <w:pPr>
        <w:spacing w:after="0" w:line="127"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Director Since: </w:t>
      </w:r>
      <w:r>
        <w:rPr>
          <w:rFonts w:ascii="Arial" w:cs="Arial" w:eastAsia="Arial" w:hAnsi="Arial"/>
          <w:sz w:val="16"/>
          <w:szCs w:val="16"/>
          <w:color w:val="6A6E6F"/>
        </w:rPr>
        <w:t>2024</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Board Committees</w:t>
      </w:r>
    </w:p>
    <w:p>
      <w:pPr>
        <w:spacing w:after="0" w:line="35" w:lineRule="exact"/>
        <w:rPr>
          <w:sz w:val="20"/>
          <w:szCs w:val="20"/>
          <w:color w:val="auto"/>
        </w:rPr>
      </w:pPr>
    </w:p>
    <w:p>
      <w:pPr>
        <w:ind w:left="460" w:hanging="196"/>
        <w:spacing w:after="0"/>
        <w:tabs>
          <w:tab w:leader="none" w:pos="460" w:val="left"/>
        </w:tabs>
        <w:numPr>
          <w:ilvl w:val="0"/>
          <w:numId w:val="10"/>
        </w:numPr>
        <w:rPr>
          <w:rFonts w:ascii="Wingdings" w:cs="Wingdings" w:eastAsia="Wingdings" w:hAnsi="Wingdings"/>
          <w:sz w:val="16"/>
          <w:szCs w:val="16"/>
          <w:b w:val="1"/>
          <w:bCs w:val="1"/>
          <w:color w:val="6A6E6F"/>
        </w:rPr>
      </w:pPr>
      <w:r>
        <w:rPr>
          <w:rFonts w:ascii="Arial" w:cs="Arial" w:eastAsia="Arial" w:hAnsi="Arial"/>
          <w:sz w:val="16"/>
          <w:szCs w:val="16"/>
          <w:color w:val="6A6E6F"/>
        </w:rPr>
        <w:t>Compensation (Chair)*</w:t>
      </w:r>
    </w:p>
    <w:p>
      <w:pPr>
        <w:spacing w:after="0" w:line="5" w:lineRule="exact"/>
        <w:rPr>
          <w:rFonts w:ascii="Wingdings" w:cs="Wingdings" w:eastAsia="Wingdings" w:hAnsi="Wingdings"/>
          <w:sz w:val="16"/>
          <w:szCs w:val="16"/>
          <w:b w:val="1"/>
          <w:bCs w:val="1"/>
          <w:color w:val="6A6E6F"/>
        </w:rPr>
      </w:pPr>
    </w:p>
    <w:p>
      <w:pPr>
        <w:ind w:left="460" w:hanging="196"/>
        <w:spacing w:after="0"/>
        <w:tabs>
          <w:tab w:leader="none" w:pos="460" w:val="left"/>
        </w:tabs>
        <w:numPr>
          <w:ilvl w:val="0"/>
          <w:numId w:val="10"/>
        </w:numPr>
        <w:rPr>
          <w:rFonts w:ascii="Wingdings" w:cs="Wingdings" w:eastAsia="Wingdings" w:hAnsi="Wingdings"/>
          <w:sz w:val="16"/>
          <w:szCs w:val="16"/>
          <w:b w:val="1"/>
          <w:bCs w:val="1"/>
          <w:color w:val="6A6E6F"/>
        </w:rPr>
      </w:pPr>
      <w:r>
        <w:rPr>
          <w:rFonts w:ascii="Arial" w:cs="Arial" w:eastAsia="Arial" w:hAnsi="Arial"/>
          <w:sz w:val="16"/>
          <w:szCs w:val="16"/>
          <w:color w:val="6A6E6F"/>
        </w:rPr>
        <w:t>Investment</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Other public company boards</w:t>
      </w:r>
    </w:p>
    <w:p>
      <w:pPr>
        <w:spacing w:after="0" w:line="35" w:lineRule="exact"/>
        <w:rPr>
          <w:sz w:val="20"/>
          <w:szCs w:val="20"/>
          <w:color w:val="auto"/>
        </w:rPr>
      </w:pPr>
    </w:p>
    <w:p>
      <w:pPr>
        <w:ind w:left="460" w:hanging="196"/>
        <w:spacing w:after="0"/>
        <w:tabs>
          <w:tab w:leader="none" w:pos="460" w:val="left"/>
        </w:tabs>
        <w:numPr>
          <w:ilvl w:val="0"/>
          <w:numId w:val="11"/>
        </w:numPr>
        <w:rPr>
          <w:rFonts w:ascii="Wingdings" w:cs="Wingdings" w:eastAsia="Wingdings" w:hAnsi="Wingdings"/>
          <w:sz w:val="16"/>
          <w:szCs w:val="16"/>
          <w:b w:val="1"/>
          <w:bCs w:val="1"/>
          <w:color w:val="6A6E6F"/>
        </w:rPr>
      </w:pPr>
      <w:r>
        <w:rPr>
          <w:rFonts w:ascii="Arial" w:cs="Arial" w:eastAsia="Arial" w:hAnsi="Arial"/>
          <w:sz w:val="16"/>
          <w:szCs w:val="16"/>
          <w:color w:val="6A6E6F"/>
        </w:rPr>
        <w:t>None</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Principal occupation or employment</w:t>
      </w:r>
    </w:p>
    <w:p>
      <w:pPr>
        <w:spacing w:after="0" w:line="35" w:lineRule="exact"/>
        <w:rPr>
          <w:sz w:val="20"/>
          <w:szCs w:val="20"/>
          <w:color w:val="auto"/>
        </w:rPr>
      </w:pPr>
    </w:p>
    <w:p>
      <w:pPr>
        <w:ind w:left="460" w:hanging="196"/>
        <w:spacing w:after="0"/>
        <w:tabs>
          <w:tab w:leader="none" w:pos="460" w:val="left"/>
        </w:tabs>
        <w:numPr>
          <w:ilvl w:val="0"/>
          <w:numId w:val="12"/>
        </w:numPr>
        <w:rPr>
          <w:rFonts w:ascii="Wingdings" w:cs="Wingdings" w:eastAsia="Wingdings" w:hAnsi="Wingdings"/>
          <w:sz w:val="16"/>
          <w:szCs w:val="16"/>
          <w:b w:val="1"/>
          <w:bCs w:val="1"/>
          <w:color w:val="6A6E6F"/>
        </w:rPr>
      </w:pPr>
      <w:r>
        <w:rPr>
          <w:rFonts w:ascii="Arial" w:cs="Arial" w:eastAsia="Arial" w:hAnsi="Arial"/>
          <w:sz w:val="16"/>
          <w:szCs w:val="16"/>
          <w:color w:val="6A6E6F"/>
        </w:rPr>
        <w:t>Former Chief Operating Officer of Prologis, Inc.</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Qualifications</w:t>
      </w:r>
    </w:p>
    <w:p>
      <w:pPr>
        <w:spacing w:after="0" w:line="35" w:lineRule="exact"/>
        <w:rPr>
          <w:sz w:val="20"/>
          <w:szCs w:val="20"/>
          <w:color w:val="auto"/>
        </w:rPr>
      </w:pPr>
    </w:p>
    <w:p>
      <w:pPr>
        <w:ind w:left="460" w:hanging="196"/>
        <w:spacing w:after="0" w:line="265" w:lineRule="auto"/>
        <w:tabs>
          <w:tab w:leader="none" w:pos="460" w:val="left"/>
        </w:tabs>
        <w:numPr>
          <w:ilvl w:val="0"/>
          <w:numId w:val="13"/>
        </w:numPr>
        <w:rPr>
          <w:rFonts w:ascii="Wingdings" w:cs="Wingdings" w:eastAsia="Wingdings" w:hAnsi="Wingdings"/>
          <w:sz w:val="16"/>
          <w:szCs w:val="16"/>
          <w:b w:val="1"/>
          <w:bCs w:val="1"/>
          <w:color w:val="6A6E6F"/>
        </w:rPr>
      </w:pPr>
      <w:r>
        <w:rPr>
          <w:rFonts w:ascii="Arial" w:cs="Arial" w:eastAsia="Arial" w:hAnsi="Arial"/>
          <w:sz w:val="16"/>
          <w:szCs w:val="16"/>
          <w:color w:val="6A6E6F"/>
        </w:rPr>
        <w:t>Extensive experience in real estate operations, development and investment, corporate strategy and capital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6A6E6F"/>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-904240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6A6E6F"/>
        </w:rPr>
        <w:t>Mr. Anderson, a graduate of Washington State University, holds an M.B.A. from the Anderson Graduate School of Management at University of California, Los Angeles. Mr. Anderson recently retired as Chief Operating Officer of Prologis, Inc. (NYSE: PLD), a REIT that is a global leader in real estate logistics facility development and operation. Prior to his role as Chief Operating Officer,</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6"/>
          <w:szCs w:val="16"/>
          <w:color w:val="6A6E6F"/>
        </w:rPr>
        <w:t>Mr. Anderson was the Chief Executive Officer, Europe and Asia, from June 2011 until March 2019. Additionally, Mr. Anderson held various positions from August 1994 to June 2011, including head of the global fund business from March 2009 to June 2011 and President of European operations from November 2006 to March 2009. Mr. Anderson is a member of the Young Presidents’ Organization— Gold and serves on the Board of Directors for Colorado UpLift.</w:t>
      </w:r>
    </w:p>
    <w:p>
      <w:pPr>
        <w:spacing w:after="0" w:line="1606" w:lineRule="exact"/>
        <w:rPr>
          <w:sz w:val="20"/>
          <w:szCs w:val="20"/>
          <w:color w:val="auto"/>
        </w:rPr>
      </w:pPr>
    </w:p>
    <w:p>
      <w:pPr>
        <w:sectPr>
          <w:pgSz w:w="11900" w:h="16838" w:orient="portrait"/>
          <w:cols w:equalWidth="0" w:num="2">
            <w:col w:w="4800" w:space="520"/>
            <w:col w:w="5760"/>
          </w:cols>
          <w:pgMar w:left="320" w:top="482" w:right="499" w:bottom="1440" w:gutter="0" w:footer="0" w:header="0"/>
        </w:sectPr>
      </w:pPr>
    </w:p>
    <w:p>
      <w:pPr>
        <w:ind w:left="260"/>
        <w:spacing w:after="0"/>
        <w:rPr>
          <w:sz w:val="20"/>
          <w:szCs w:val="20"/>
          <w:color w:val="auto"/>
        </w:rPr>
      </w:pPr>
      <w:r>
        <w:rPr>
          <w:rFonts w:ascii="Arial" w:cs="Arial" w:eastAsia="Arial" w:hAnsi="Arial"/>
          <w:sz w:val="14"/>
          <w:szCs w:val="14"/>
          <w:color w:val="6A6E6F"/>
        </w:rPr>
        <w:t>*Mr. Anderson will become Chair of the Compensation Committee after</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6A6E6F"/>
        </w:rPr>
        <w:t>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Bryce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-200025</wp:posOffset>
            </wp:positionV>
            <wp:extent cx="3068955" cy="3197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68955" cy="3197860"/>
                    </a:xfrm>
                    <a:prstGeom prst="rect">
                      <a:avLst/>
                    </a:prstGeom>
                    <a:noFill/>
                  </pic:spPr>
                </pic:pic>
              </a:graphicData>
            </a:graphic>
          </wp:anchor>
        </w:drawing>
      </w:r>
    </w:p>
    <w:p>
      <w:pPr>
        <w:ind w:left="2220"/>
        <w:spacing w:after="0"/>
        <w:rPr>
          <w:sz w:val="20"/>
          <w:szCs w:val="20"/>
          <w:color w:val="auto"/>
        </w:rPr>
      </w:pPr>
      <w:r>
        <w:rPr>
          <w:rFonts w:ascii="Times New Roman" w:cs="Times New Roman" w:eastAsia="Times New Roman" w:hAnsi="Times New Roman"/>
          <w:sz w:val="22"/>
          <w:szCs w:val="22"/>
          <w:b w:val="1"/>
          <w:bCs w:val="1"/>
          <w:color w:val="6A6E6F"/>
        </w:rPr>
        <w:t>Blair</w:t>
      </w:r>
    </w:p>
    <w:p>
      <w:pPr>
        <w:spacing w:after="0" w:line="10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Age: </w:t>
      </w:r>
      <w:r>
        <w:rPr>
          <w:rFonts w:ascii="Arial" w:cs="Arial" w:eastAsia="Arial" w:hAnsi="Arial"/>
          <w:sz w:val="16"/>
          <w:szCs w:val="16"/>
          <w:color w:val="6A6E6F"/>
        </w:rPr>
        <w:t>67</w:t>
      </w:r>
    </w:p>
    <w:p>
      <w:pPr>
        <w:spacing w:after="0" w:line="127"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Director Since: </w:t>
      </w:r>
      <w:r>
        <w:rPr>
          <w:rFonts w:ascii="Arial" w:cs="Arial" w:eastAsia="Arial" w:hAnsi="Arial"/>
          <w:sz w:val="16"/>
          <w:szCs w:val="16"/>
          <w:color w:val="6A6E6F"/>
        </w:rPr>
        <w:t>2014</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Board Committees</w:t>
      </w:r>
    </w:p>
    <w:p>
      <w:pPr>
        <w:spacing w:after="0" w:line="35" w:lineRule="exact"/>
        <w:rPr>
          <w:sz w:val="20"/>
          <w:szCs w:val="20"/>
          <w:color w:val="auto"/>
        </w:rPr>
      </w:pPr>
    </w:p>
    <w:p>
      <w:pPr>
        <w:ind w:left="460" w:hanging="196"/>
        <w:spacing w:after="0"/>
        <w:tabs>
          <w:tab w:leader="none" w:pos="460" w:val="left"/>
        </w:tabs>
        <w:numPr>
          <w:ilvl w:val="0"/>
          <w:numId w:val="14"/>
        </w:numPr>
        <w:rPr>
          <w:rFonts w:ascii="Wingdings" w:cs="Wingdings" w:eastAsia="Wingdings" w:hAnsi="Wingdings"/>
          <w:sz w:val="16"/>
          <w:szCs w:val="16"/>
          <w:b w:val="1"/>
          <w:bCs w:val="1"/>
          <w:color w:val="6A6E6F"/>
        </w:rPr>
      </w:pPr>
      <w:r>
        <w:rPr>
          <w:rFonts w:ascii="Arial" w:cs="Arial" w:eastAsia="Arial" w:hAnsi="Arial"/>
          <w:sz w:val="16"/>
          <w:szCs w:val="16"/>
          <w:color w:val="6A6E6F"/>
        </w:rPr>
        <w:t>Investment (Chair)</w:t>
      </w:r>
    </w:p>
    <w:p>
      <w:pPr>
        <w:spacing w:after="0" w:line="5" w:lineRule="exact"/>
        <w:rPr>
          <w:rFonts w:ascii="Wingdings" w:cs="Wingdings" w:eastAsia="Wingdings" w:hAnsi="Wingdings"/>
          <w:sz w:val="16"/>
          <w:szCs w:val="16"/>
          <w:b w:val="1"/>
          <w:bCs w:val="1"/>
          <w:color w:val="6A6E6F"/>
        </w:rPr>
      </w:pPr>
    </w:p>
    <w:p>
      <w:pPr>
        <w:ind w:left="460" w:hanging="196"/>
        <w:spacing w:after="0"/>
        <w:tabs>
          <w:tab w:leader="none" w:pos="460" w:val="left"/>
        </w:tabs>
        <w:numPr>
          <w:ilvl w:val="0"/>
          <w:numId w:val="14"/>
        </w:numPr>
        <w:rPr>
          <w:rFonts w:ascii="Wingdings" w:cs="Wingdings" w:eastAsia="Wingdings" w:hAnsi="Wingdings"/>
          <w:sz w:val="16"/>
          <w:szCs w:val="16"/>
          <w:b w:val="1"/>
          <w:bCs w:val="1"/>
          <w:color w:val="6A6E6F"/>
        </w:rPr>
      </w:pPr>
      <w:r>
        <w:rPr>
          <w:rFonts w:ascii="Arial" w:cs="Arial" w:eastAsia="Arial" w:hAnsi="Arial"/>
          <w:sz w:val="16"/>
          <w:szCs w:val="16"/>
          <w:color w:val="6A6E6F"/>
        </w:rPr>
        <w:t>Nominating and Governance</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Other public company boards</w:t>
      </w:r>
    </w:p>
    <w:p>
      <w:pPr>
        <w:spacing w:after="0" w:line="35" w:lineRule="exact"/>
        <w:rPr>
          <w:sz w:val="20"/>
          <w:szCs w:val="20"/>
          <w:color w:val="auto"/>
        </w:rPr>
      </w:pPr>
    </w:p>
    <w:p>
      <w:pPr>
        <w:ind w:left="460" w:hanging="196"/>
        <w:spacing w:after="0"/>
        <w:tabs>
          <w:tab w:leader="none" w:pos="460" w:val="left"/>
        </w:tabs>
        <w:numPr>
          <w:ilvl w:val="0"/>
          <w:numId w:val="15"/>
        </w:numPr>
        <w:rPr>
          <w:rFonts w:ascii="Wingdings" w:cs="Wingdings" w:eastAsia="Wingdings" w:hAnsi="Wingdings"/>
          <w:sz w:val="16"/>
          <w:szCs w:val="16"/>
          <w:b w:val="1"/>
          <w:bCs w:val="1"/>
          <w:color w:val="6A6E6F"/>
        </w:rPr>
      </w:pPr>
      <w:r>
        <w:rPr>
          <w:rFonts w:ascii="Arial" w:cs="Arial" w:eastAsia="Arial" w:hAnsi="Arial"/>
          <w:sz w:val="16"/>
          <w:szCs w:val="16"/>
          <w:color w:val="6A6E6F"/>
        </w:rPr>
        <w:t>PulteGroup, Inc.</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Principal occupation or employment</w:t>
      </w:r>
    </w:p>
    <w:p>
      <w:pPr>
        <w:spacing w:after="0" w:line="35" w:lineRule="exact"/>
        <w:rPr>
          <w:sz w:val="20"/>
          <w:szCs w:val="20"/>
          <w:color w:val="auto"/>
        </w:rPr>
      </w:pPr>
    </w:p>
    <w:p>
      <w:pPr>
        <w:ind w:left="460" w:hanging="196"/>
        <w:spacing w:after="0"/>
        <w:tabs>
          <w:tab w:leader="none" w:pos="460" w:val="left"/>
        </w:tabs>
        <w:numPr>
          <w:ilvl w:val="0"/>
          <w:numId w:val="16"/>
        </w:numPr>
        <w:rPr>
          <w:rFonts w:ascii="Wingdings" w:cs="Wingdings" w:eastAsia="Wingdings" w:hAnsi="Wingdings"/>
          <w:sz w:val="16"/>
          <w:szCs w:val="16"/>
          <w:b w:val="1"/>
          <w:bCs w:val="1"/>
          <w:color w:val="6A6E6F"/>
        </w:rPr>
      </w:pPr>
      <w:r>
        <w:rPr>
          <w:rFonts w:ascii="Arial" w:cs="Arial" w:eastAsia="Arial" w:hAnsi="Arial"/>
          <w:sz w:val="16"/>
          <w:szCs w:val="16"/>
          <w:color w:val="6A6E6F"/>
        </w:rPr>
        <w:t>Principal of Harborview Associates, LLC</w:t>
      </w:r>
    </w:p>
    <w:p>
      <w:pPr>
        <w:spacing w:after="0" w:line="83" w:lineRule="exact"/>
        <w:rPr>
          <w:rFonts w:ascii="Wingdings" w:cs="Wingdings" w:eastAsia="Wingdings" w:hAnsi="Wingdings"/>
          <w:sz w:val="16"/>
          <w:szCs w:val="16"/>
          <w:b w:val="1"/>
          <w:bCs w:val="1"/>
          <w:color w:val="6A6E6F"/>
        </w:rPr>
      </w:pPr>
    </w:p>
    <w:p>
      <w:pPr>
        <w:ind w:left="260"/>
        <w:spacing w:after="0"/>
        <w:rPr>
          <w:rFonts w:ascii="Wingdings" w:cs="Wingdings" w:eastAsia="Wingdings" w:hAnsi="Wingdings"/>
          <w:sz w:val="16"/>
          <w:szCs w:val="16"/>
          <w:b w:val="1"/>
          <w:bCs w:val="1"/>
          <w:color w:val="6A6E6F"/>
        </w:rPr>
      </w:pPr>
      <w:r>
        <w:rPr>
          <w:rFonts w:ascii="Arial" w:cs="Arial" w:eastAsia="Arial" w:hAnsi="Arial"/>
          <w:sz w:val="16"/>
          <w:szCs w:val="16"/>
          <w:b w:val="1"/>
          <w:bCs w:val="1"/>
          <w:color w:val="6A6E6F"/>
        </w:rPr>
        <w:t>Qualifications</w:t>
      </w:r>
    </w:p>
    <w:p>
      <w:pPr>
        <w:spacing w:after="0" w:line="72" w:lineRule="exact"/>
        <w:rPr>
          <w:rFonts w:ascii="Wingdings" w:cs="Wingdings" w:eastAsia="Wingdings" w:hAnsi="Wingdings"/>
          <w:sz w:val="16"/>
          <w:szCs w:val="16"/>
          <w:b w:val="1"/>
          <w:bCs w:val="1"/>
          <w:color w:val="6A6E6F"/>
        </w:rPr>
      </w:pPr>
    </w:p>
    <w:p>
      <w:pPr>
        <w:ind w:left="460" w:hanging="196"/>
        <w:spacing w:after="0" w:line="266" w:lineRule="auto"/>
        <w:tabs>
          <w:tab w:leader="none" w:pos="460" w:val="left"/>
        </w:tabs>
        <w:numPr>
          <w:ilvl w:val="0"/>
          <w:numId w:val="16"/>
        </w:numPr>
        <w:rPr>
          <w:rFonts w:ascii="Wingdings" w:cs="Wingdings" w:eastAsia="Wingdings" w:hAnsi="Wingdings"/>
          <w:sz w:val="16"/>
          <w:szCs w:val="16"/>
          <w:b w:val="1"/>
          <w:bCs w:val="1"/>
          <w:color w:val="6A6E6F"/>
        </w:rPr>
      </w:pPr>
      <w:r>
        <w:rPr>
          <w:rFonts w:ascii="Arial" w:cs="Arial" w:eastAsia="Arial" w:hAnsi="Arial"/>
          <w:sz w:val="16"/>
          <w:szCs w:val="16"/>
          <w:color w:val="6A6E6F"/>
        </w:rPr>
        <w:t>Extensive experience in real estate operations, development and investment, the REIT industry, corporate strategy, capital markets and public company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6A6E6F"/>
        </w:rPr>
        <w:t>Professional Experience:</w:t>
      </w:r>
    </w:p>
    <w:p>
      <w:pPr>
        <w:spacing w:after="0" w:line="2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6A6E6F"/>
        </w:rPr>
        <w:t>Mr. Blair, a graduate of the University of New Hampshire, holds an M.B.A. from Harvard Business School. Mr. Blair serves as the principal of Harborview Associates, LLC, which holds and manages investments in various real estate properties. He serves as a director of PulteGroup, Inc. (NYSE: PHM), one of the largest home builders in the U.S., in which he served as Chairman from 2017 until December 31, 2022. He is a member of the Advisory Board of Navitas Capital, a venture capital firm focused on technology for the real estate sector. Mr. Blair served as Chairman, from 2017 to 2021, and director, from 2013 to 2021, of Invitation Homes, Inc. (NYSE: INVH) He has served as Chairman, from 2002 to 2013, and Chief Executive Officer, from 2001 to 2012, of AvalonBay Communities, Inc. (NYSE: AVB), a real estate investment trust focused on the development, acquisition and management of multi-family apartments. Mr. Blair also serves on the Advisory Board of the Joseph E. Corcoran Boston College Center for Real Estate and Urban Action. He previously served on the Advisory Board of the MIT Center for Real Estate. Prior to the formation of Avalon Properties in 1993, Mr. Blair was a partner with Trammell Crow Residential.</w:t>
      </w:r>
    </w:p>
    <w:p>
      <w:pPr>
        <w:spacing w:after="0" w:line="7" w:lineRule="exact"/>
        <w:rPr>
          <w:sz w:val="20"/>
          <w:szCs w:val="20"/>
          <w:color w:val="auto"/>
        </w:rPr>
      </w:pPr>
    </w:p>
    <w:p>
      <w:pPr>
        <w:spacing w:after="0" w:line="249" w:lineRule="auto"/>
        <w:rPr>
          <w:sz w:val="20"/>
          <w:szCs w:val="20"/>
          <w:color w:val="auto"/>
        </w:rPr>
      </w:pPr>
      <w:r>
        <w:rPr>
          <w:rFonts w:ascii="Arial" w:cs="Arial" w:eastAsia="Arial" w:hAnsi="Arial"/>
          <w:sz w:val="16"/>
          <w:szCs w:val="16"/>
          <w:color w:val="6A6E6F"/>
        </w:rPr>
        <w:t>Mr. Blair also previously served as senior advisor to McKinsey and Co. and previously served as a part time faculty member at Boston College. Mr. Blair is a past Chairman of the National Association of Real Estate Investment Trusts (Nareit), where he also served on the Executive Committee and the Board of Governors. He is a past member of Urban Land Institute (ULI) where he served as a Trustee and was past Chairman of the Multi-Family Council. Mr. Blair is a past member of the Young Presidents Organization and a former member of the World Presidents Organization.</w:t>
      </w:r>
    </w:p>
    <w:p>
      <w:pPr>
        <w:spacing w:after="0" w:line="200" w:lineRule="exact"/>
        <w:rPr>
          <w:sz w:val="20"/>
          <w:szCs w:val="20"/>
          <w:color w:val="auto"/>
        </w:rPr>
      </w:pPr>
    </w:p>
    <w:p>
      <w:pPr>
        <w:sectPr>
          <w:pgSz w:w="11900" w:h="16838" w:orient="portrait"/>
          <w:cols w:equalWidth="0" w:num="2">
            <w:col w:w="4800" w:space="520"/>
            <w:col w:w="5760"/>
          </w:cols>
          <w:pgMar w:left="320" w:top="482" w:right="499" w:bottom="1440" w:gutter="0" w:footer="0" w:header="0"/>
          <w:type w:val="continuous"/>
        </w:sect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10</w:t>
      </w:r>
      <w:r>
        <w:rPr>
          <w:rFonts w:ascii="Arial" w:cs="Arial" w:eastAsia="Arial" w:hAnsi="Arial"/>
          <w:sz w:val="12"/>
          <w:szCs w:val="12"/>
          <w:color w:val="auto"/>
        </w:rPr>
        <w:t xml:space="preserve"> </w:t>
      </w:r>
      <w:r>
        <w:rPr>
          <w:rFonts w:ascii="Arial" w:cs="Arial" w:eastAsia="Arial" w:hAnsi="Arial"/>
          <w:sz w:val="16"/>
          <w:szCs w:val="16"/>
          <w:color w:val="6A6E6F"/>
        </w:rPr>
        <w:t>|</w:t>
      </w:r>
      <w:r>
        <w:rPr>
          <w:rFonts w:ascii="Arial" w:cs="Arial" w:eastAsia="Arial" w:hAnsi="Arial"/>
          <w:sz w:val="12"/>
          <w:szCs w:val="12"/>
          <w:color w:val="6A6E6F"/>
        </w:rPr>
        <w:t> REGENCY CENTERS </w:t>
      </w:r>
      <w:r>
        <w:rPr>
          <w:rFonts w:ascii="Arial" w:cs="Arial" w:eastAsia="Arial" w:hAnsi="Arial"/>
          <w:sz w:val="16"/>
          <w:szCs w:val="16"/>
          <w:color w:val="6A6E6F"/>
        </w:rPr>
        <w:t>|</w:t>
      </w:r>
      <w:r>
        <w:rPr>
          <w:rFonts w:ascii="Arial" w:cs="Arial" w:eastAsia="Arial" w:hAnsi="Arial"/>
          <w:sz w:val="12"/>
          <w:szCs w:val="12"/>
          <w:color w:val="6A6E6F"/>
        </w:rPr>
        <w:t> 2026 PROXY STATEMENT</w:t>
      </w:r>
    </w:p>
    <w:p>
      <w:pPr>
        <w:sectPr>
          <w:pgSz w:w="11900" w:h="16838" w:orient="portrait"/>
          <w:cols w:equalWidth="0" w:num="1">
            <w:col w:w="11080"/>
          </w:cols>
          <w:pgMar w:left="320" w:top="482" w:right="4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448310</wp:posOffset>
            </wp:positionV>
            <wp:extent cx="3068955" cy="28460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6895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Kristin A.</w:t>
      </w:r>
    </w:p>
    <w:p>
      <w:pPr>
        <w:spacing w:after="0" w:line="1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Campbell</w:t>
      </w:r>
    </w:p>
    <w:p>
      <w:pPr>
        <w:spacing w:after="0" w:line="10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Age: </w:t>
      </w:r>
      <w:r>
        <w:rPr>
          <w:rFonts w:ascii="Arial" w:cs="Arial" w:eastAsia="Arial" w:hAnsi="Arial"/>
          <w:sz w:val="16"/>
          <w:szCs w:val="16"/>
          <w:color w:val="6A6E6F"/>
        </w:rPr>
        <w:t>64</w:t>
      </w:r>
    </w:p>
    <w:p>
      <w:pPr>
        <w:spacing w:after="0" w:line="127"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Director Since: </w:t>
      </w:r>
      <w:r>
        <w:rPr>
          <w:rFonts w:ascii="Arial" w:cs="Arial" w:eastAsia="Arial" w:hAnsi="Arial"/>
          <w:sz w:val="16"/>
          <w:szCs w:val="16"/>
          <w:color w:val="6A6E6F"/>
        </w:rPr>
        <w:t>2023</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Board Committees</w:t>
      </w:r>
    </w:p>
    <w:p>
      <w:pPr>
        <w:spacing w:after="0" w:line="35" w:lineRule="exact"/>
        <w:rPr>
          <w:sz w:val="20"/>
          <w:szCs w:val="20"/>
          <w:color w:val="auto"/>
        </w:rPr>
      </w:pPr>
    </w:p>
    <w:p>
      <w:pPr>
        <w:ind w:left="460" w:hanging="196"/>
        <w:spacing w:after="0"/>
        <w:tabs>
          <w:tab w:leader="none" w:pos="460" w:val="left"/>
        </w:tabs>
        <w:numPr>
          <w:ilvl w:val="0"/>
          <w:numId w:val="17"/>
        </w:numPr>
        <w:rPr>
          <w:rFonts w:ascii="Wingdings" w:cs="Wingdings" w:eastAsia="Wingdings" w:hAnsi="Wingdings"/>
          <w:sz w:val="16"/>
          <w:szCs w:val="16"/>
          <w:b w:val="1"/>
          <w:bCs w:val="1"/>
          <w:color w:val="6A6E6F"/>
        </w:rPr>
      </w:pPr>
      <w:r>
        <w:rPr>
          <w:rFonts w:ascii="Arial" w:cs="Arial" w:eastAsia="Arial" w:hAnsi="Arial"/>
          <w:sz w:val="16"/>
          <w:szCs w:val="16"/>
          <w:color w:val="6A6E6F"/>
        </w:rPr>
        <w:t>Nominating and Governance (Chair)</w:t>
      </w:r>
    </w:p>
    <w:p>
      <w:pPr>
        <w:spacing w:after="0" w:line="5" w:lineRule="exact"/>
        <w:rPr>
          <w:rFonts w:ascii="Wingdings" w:cs="Wingdings" w:eastAsia="Wingdings" w:hAnsi="Wingdings"/>
          <w:sz w:val="16"/>
          <w:szCs w:val="16"/>
          <w:b w:val="1"/>
          <w:bCs w:val="1"/>
          <w:color w:val="6A6E6F"/>
        </w:rPr>
      </w:pPr>
    </w:p>
    <w:p>
      <w:pPr>
        <w:ind w:left="460" w:hanging="196"/>
        <w:spacing w:after="0"/>
        <w:tabs>
          <w:tab w:leader="none" w:pos="460" w:val="left"/>
        </w:tabs>
        <w:numPr>
          <w:ilvl w:val="0"/>
          <w:numId w:val="17"/>
        </w:numPr>
        <w:rPr>
          <w:rFonts w:ascii="Wingdings" w:cs="Wingdings" w:eastAsia="Wingdings" w:hAnsi="Wingdings"/>
          <w:sz w:val="16"/>
          <w:szCs w:val="16"/>
          <w:b w:val="1"/>
          <w:bCs w:val="1"/>
          <w:color w:val="6A6E6F"/>
        </w:rPr>
      </w:pPr>
      <w:r>
        <w:rPr>
          <w:rFonts w:ascii="Arial" w:cs="Arial" w:eastAsia="Arial" w:hAnsi="Arial"/>
          <w:sz w:val="16"/>
          <w:szCs w:val="16"/>
          <w:color w:val="6A6E6F"/>
        </w:rPr>
        <w:t>Compensation</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Other public company boards</w:t>
      </w:r>
    </w:p>
    <w:p>
      <w:pPr>
        <w:spacing w:after="0" w:line="35" w:lineRule="exact"/>
        <w:rPr>
          <w:sz w:val="20"/>
          <w:szCs w:val="20"/>
          <w:color w:val="auto"/>
        </w:rPr>
      </w:pPr>
    </w:p>
    <w:p>
      <w:pPr>
        <w:ind w:left="460" w:hanging="196"/>
        <w:spacing w:after="0"/>
        <w:tabs>
          <w:tab w:leader="none" w:pos="460" w:val="left"/>
        </w:tabs>
        <w:numPr>
          <w:ilvl w:val="0"/>
          <w:numId w:val="18"/>
        </w:numPr>
        <w:rPr>
          <w:rFonts w:ascii="Wingdings" w:cs="Wingdings" w:eastAsia="Wingdings" w:hAnsi="Wingdings"/>
          <w:sz w:val="16"/>
          <w:szCs w:val="16"/>
          <w:b w:val="1"/>
          <w:bCs w:val="1"/>
          <w:color w:val="6A6E6F"/>
        </w:rPr>
      </w:pPr>
      <w:r>
        <w:rPr>
          <w:rFonts w:ascii="Arial" w:cs="Arial" w:eastAsia="Arial" w:hAnsi="Arial"/>
          <w:sz w:val="16"/>
          <w:szCs w:val="16"/>
          <w:color w:val="6A6E6F"/>
        </w:rPr>
        <w:t>None</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Principal occupation or employment</w:t>
      </w:r>
    </w:p>
    <w:p>
      <w:pPr>
        <w:spacing w:after="0" w:line="35" w:lineRule="exact"/>
        <w:rPr>
          <w:sz w:val="20"/>
          <w:szCs w:val="20"/>
          <w:color w:val="auto"/>
        </w:rPr>
      </w:pPr>
    </w:p>
    <w:p>
      <w:pPr>
        <w:ind w:left="460" w:right="20" w:hanging="196"/>
        <w:spacing w:after="0" w:line="265" w:lineRule="auto"/>
        <w:tabs>
          <w:tab w:leader="none" w:pos="460" w:val="left"/>
        </w:tabs>
        <w:numPr>
          <w:ilvl w:val="0"/>
          <w:numId w:val="19"/>
        </w:numPr>
        <w:rPr>
          <w:rFonts w:ascii="Wingdings" w:cs="Wingdings" w:eastAsia="Wingdings" w:hAnsi="Wingdings"/>
          <w:sz w:val="16"/>
          <w:szCs w:val="16"/>
          <w:b w:val="1"/>
          <w:bCs w:val="1"/>
          <w:color w:val="6A6E6F"/>
        </w:rPr>
      </w:pPr>
      <w:r>
        <w:rPr>
          <w:rFonts w:ascii="Arial" w:cs="Arial" w:eastAsia="Arial" w:hAnsi="Arial"/>
          <w:sz w:val="16"/>
          <w:szCs w:val="16"/>
          <w:color w:val="6A6E6F"/>
        </w:rPr>
        <w:t>Former Executive Vice President, General Counsel and Chief ESG Officer of Hilton Worldwide Holdings Inc.</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Qualifications</w:t>
      </w:r>
    </w:p>
    <w:p>
      <w:pPr>
        <w:spacing w:after="0" w:line="21" w:lineRule="exact"/>
        <w:rPr>
          <w:sz w:val="20"/>
          <w:szCs w:val="20"/>
          <w:color w:val="auto"/>
        </w:rPr>
      </w:pPr>
    </w:p>
    <w:p>
      <w:pPr>
        <w:ind w:left="460" w:hanging="196"/>
        <w:spacing w:after="0" w:line="256" w:lineRule="auto"/>
        <w:tabs>
          <w:tab w:leader="none" w:pos="460" w:val="left"/>
        </w:tabs>
        <w:numPr>
          <w:ilvl w:val="0"/>
          <w:numId w:val="20"/>
        </w:numPr>
        <w:rPr>
          <w:rFonts w:ascii="Wingdings" w:cs="Wingdings" w:eastAsia="Wingdings" w:hAnsi="Wingdings"/>
          <w:sz w:val="16"/>
          <w:szCs w:val="16"/>
          <w:b w:val="1"/>
          <w:bCs w:val="1"/>
          <w:color w:val="6A6E6F"/>
        </w:rPr>
      </w:pPr>
      <w:r>
        <w:rPr>
          <w:rFonts w:ascii="Arial" w:cs="Arial" w:eastAsia="Arial" w:hAnsi="Arial"/>
          <w:sz w:val="16"/>
          <w:szCs w:val="16"/>
          <w:color w:val="6A6E6F"/>
        </w:rPr>
        <w:t>Extensive background in legal, compliance, ESG (including business and asset resilience and sustainability), retail, public company governance, real estate and M&amp;A.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Proposal One: Election Of Directors </w:t>
      </w:r>
      <w:r>
        <w:rPr>
          <w:rFonts w:ascii="Arial" w:cs="Arial" w:eastAsia="Arial" w:hAnsi="Arial"/>
          <w:sz w:val="19"/>
          <w:szCs w:val="19"/>
          <w:b w:val="1"/>
          <w:bCs w:val="1"/>
          <w:color w:val="E56D3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-688975</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6A6E6F"/>
        </w:rPr>
        <w:t>Professional Experience:</w:t>
      </w:r>
    </w:p>
    <w:p>
      <w:pPr>
        <w:spacing w:after="0" w:line="2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6A6E6F"/>
        </w:rPr>
        <w:t>Ms. Campbell, a graduate of Arizona State University, holds a J.D. from Cornell Law School. She serves as Senior Advisor at BarkerGilmore, a national legal executive search and leadership consulting firm. She served as Executive Vice President, General Counsel and Chief ESG Officer of Hilton Worldwide Holdings Inc. (NYSE: HLT), a global hospitality company from June 2011 until her retirement in September 2023. She led Hilton’s global legal, compliance, government affairs and ESG functions. Prior to Hilton, Ms. Campbell was Senior Vice President, General Counsel and Corporate Secretary for Staples, Inc. from 2007 to 2011, with an overall tenure of 18 years at Staples. Prior to Staples, she worked at several law firms, including Goodwin Procter and Rackemann, Sawyer &amp; Brewster. Ms. Campbell previously served as director of The ODP Corporation from 2016 until it was acquired in December 2025. She is a member of the Advisory Board of Boston University School of Hospitality Administration. Ms. Campbell serves on the board of Crete United, a private national multi-service building solution provider. She previously served on the Advisory Board of New Perimeter.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929640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47" w:lineRule="exact"/>
        <w:rPr>
          <w:sz w:val="20"/>
          <w:szCs w:val="20"/>
          <w:color w:val="auto"/>
        </w:rPr>
      </w:pPr>
    </w:p>
    <w:p>
      <w:pPr>
        <w:sectPr>
          <w:pgSz w:w="11900" w:h="16838" w:orient="portrait"/>
          <w:cols w:equalWidth="0" w:num="2">
            <w:col w:w="4880" w:space="440"/>
            <w:col w:w="5820"/>
          </w:cols>
          <w:pgMar w:left="320" w:top="482" w:right="4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Deirdre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3068955" cy="32575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68955" cy="3257550"/>
                    </a:xfrm>
                    <a:prstGeom prst="rect">
                      <a:avLst/>
                    </a:prstGeom>
                    <a:noFill/>
                  </pic:spPr>
                </pic:pic>
              </a:graphicData>
            </a:graphic>
          </wp:anchor>
        </w:drawing>
      </w:r>
    </w:p>
    <w:p>
      <w:pPr>
        <w:ind w:left="2220"/>
        <w:spacing w:after="0"/>
        <w:rPr>
          <w:sz w:val="20"/>
          <w:szCs w:val="20"/>
          <w:color w:val="auto"/>
        </w:rPr>
      </w:pPr>
      <w:r>
        <w:rPr>
          <w:rFonts w:ascii="Times New Roman" w:cs="Times New Roman" w:eastAsia="Times New Roman" w:hAnsi="Times New Roman"/>
          <w:sz w:val="22"/>
          <w:szCs w:val="22"/>
          <w:b w:val="1"/>
          <w:bCs w:val="1"/>
          <w:color w:val="6A6E6F"/>
        </w:rPr>
        <w:t>Evens</w:t>
      </w:r>
    </w:p>
    <w:p>
      <w:pPr>
        <w:ind w:left="2220"/>
        <w:spacing w:after="0"/>
        <w:rPr>
          <w:sz w:val="20"/>
          <w:szCs w:val="20"/>
          <w:color w:val="auto"/>
        </w:rPr>
      </w:pPr>
      <w:r>
        <w:rPr>
          <w:rFonts w:ascii="Arial" w:cs="Arial" w:eastAsia="Arial" w:hAnsi="Arial"/>
          <w:sz w:val="16"/>
          <w:szCs w:val="16"/>
          <w:b w:val="1"/>
          <w:bCs w:val="1"/>
          <w:color w:val="6A6E6F"/>
        </w:rPr>
        <w:t>Lead Director*</w:t>
      </w:r>
    </w:p>
    <w:p>
      <w:pPr>
        <w:spacing w:after="0" w:line="11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Age: </w:t>
      </w:r>
      <w:r>
        <w:rPr>
          <w:rFonts w:ascii="Arial" w:cs="Arial" w:eastAsia="Arial" w:hAnsi="Arial"/>
          <w:sz w:val="16"/>
          <w:szCs w:val="16"/>
          <w:color w:val="6A6E6F"/>
        </w:rPr>
        <w:t>62</w:t>
      </w:r>
    </w:p>
    <w:p>
      <w:pPr>
        <w:spacing w:after="0" w:line="127"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Director Since: </w:t>
      </w:r>
      <w:r>
        <w:rPr>
          <w:rFonts w:ascii="Arial" w:cs="Arial" w:eastAsia="Arial" w:hAnsi="Arial"/>
          <w:sz w:val="16"/>
          <w:szCs w:val="16"/>
          <w:color w:val="6A6E6F"/>
        </w:rPr>
        <w:t>2018</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Board Committees</w:t>
      </w:r>
    </w:p>
    <w:p>
      <w:pPr>
        <w:spacing w:after="0" w:line="35" w:lineRule="exact"/>
        <w:rPr>
          <w:sz w:val="20"/>
          <w:szCs w:val="20"/>
          <w:color w:val="auto"/>
        </w:rPr>
      </w:pPr>
    </w:p>
    <w:p>
      <w:pPr>
        <w:ind w:left="460" w:hanging="196"/>
        <w:spacing w:after="0"/>
        <w:tabs>
          <w:tab w:leader="none" w:pos="460" w:val="left"/>
        </w:tabs>
        <w:numPr>
          <w:ilvl w:val="0"/>
          <w:numId w:val="21"/>
        </w:numPr>
        <w:rPr>
          <w:rFonts w:ascii="Wingdings" w:cs="Wingdings" w:eastAsia="Wingdings" w:hAnsi="Wingdings"/>
          <w:sz w:val="16"/>
          <w:szCs w:val="16"/>
          <w:b w:val="1"/>
          <w:bCs w:val="1"/>
          <w:color w:val="6A6E6F"/>
        </w:rPr>
      </w:pPr>
      <w:r>
        <w:rPr>
          <w:rFonts w:ascii="Arial" w:cs="Arial" w:eastAsia="Arial" w:hAnsi="Arial"/>
          <w:sz w:val="16"/>
          <w:szCs w:val="16"/>
          <w:color w:val="6A6E6F"/>
        </w:rPr>
        <w:t>Audit</w:t>
      </w:r>
    </w:p>
    <w:p>
      <w:pPr>
        <w:spacing w:after="0" w:line="5" w:lineRule="exact"/>
        <w:rPr>
          <w:rFonts w:ascii="Wingdings" w:cs="Wingdings" w:eastAsia="Wingdings" w:hAnsi="Wingdings"/>
          <w:sz w:val="16"/>
          <w:szCs w:val="16"/>
          <w:b w:val="1"/>
          <w:bCs w:val="1"/>
          <w:color w:val="6A6E6F"/>
        </w:rPr>
      </w:pPr>
    </w:p>
    <w:p>
      <w:pPr>
        <w:ind w:left="460" w:hanging="196"/>
        <w:spacing w:after="0"/>
        <w:tabs>
          <w:tab w:leader="none" w:pos="460" w:val="left"/>
        </w:tabs>
        <w:numPr>
          <w:ilvl w:val="0"/>
          <w:numId w:val="21"/>
        </w:numPr>
        <w:rPr>
          <w:rFonts w:ascii="Wingdings" w:cs="Wingdings" w:eastAsia="Wingdings" w:hAnsi="Wingdings"/>
          <w:sz w:val="16"/>
          <w:szCs w:val="16"/>
          <w:b w:val="1"/>
          <w:bCs w:val="1"/>
          <w:color w:val="6A6E6F"/>
        </w:rPr>
      </w:pPr>
      <w:r>
        <w:rPr>
          <w:rFonts w:ascii="Arial" w:cs="Arial" w:eastAsia="Arial" w:hAnsi="Arial"/>
          <w:sz w:val="16"/>
          <w:szCs w:val="16"/>
          <w:color w:val="6A6E6F"/>
        </w:rPr>
        <w:t>Compensation</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Other public company boards</w:t>
      </w:r>
    </w:p>
    <w:p>
      <w:pPr>
        <w:spacing w:after="0" w:line="35" w:lineRule="exact"/>
        <w:rPr>
          <w:sz w:val="20"/>
          <w:szCs w:val="20"/>
          <w:color w:val="auto"/>
        </w:rPr>
      </w:pPr>
    </w:p>
    <w:p>
      <w:pPr>
        <w:ind w:left="460" w:hanging="196"/>
        <w:spacing w:after="0"/>
        <w:tabs>
          <w:tab w:leader="none" w:pos="460" w:val="left"/>
        </w:tabs>
        <w:numPr>
          <w:ilvl w:val="0"/>
          <w:numId w:val="22"/>
        </w:numPr>
        <w:rPr>
          <w:rFonts w:ascii="Wingdings" w:cs="Wingdings" w:eastAsia="Wingdings" w:hAnsi="Wingdings"/>
          <w:sz w:val="16"/>
          <w:szCs w:val="16"/>
          <w:b w:val="1"/>
          <w:bCs w:val="1"/>
          <w:color w:val="6A6E6F"/>
        </w:rPr>
      </w:pPr>
      <w:r>
        <w:rPr>
          <w:rFonts w:ascii="Arial" w:cs="Arial" w:eastAsia="Arial" w:hAnsi="Arial"/>
          <w:sz w:val="16"/>
          <w:szCs w:val="16"/>
          <w:color w:val="6A6E6F"/>
        </w:rPr>
        <w:t>None</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Principal occupation or employment</w:t>
      </w:r>
    </w:p>
    <w:p>
      <w:pPr>
        <w:spacing w:after="0" w:line="35" w:lineRule="exact"/>
        <w:rPr>
          <w:sz w:val="20"/>
          <w:szCs w:val="20"/>
          <w:color w:val="auto"/>
        </w:rPr>
      </w:pPr>
    </w:p>
    <w:p>
      <w:pPr>
        <w:ind w:left="460" w:right="280" w:hanging="196"/>
        <w:spacing w:after="0" w:line="265" w:lineRule="auto"/>
        <w:tabs>
          <w:tab w:leader="none" w:pos="460" w:val="left"/>
        </w:tabs>
        <w:numPr>
          <w:ilvl w:val="0"/>
          <w:numId w:val="23"/>
        </w:numPr>
        <w:rPr>
          <w:rFonts w:ascii="Wingdings" w:cs="Wingdings" w:eastAsia="Wingdings" w:hAnsi="Wingdings"/>
          <w:sz w:val="16"/>
          <w:szCs w:val="16"/>
          <w:b w:val="1"/>
          <w:bCs w:val="1"/>
          <w:color w:val="6A6E6F"/>
        </w:rPr>
      </w:pPr>
      <w:r>
        <w:rPr>
          <w:rFonts w:ascii="Arial" w:cs="Arial" w:eastAsia="Arial" w:hAnsi="Arial"/>
          <w:sz w:val="16"/>
          <w:szCs w:val="16"/>
          <w:color w:val="6A6E6F"/>
        </w:rPr>
        <w:t>Former Executive Vice President and General Manager, IT Asset Lifecycle Management of Iron Mountain</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Qualifications</w:t>
      </w:r>
    </w:p>
    <w:p>
      <w:pPr>
        <w:spacing w:after="0" w:line="73" w:lineRule="exact"/>
        <w:rPr>
          <w:sz w:val="20"/>
          <w:szCs w:val="20"/>
          <w:color w:val="auto"/>
        </w:rPr>
      </w:pPr>
    </w:p>
    <w:p>
      <w:pPr>
        <w:ind w:left="460" w:right="500" w:hanging="196"/>
        <w:spacing w:after="0" w:line="253" w:lineRule="auto"/>
        <w:tabs>
          <w:tab w:leader="none" w:pos="460" w:val="left"/>
        </w:tabs>
        <w:numPr>
          <w:ilvl w:val="0"/>
          <w:numId w:val="24"/>
        </w:numPr>
        <w:rPr>
          <w:rFonts w:ascii="Wingdings" w:cs="Wingdings" w:eastAsia="Wingdings" w:hAnsi="Wingdings"/>
          <w:sz w:val="16"/>
          <w:szCs w:val="16"/>
          <w:b w:val="1"/>
          <w:bCs w:val="1"/>
          <w:color w:val="6A6E6F"/>
        </w:rPr>
      </w:pPr>
      <w:r>
        <w:rPr>
          <w:rFonts w:ascii="Arial" w:cs="Arial" w:eastAsia="Arial" w:hAnsi="Arial"/>
          <w:sz w:val="16"/>
          <w:szCs w:val="16"/>
          <w:color w:val="6A6E6F"/>
        </w:rPr>
        <w:t>Extensive background in corporate strategy, global risk, addressing technological change, cybersecurity, sales, general management, marketing and human capital</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6A6E6F"/>
        </w:rPr>
        <w:t>management.</w:t>
      </w:r>
    </w:p>
    <w:p>
      <w:pPr>
        <w:spacing w:after="0" w:line="8" w:lineRule="exact"/>
        <w:rPr>
          <w:sz w:val="20"/>
          <w:szCs w:val="20"/>
          <w:color w:val="auto"/>
        </w:rPr>
      </w:pPr>
    </w:p>
    <w:p>
      <w:pPr>
        <w:ind w:left="260"/>
        <w:spacing w:after="0" w:line="264" w:lineRule="auto"/>
        <w:rPr>
          <w:sz w:val="20"/>
          <w:szCs w:val="20"/>
          <w:color w:val="auto"/>
        </w:rPr>
      </w:pPr>
      <w:r>
        <w:rPr>
          <w:rFonts w:ascii="Arial" w:cs="Arial" w:eastAsia="Arial" w:hAnsi="Arial"/>
          <w:sz w:val="14"/>
          <w:szCs w:val="14"/>
          <w:color w:val="6A6E6F"/>
        </w:rPr>
        <w:t>*Ms. Evens will become independent Lead Director after the 2026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6A6E6F"/>
        </w:rPr>
        <w:t>Professional Experience:</w:t>
      </w:r>
    </w:p>
    <w:p>
      <w:pPr>
        <w:spacing w:after="0" w:line="2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6A6E6F"/>
        </w:rPr>
        <w:t>Ms. Evens, a graduate of Cornell University, served as Executive Vice President and General Manager, IT Asset Lifecycle Management of Iron Mountain, Inc. (NYSE: IRM) from January 2022 until her retirement in December 2023. Prior to that, she served as Executive Vice President and General Manager, North America, Records and Information Management of Iron Mountain from July 2018 to January 2022. Prior to that, she served as its Chief of Operations from January 2018 to June 30, 2018 and as its Chief People Officer and Executive Vice President from July 21, 2015 to January 2018. Prior to her service with Iron Mountain, Ms. Evens served as an Executive Vice President of human resources at Clean Harbors, Inc. (NYSE: CLH) from 2011 to July 2015, overseeing all aspects of human resources and employee development for a global workforce of more than 13,000 employees. From 2007 to 2011, Ms. Evens served as Executive Vice President of Corporate Sales &amp; Business Development for Clean Harbors. Prior to her service with Clean Harbors, Ms. Evens served as Senior Vice President of Member Insight at BJ’s Wholesale Club Holdings, Inc. (NYSE: BJ) from 2006 to 2007 and held a series of positions of increasing responsibility at Polaroid Corporation from 1986 to 2006, including her role as Senior Vice President of Strategy. Ms. Evens is an independent director at CSC ServiceWorks, a private equity firm in North America, and has served as interim Chief Executive Officer since May 2025, an assignment expected to conclude in April 2026.</w:t>
      </w:r>
    </w:p>
    <w:p>
      <w:pPr>
        <w:spacing w:after="0" w:line="792" w:lineRule="exact"/>
        <w:rPr>
          <w:sz w:val="20"/>
          <w:szCs w:val="20"/>
          <w:color w:val="auto"/>
        </w:rPr>
      </w:pPr>
    </w:p>
    <w:p>
      <w:pPr>
        <w:sectPr>
          <w:pgSz w:w="11900" w:h="16838" w:orient="portrait"/>
          <w:cols w:equalWidth="0" w:num="2">
            <w:col w:w="4940" w:space="380"/>
            <w:col w:w="5820"/>
          </w:cols>
          <w:pgMar w:left="320" w:top="482" w:right="439" w:bottom="1440" w:gutter="0" w:footer="0" w:header="0"/>
          <w:type w:val="continuous"/>
        </w:sectPr>
      </w:pPr>
    </w:p>
    <w:p>
      <w:pPr>
        <w:spacing w:after="0" w:line="300" w:lineRule="exact"/>
        <w:rPr>
          <w:sz w:val="20"/>
          <w:szCs w:val="20"/>
          <w:color w:val="auto"/>
        </w:rPr>
      </w:pPr>
    </w:p>
    <w:p>
      <w:pPr>
        <w:ind w:left="802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11</w:t>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3060065" cy="32404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60065" cy="3240405"/>
                    </a:xfrm>
                    <a:prstGeom prst="rect">
                      <a:avLst/>
                    </a:prstGeom>
                    <a:noFill/>
                  </pic:spPr>
                </pic:pic>
              </a:graphicData>
            </a:graphic>
          </wp:anchor>
        </w:drawing>
      </w:r>
    </w:p>
    <w:p>
      <w:pPr>
        <w:spacing w:after="0" w:line="20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Thomas W.</w:t>
      </w:r>
    </w:p>
    <w:p>
      <w:pPr>
        <w:spacing w:after="0" w:line="1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Furphy</w:t>
      </w:r>
    </w:p>
    <w:p>
      <w:pPr>
        <w:spacing w:after="0" w:line="10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Age: </w:t>
      </w:r>
      <w:r>
        <w:rPr>
          <w:rFonts w:ascii="Arial" w:cs="Arial" w:eastAsia="Arial" w:hAnsi="Arial"/>
          <w:sz w:val="16"/>
          <w:szCs w:val="16"/>
          <w:color w:val="6A6E6F"/>
        </w:rPr>
        <w:t>59</w:t>
      </w:r>
    </w:p>
    <w:p>
      <w:pPr>
        <w:spacing w:after="0" w:line="127"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Director Since: </w:t>
      </w:r>
      <w:r>
        <w:rPr>
          <w:rFonts w:ascii="Arial" w:cs="Arial" w:eastAsia="Arial" w:hAnsi="Arial"/>
          <w:sz w:val="16"/>
          <w:szCs w:val="16"/>
          <w:color w:val="6A6E6F"/>
        </w:rPr>
        <w:t>2019</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Board Committees</w:t>
      </w:r>
    </w:p>
    <w:p>
      <w:pPr>
        <w:spacing w:after="0" w:line="35" w:lineRule="exact"/>
        <w:rPr>
          <w:sz w:val="20"/>
          <w:szCs w:val="20"/>
          <w:color w:val="auto"/>
        </w:rPr>
      </w:pPr>
    </w:p>
    <w:p>
      <w:pPr>
        <w:ind w:left="460" w:hanging="196"/>
        <w:spacing w:after="0"/>
        <w:tabs>
          <w:tab w:leader="none" w:pos="460" w:val="left"/>
        </w:tabs>
        <w:numPr>
          <w:ilvl w:val="0"/>
          <w:numId w:val="25"/>
        </w:numPr>
        <w:rPr>
          <w:rFonts w:ascii="Wingdings" w:cs="Wingdings" w:eastAsia="Wingdings" w:hAnsi="Wingdings"/>
          <w:sz w:val="16"/>
          <w:szCs w:val="16"/>
          <w:b w:val="1"/>
          <w:bCs w:val="1"/>
          <w:color w:val="6A6E6F"/>
        </w:rPr>
      </w:pPr>
      <w:r>
        <w:rPr>
          <w:rFonts w:ascii="Arial" w:cs="Arial" w:eastAsia="Arial" w:hAnsi="Arial"/>
          <w:sz w:val="16"/>
          <w:szCs w:val="16"/>
          <w:color w:val="6A6E6F"/>
        </w:rPr>
        <w:t>Audit</w:t>
      </w:r>
    </w:p>
    <w:p>
      <w:pPr>
        <w:spacing w:after="0" w:line="5" w:lineRule="exact"/>
        <w:rPr>
          <w:rFonts w:ascii="Wingdings" w:cs="Wingdings" w:eastAsia="Wingdings" w:hAnsi="Wingdings"/>
          <w:sz w:val="16"/>
          <w:szCs w:val="16"/>
          <w:b w:val="1"/>
          <w:bCs w:val="1"/>
          <w:color w:val="6A6E6F"/>
        </w:rPr>
      </w:pPr>
    </w:p>
    <w:p>
      <w:pPr>
        <w:ind w:left="460" w:hanging="196"/>
        <w:spacing w:after="0"/>
        <w:tabs>
          <w:tab w:leader="none" w:pos="460" w:val="left"/>
        </w:tabs>
        <w:numPr>
          <w:ilvl w:val="0"/>
          <w:numId w:val="25"/>
        </w:numPr>
        <w:rPr>
          <w:rFonts w:ascii="Wingdings" w:cs="Wingdings" w:eastAsia="Wingdings" w:hAnsi="Wingdings"/>
          <w:sz w:val="16"/>
          <w:szCs w:val="16"/>
          <w:b w:val="1"/>
          <w:bCs w:val="1"/>
          <w:color w:val="6A6E6F"/>
        </w:rPr>
      </w:pPr>
      <w:r>
        <w:rPr>
          <w:rFonts w:ascii="Arial" w:cs="Arial" w:eastAsia="Arial" w:hAnsi="Arial"/>
          <w:sz w:val="16"/>
          <w:szCs w:val="16"/>
          <w:color w:val="6A6E6F"/>
        </w:rPr>
        <w:t>Investment</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Other public company boards</w:t>
      </w:r>
    </w:p>
    <w:p>
      <w:pPr>
        <w:spacing w:after="0" w:line="35" w:lineRule="exact"/>
        <w:rPr>
          <w:sz w:val="20"/>
          <w:szCs w:val="20"/>
          <w:color w:val="auto"/>
        </w:rPr>
      </w:pPr>
    </w:p>
    <w:p>
      <w:pPr>
        <w:ind w:left="460" w:hanging="196"/>
        <w:spacing w:after="0"/>
        <w:tabs>
          <w:tab w:leader="none" w:pos="460" w:val="left"/>
        </w:tabs>
        <w:numPr>
          <w:ilvl w:val="0"/>
          <w:numId w:val="26"/>
        </w:numPr>
        <w:rPr>
          <w:rFonts w:ascii="Wingdings" w:cs="Wingdings" w:eastAsia="Wingdings" w:hAnsi="Wingdings"/>
          <w:sz w:val="16"/>
          <w:szCs w:val="16"/>
          <w:b w:val="1"/>
          <w:bCs w:val="1"/>
          <w:color w:val="6A6E6F"/>
        </w:rPr>
      </w:pPr>
      <w:r>
        <w:rPr>
          <w:rFonts w:ascii="Arial" w:cs="Arial" w:eastAsia="Arial" w:hAnsi="Arial"/>
          <w:sz w:val="16"/>
          <w:szCs w:val="16"/>
          <w:color w:val="6A6E6F"/>
        </w:rPr>
        <w:t>None</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Principal occupation or employment</w:t>
      </w:r>
    </w:p>
    <w:p>
      <w:pPr>
        <w:spacing w:after="0" w:line="35" w:lineRule="exact"/>
        <w:rPr>
          <w:sz w:val="20"/>
          <w:szCs w:val="20"/>
          <w:color w:val="auto"/>
        </w:rPr>
      </w:pPr>
    </w:p>
    <w:p>
      <w:pPr>
        <w:ind w:left="460" w:right="80" w:hanging="196"/>
        <w:spacing w:after="0" w:line="265" w:lineRule="auto"/>
        <w:tabs>
          <w:tab w:leader="none" w:pos="460" w:val="left"/>
        </w:tabs>
        <w:numPr>
          <w:ilvl w:val="0"/>
          <w:numId w:val="27"/>
        </w:numPr>
        <w:rPr>
          <w:rFonts w:ascii="Wingdings" w:cs="Wingdings" w:eastAsia="Wingdings" w:hAnsi="Wingdings"/>
          <w:sz w:val="16"/>
          <w:szCs w:val="16"/>
          <w:b w:val="1"/>
          <w:bCs w:val="1"/>
          <w:color w:val="6A6E6F"/>
        </w:rPr>
      </w:pPr>
      <w:r>
        <w:rPr>
          <w:rFonts w:ascii="Arial" w:cs="Arial" w:eastAsia="Arial" w:hAnsi="Arial"/>
          <w:sz w:val="16"/>
          <w:szCs w:val="16"/>
          <w:color w:val="6A6E6F"/>
        </w:rPr>
        <w:t>Chief Executive Officer and Managing Director of Consumer Equity Partners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Qualifications</w:t>
      </w:r>
    </w:p>
    <w:p>
      <w:pPr>
        <w:spacing w:after="0" w:line="35" w:lineRule="exact"/>
        <w:rPr>
          <w:sz w:val="20"/>
          <w:szCs w:val="20"/>
          <w:color w:val="auto"/>
        </w:rPr>
      </w:pPr>
    </w:p>
    <w:p>
      <w:pPr>
        <w:ind w:left="460" w:hanging="196"/>
        <w:spacing w:after="0" w:line="265" w:lineRule="auto"/>
        <w:tabs>
          <w:tab w:leader="none" w:pos="460" w:val="left"/>
        </w:tabs>
        <w:numPr>
          <w:ilvl w:val="0"/>
          <w:numId w:val="28"/>
        </w:numPr>
        <w:rPr>
          <w:rFonts w:ascii="Wingdings" w:cs="Wingdings" w:eastAsia="Wingdings" w:hAnsi="Wingdings"/>
          <w:sz w:val="16"/>
          <w:szCs w:val="16"/>
          <w:b w:val="1"/>
          <w:bCs w:val="1"/>
          <w:color w:val="6A6E6F"/>
        </w:rPr>
      </w:pPr>
      <w:r>
        <w:rPr>
          <w:rFonts w:ascii="Arial" w:cs="Arial" w:eastAsia="Arial" w:hAnsi="Arial"/>
          <w:sz w:val="16"/>
          <w:szCs w:val="16"/>
          <w:color w:val="6A6E6F"/>
        </w:rPr>
        <w:t>Extensive experience in retail, addressing technological change, AI, cybersecurity, marketing, finance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821055</wp:posOffset>
            </wp:positionV>
            <wp:extent cx="3231515" cy="2802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151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Karin M.</w:t>
      </w:r>
    </w:p>
    <w:p>
      <w:pPr>
        <w:spacing w:after="0" w:line="1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Klein</w:t>
      </w:r>
    </w:p>
    <w:p>
      <w:pPr>
        <w:spacing w:after="0" w:line="10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Age: </w:t>
      </w:r>
      <w:r>
        <w:rPr>
          <w:rFonts w:ascii="Arial" w:cs="Arial" w:eastAsia="Arial" w:hAnsi="Arial"/>
          <w:sz w:val="16"/>
          <w:szCs w:val="16"/>
          <w:color w:val="6A6E6F"/>
        </w:rPr>
        <w:t>54</w:t>
      </w:r>
    </w:p>
    <w:p>
      <w:pPr>
        <w:spacing w:after="0" w:line="127"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Director Since: </w:t>
      </w:r>
      <w:r>
        <w:rPr>
          <w:rFonts w:ascii="Arial" w:cs="Arial" w:eastAsia="Arial" w:hAnsi="Arial"/>
          <w:sz w:val="16"/>
          <w:szCs w:val="16"/>
          <w:color w:val="6A6E6F"/>
        </w:rPr>
        <w:t>2019</w:t>
      </w:r>
    </w:p>
    <w:p>
      <w:pPr>
        <w:spacing w:after="0" w:line="34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Board Committees</w:t>
      </w:r>
    </w:p>
    <w:p>
      <w:pPr>
        <w:spacing w:after="0" w:line="35" w:lineRule="exact"/>
        <w:rPr>
          <w:sz w:val="20"/>
          <w:szCs w:val="20"/>
          <w:color w:val="auto"/>
        </w:rPr>
      </w:pPr>
    </w:p>
    <w:p>
      <w:pPr>
        <w:ind w:left="460" w:hanging="196"/>
        <w:spacing w:after="0"/>
        <w:tabs>
          <w:tab w:leader="none" w:pos="460" w:val="left"/>
        </w:tabs>
        <w:numPr>
          <w:ilvl w:val="0"/>
          <w:numId w:val="29"/>
        </w:numPr>
        <w:rPr>
          <w:rFonts w:ascii="Wingdings" w:cs="Wingdings" w:eastAsia="Wingdings" w:hAnsi="Wingdings"/>
          <w:sz w:val="16"/>
          <w:szCs w:val="16"/>
          <w:b w:val="1"/>
          <w:bCs w:val="1"/>
          <w:color w:val="6A6E6F"/>
        </w:rPr>
      </w:pPr>
      <w:r>
        <w:rPr>
          <w:rFonts w:ascii="Arial" w:cs="Arial" w:eastAsia="Arial" w:hAnsi="Arial"/>
          <w:sz w:val="16"/>
          <w:szCs w:val="16"/>
          <w:color w:val="6A6E6F"/>
        </w:rPr>
        <w:t>Audit (Chair)</w:t>
      </w:r>
    </w:p>
    <w:p>
      <w:pPr>
        <w:spacing w:after="0" w:line="14" w:lineRule="exact"/>
        <w:rPr>
          <w:rFonts w:ascii="Wingdings" w:cs="Wingdings" w:eastAsia="Wingdings" w:hAnsi="Wingdings"/>
          <w:sz w:val="16"/>
          <w:szCs w:val="16"/>
          <w:b w:val="1"/>
          <w:bCs w:val="1"/>
          <w:color w:val="6A6E6F"/>
        </w:rPr>
      </w:pPr>
    </w:p>
    <w:p>
      <w:pPr>
        <w:ind w:left="460" w:hanging="196"/>
        <w:spacing w:after="0"/>
        <w:tabs>
          <w:tab w:leader="none" w:pos="460" w:val="left"/>
        </w:tabs>
        <w:numPr>
          <w:ilvl w:val="0"/>
          <w:numId w:val="29"/>
        </w:numPr>
        <w:rPr>
          <w:rFonts w:ascii="Wingdings" w:cs="Wingdings" w:eastAsia="Wingdings" w:hAnsi="Wingdings"/>
          <w:sz w:val="16"/>
          <w:szCs w:val="16"/>
          <w:b w:val="1"/>
          <w:bCs w:val="1"/>
          <w:color w:val="6A6E6F"/>
        </w:rPr>
      </w:pPr>
      <w:r>
        <w:rPr>
          <w:rFonts w:ascii="Arial" w:cs="Arial" w:eastAsia="Arial" w:hAnsi="Arial"/>
          <w:sz w:val="16"/>
          <w:szCs w:val="16"/>
          <w:color w:val="6A6E6F"/>
        </w:rPr>
        <w:t>Nominating and Governance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Other public company boards</w:t>
      </w:r>
    </w:p>
    <w:p>
      <w:pPr>
        <w:spacing w:after="0" w:line="35" w:lineRule="exact"/>
        <w:rPr>
          <w:sz w:val="20"/>
          <w:szCs w:val="20"/>
          <w:color w:val="auto"/>
        </w:rPr>
      </w:pPr>
    </w:p>
    <w:p>
      <w:pPr>
        <w:ind w:left="460" w:hanging="196"/>
        <w:spacing w:after="0"/>
        <w:tabs>
          <w:tab w:leader="none" w:pos="460" w:val="left"/>
        </w:tabs>
        <w:numPr>
          <w:ilvl w:val="0"/>
          <w:numId w:val="30"/>
        </w:numPr>
        <w:rPr>
          <w:rFonts w:ascii="Wingdings" w:cs="Wingdings" w:eastAsia="Wingdings" w:hAnsi="Wingdings"/>
          <w:sz w:val="16"/>
          <w:szCs w:val="16"/>
          <w:b w:val="1"/>
          <w:bCs w:val="1"/>
          <w:color w:val="6A6E6F"/>
        </w:rPr>
      </w:pPr>
      <w:r>
        <w:rPr>
          <w:rFonts w:ascii="Arial" w:cs="Arial" w:eastAsia="Arial" w:hAnsi="Arial"/>
          <w:sz w:val="16"/>
          <w:szCs w:val="16"/>
          <w:color w:val="6A6E6F"/>
        </w:rPr>
        <w:t>None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Principal occupation or employment</w:t>
      </w:r>
    </w:p>
    <w:p>
      <w:pPr>
        <w:spacing w:after="0" w:line="35" w:lineRule="exact"/>
        <w:rPr>
          <w:sz w:val="20"/>
          <w:szCs w:val="20"/>
          <w:color w:val="auto"/>
        </w:rPr>
      </w:pPr>
    </w:p>
    <w:p>
      <w:pPr>
        <w:ind w:left="460" w:hanging="196"/>
        <w:spacing w:after="0"/>
        <w:tabs>
          <w:tab w:leader="none" w:pos="460" w:val="left"/>
        </w:tabs>
        <w:numPr>
          <w:ilvl w:val="0"/>
          <w:numId w:val="31"/>
        </w:numPr>
        <w:rPr>
          <w:rFonts w:ascii="Wingdings" w:cs="Wingdings" w:eastAsia="Wingdings" w:hAnsi="Wingdings"/>
          <w:sz w:val="16"/>
          <w:szCs w:val="16"/>
          <w:b w:val="1"/>
          <w:bCs w:val="1"/>
          <w:color w:val="6A6E6F"/>
        </w:rPr>
      </w:pPr>
      <w:r>
        <w:rPr>
          <w:rFonts w:ascii="Arial" w:cs="Arial" w:eastAsia="Arial" w:hAnsi="Arial"/>
          <w:sz w:val="16"/>
          <w:szCs w:val="16"/>
          <w:color w:val="6A6E6F"/>
        </w:rPr>
        <w:t>Founding Partner of Bloomberg Beta</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Qualifications</w:t>
      </w:r>
    </w:p>
    <w:p>
      <w:pPr>
        <w:spacing w:after="0" w:line="35" w:lineRule="exact"/>
        <w:rPr>
          <w:sz w:val="20"/>
          <w:szCs w:val="20"/>
          <w:color w:val="auto"/>
        </w:rPr>
      </w:pPr>
    </w:p>
    <w:p>
      <w:pPr>
        <w:ind w:left="460" w:right="80" w:hanging="196"/>
        <w:spacing w:after="0" w:line="256" w:lineRule="auto"/>
        <w:tabs>
          <w:tab w:leader="none" w:pos="460" w:val="left"/>
        </w:tabs>
        <w:numPr>
          <w:ilvl w:val="0"/>
          <w:numId w:val="32"/>
        </w:numPr>
        <w:rPr>
          <w:rFonts w:ascii="Wingdings" w:cs="Wingdings" w:eastAsia="Wingdings" w:hAnsi="Wingdings"/>
          <w:sz w:val="16"/>
          <w:szCs w:val="16"/>
          <w:b w:val="1"/>
          <w:bCs w:val="1"/>
          <w:color w:val="6A6E6F"/>
        </w:rPr>
      </w:pPr>
      <w:r>
        <w:rPr>
          <w:rFonts w:ascii="Arial" w:cs="Arial" w:eastAsia="Arial" w:hAnsi="Arial"/>
          <w:sz w:val="16"/>
          <w:szCs w:val="16"/>
          <w:color w:val="6A6E6F"/>
        </w:rPr>
        <w:t>Extensive experience in media, addressing technological change, AI, cybersecurity, investments, finance, accounting, strategy and leadership.</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12</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6A6E6F"/>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-904240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color w:val="6A6E6F"/>
        </w:rPr>
        <w:t>Mr. Furphy, a graduate of Hartwick College, currently serves as Chief Executive Officer and Managing Director of Consumer Equity Partners, a venture capital and venture development firm. He also serves as Chairman and Chief Executive Officer of Replenium, Inc., a private e-commerce software company. Since July 2023, Mr. Furphy has served as a Luminary (senior advisor) to Accenture, a Dublin company that specializes in information technology services and consulting. Previously, Mr. Furphy served as Vice President of Consumables and AmazonFresh at Amazon.com, Inc. (NASDAQ: AMZN) from 2005 to 2009, where he was responsible for the underlying strategy, development and execution of the company’s grocery and health and beauty businesses. Prior to Amazon,</w:t>
      </w:r>
    </w:p>
    <w:p>
      <w:pPr>
        <w:spacing w:after="0" w:line="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6A6E6F"/>
        </w:rPr>
        <w:t>Mr. Furphy was the founder and Chief Executive Officer of Notiva, a leading provider of web-based trade settlement software for retailers and their trading partners. Prior to Notiva, from 1991 to 1999, he held various senior management roles at Wegmans Food Markets, Inc. Mr. Furphy previously served as Chairman and Chief Executive Officer of Ideoclick, Inc., a full-service ecommerce private agency. He also previously served as a board member of BevyUp, a private digital retail-selling platform, which was acquired by Nordstrom in March 2018. He previously served as a board member of Fairway Group Holdings Corp., a private parent company of Fairway Market, a grocery store operator.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6A6E6F"/>
        </w:rPr>
        <w:t>Professional Experience:</w:t>
      </w:r>
    </w:p>
    <w:p>
      <w:pPr>
        <w:spacing w:after="0" w:line="21" w:lineRule="exact"/>
        <w:rPr>
          <w:sz w:val="20"/>
          <w:szCs w:val="20"/>
          <w:color w:val="auto"/>
        </w:rPr>
      </w:pPr>
    </w:p>
    <w:p>
      <w:pPr>
        <w:spacing w:after="0" w:line="247" w:lineRule="auto"/>
        <w:rPr>
          <w:sz w:val="20"/>
          <w:szCs w:val="20"/>
          <w:color w:val="auto"/>
        </w:rPr>
      </w:pPr>
      <w:r>
        <w:rPr>
          <w:rFonts w:ascii="Arial" w:cs="Arial" w:eastAsia="Arial" w:hAnsi="Arial"/>
          <w:sz w:val="16"/>
          <w:szCs w:val="16"/>
          <w:color w:val="6A6E6F"/>
        </w:rPr>
        <w:t>Ms. Klein, a graduate of the University of Pennsylvania, holds an M.B.A from the Wharton School of University of Pennsylvania. She serves as the founding partner of Bloomberg Beta, a venture capital firm which invests in technology companies that help businesses work smarter, with a focus on machine intelligence, since 2013. Prior to launching Bloomberg Beta, Ms. Klein was responsible for strategy and business development for Bloomberg L.P. from 2010 to 2013 including serving as head of new initiatives. Prior to Bloomberg, from 2000 to 2010, Ms. Klein served in various roles at Softbank Corp., a multinational telecommunications and technology company, including the role of Director of Corporate Development. Before Softbank, she also held investing and operating roles at several investment companies and co-founded a children’s education business. She serves as member of the Board of Directors of Campus.edu, She previously served as an independent director of Paramount Group, Inc. (NYSE: PGRE), and formerly served as a member of the Board of Trustees of Harvey Mudd College.</w:t>
      </w:r>
    </w:p>
    <w:p>
      <w:pPr>
        <w:sectPr>
          <w:pgSz w:w="11900" w:h="16838" w:orient="portrait"/>
          <w:cols w:equalWidth="0" w:num="2">
            <w:col w:w="4840" w:space="480"/>
            <w:col w:w="580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6200" w:type="dxa"/>
            <w:vAlign w:val="bottom"/>
          </w:tcPr>
          <w:p>
            <w:pPr>
              <w:ind w:left="3300"/>
              <w:spacing w:after="0"/>
              <w:rPr>
                <w:sz w:val="20"/>
                <w:szCs w:val="20"/>
                <w:color w:val="auto"/>
              </w:rPr>
            </w:pPr>
            <w:r>
              <w:rPr>
                <w:rFonts w:ascii="Arial" w:cs="Arial" w:eastAsia="Arial" w:hAnsi="Arial"/>
                <w:sz w:val="16"/>
                <w:szCs w:val="16"/>
                <w:b w:val="1"/>
                <w:bCs w:val="1"/>
                <w:color w:val="auto"/>
              </w:rPr>
              <w:t>Proposal One: Election Of Directors  </w:t>
            </w:r>
            <w:r>
              <w:rPr>
                <w:rFonts w:ascii="Arial" w:cs="Arial" w:eastAsia="Arial" w:hAnsi="Arial"/>
                <w:sz w:val="19"/>
                <w:szCs w:val="19"/>
                <w:b w:val="1"/>
                <w:bCs w:val="1"/>
                <w:color w:val="E56D3D"/>
              </w:rPr>
              <w:t>|</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6200" w:type="dxa"/>
            <w:vAlign w:val="bottom"/>
            <w:vMerge w:val="restart"/>
          </w:tcPr>
          <w:p>
            <w:pPr>
              <w:ind w:left="380"/>
              <w:spacing w:after="0"/>
              <w:rPr>
                <w:sz w:val="20"/>
                <w:szCs w:val="20"/>
                <w:color w:val="auto"/>
              </w:rPr>
            </w:pPr>
            <w:r>
              <w:rPr>
                <w:rFonts w:ascii="Arial" w:cs="Arial" w:eastAsia="Arial" w:hAnsi="Arial"/>
                <w:sz w:val="16"/>
                <w:szCs w:val="16"/>
                <w:b w:val="1"/>
                <w:bCs w:val="1"/>
                <w:color w:val="6A6E6F"/>
              </w:rPr>
              <w:t>Professional Experience:</w:t>
            </w:r>
          </w:p>
        </w:tc>
        <w:tc>
          <w:tcPr>
            <w:tcW w:w="0" w:type="dxa"/>
            <w:vAlign w:val="bottom"/>
          </w:tcPr>
          <w:p>
            <w:pPr>
              <w:spacing w:after="0"/>
              <w:rPr>
                <w:sz w:val="1"/>
                <w:szCs w:val="1"/>
                <w:color w:val="auto"/>
              </w:rPr>
            </w:pPr>
          </w:p>
        </w:tc>
      </w:tr>
      <w:tr>
        <w:trPr>
          <w:trHeight w:val="175"/>
        </w:trPr>
        <w:tc>
          <w:tcPr>
            <w:tcW w:w="40" w:type="dxa"/>
            <w:vAlign w:val="bottom"/>
            <w:shd w:val="clear" w:color="auto" w:fill="F7F7F7"/>
          </w:tcPr>
          <w:p>
            <w:pPr>
              <w:spacing w:after="0"/>
              <w:rPr>
                <w:sz w:val="15"/>
                <w:szCs w:val="15"/>
                <w:color w:val="auto"/>
              </w:rPr>
            </w:pPr>
          </w:p>
        </w:tc>
        <w:tc>
          <w:tcPr>
            <w:tcW w:w="240" w:type="dxa"/>
            <w:vAlign w:val="bottom"/>
            <w:shd w:val="clear" w:color="auto" w:fill="F7F7F7"/>
          </w:tcPr>
          <w:p>
            <w:pPr>
              <w:spacing w:after="0"/>
              <w:rPr>
                <w:sz w:val="15"/>
                <w:szCs w:val="15"/>
                <w:color w:val="auto"/>
              </w:rPr>
            </w:pPr>
          </w:p>
        </w:tc>
        <w:tc>
          <w:tcPr>
            <w:tcW w:w="4540" w:type="dxa"/>
            <w:vAlign w:val="bottom"/>
            <w:vMerge w:val="restart"/>
            <w:shd w:val="clear" w:color="auto" w:fill="F7F7F7"/>
          </w:tcPr>
          <w:p>
            <w:pPr>
              <w:ind w:left="1820"/>
              <w:spacing w:after="0"/>
              <w:rPr>
                <w:sz w:val="20"/>
                <w:szCs w:val="20"/>
                <w:color w:val="auto"/>
              </w:rPr>
            </w:pPr>
            <w:r>
              <w:rPr>
                <w:rFonts w:ascii="Times New Roman" w:cs="Times New Roman" w:eastAsia="Times New Roman" w:hAnsi="Times New Roman"/>
                <w:sz w:val="22"/>
                <w:szCs w:val="22"/>
                <w:b w:val="1"/>
                <w:bCs w:val="1"/>
                <w:color w:val="6A6E6F"/>
              </w:rPr>
              <w:t>Peter D.</w:t>
            </w:r>
          </w:p>
        </w:tc>
        <w:tc>
          <w:tcPr>
            <w:tcW w:w="6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F7F7F7"/>
          </w:tcPr>
          <w:p>
            <w:pPr>
              <w:spacing w:after="0"/>
              <w:rPr>
                <w:sz w:val="14"/>
                <w:szCs w:val="14"/>
                <w:color w:val="auto"/>
              </w:rPr>
            </w:pPr>
          </w:p>
        </w:tc>
        <w:tc>
          <w:tcPr>
            <w:tcW w:w="240" w:type="dxa"/>
            <w:vAlign w:val="bottom"/>
            <w:shd w:val="clear" w:color="auto" w:fill="F7F7F7"/>
          </w:tcPr>
          <w:p>
            <w:pPr>
              <w:spacing w:after="0"/>
              <w:rPr>
                <w:sz w:val="14"/>
                <w:szCs w:val="14"/>
                <w:color w:val="auto"/>
              </w:rPr>
            </w:pPr>
          </w:p>
        </w:tc>
        <w:tc>
          <w:tcPr>
            <w:tcW w:w="4540" w:type="dxa"/>
            <w:vAlign w:val="bottom"/>
            <w:vMerge w:val="continue"/>
            <w:shd w:val="clear" w:color="auto" w:fill="F7F7F7"/>
          </w:tcPr>
          <w:p>
            <w:pPr>
              <w:spacing w:after="0"/>
              <w:rPr>
                <w:sz w:val="14"/>
                <w:szCs w:val="14"/>
                <w:color w:val="auto"/>
              </w:rPr>
            </w:pPr>
          </w:p>
        </w:tc>
        <w:tc>
          <w:tcPr>
            <w:tcW w:w="6200" w:type="dxa"/>
            <w:vAlign w:val="bottom"/>
          </w:tcPr>
          <w:p>
            <w:pPr>
              <w:ind w:left="380"/>
              <w:spacing w:after="0" w:line="163" w:lineRule="exact"/>
              <w:rPr>
                <w:sz w:val="20"/>
                <w:szCs w:val="20"/>
                <w:color w:val="auto"/>
              </w:rPr>
            </w:pPr>
            <w:r>
              <w:rPr>
                <w:rFonts w:ascii="Arial" w:cs="Arial" w:eastAsia="Arial" w:hAnsi="Arial"/>
                <w:sz w:val="16"/>
                <w:szCs w:val="16"/>
                <w:color w:val="6A6E6F"/>
              </w:rPr>
              <w:t>Dr. Linneman holds both an M.A. and a doctorate degree in economics from the</w:t>
            </w:r>
          </w:p>
        </w:tc>
        <w:tc>
          <w:tcPr>
            <w:tcW w:w="0" w:type="dxa"/>
            <w:vAlign w:val="bottom"/>
          </w:tcPr>
          <w:p>
            <w:pPr>
              <w:spacing w:after="0"/>
              <w:rPr>
                <w:sz w:val="1"/>
                <w:szCs w:val="1"/>
                <w:color w:val="auto"/>
              </w:rPr>
            </w:pPr>
          </w:p>
        </w:tc>
      </w:tr>
      <w:tr>
        <w:trPr>
          <w:trHeight w:val="215"/>
        </w:trPr>
        <w:tc>
          <w:tcPr>
            <w:tcW w:w="40" w:type="dxa"/>
            <w:vAlign w:val="bottom"/>
            <w:shd w:val="clear" w:color="auto" w:fill="F7F7F7"/>
          </w:tcPr>
          <w:p>
            <w:pPr>
              <w:spacing w:after="0"/>
              <w:rPr>
                <w:sz w:val="18"/>
                <w:szCs w:val="18"/>
                <w:color w:val="auto"/>
              </w:rPr>
            </w:pPr>
          </w:p>
        </w:tc>
        <w:tc>
          <w:tcPr>
            <w:tcW w:w="240" w:type="dxa"/>
            <w:vAlign w:val="bottom"/>
            <w:shd w:val="clear" w:color="auto" w:fill="F7F7F7"/>
          </w:tcPr>
          <w:p>
            <w:pPr>
              <w:spacing w:after="0"/>
              <w:rPr>
                <w:sz w:val="18"/>
                <w:szCs w:val="18"/>
                <w:color w:val="auto"/>
              </w:rPr>
            </w:pPr>
          </w:p>
        </w:tc>
        <w:tc>
          <w:tcPr>
            <w:tcW w:w="4540" w:type="dxa"/>
            <w:vAlign w:val="bottom"/>
            <w:shd w:val="clear" w:color="auto" w:fill="F7F7F7"/>
          </w:tcPr>
          <w:p>
            <w:pPr>
              <w:ind w:left="1820"/>
              <w:spacing w:after="0" w:line="216" w:lineRule="exact"/>
              <w:rPr>
                <w:sz w:val="20"/>
                <w:szCs w:val="20"/>
                <w:color w:val="auto"/>
              </w:rPr>
            </w:pPr>
            <w:r>
              <w:rPr>
                <w:rFonts w:ascii="Times New Roman" w:cs="Times New Roman" w:eastAsia="Times New Roman" w:hAnsi="Times New Roman"/>
                <w:sz w:val="22"/>
                <w:szCs w:val="22"/>
                <w:b w:val="1"/>
                <w:bCs w:val="1"/>
                <w:color w:val="6A6E6F"/>
              </w:rPr>
              <w:t>Linneman</w:t>
            </w:r>
          </w:p>
        </w:tc>
        <w:tc>
          <w:tcPr>
            <w:tcW w:w="6200" w:type="dxa"/>
            <w:vAlign w:val="bottom"/>
          </w:tcPr>
          <w:p>
            <w:pPr>
              <w:ind w:left="380"/>
              <w:spacing w:after="0"/>
              <w:rPr>
                <w:sz w:val="20"/>
                <w:szCs w:val="20"/>
                <w:color w:val="auto"/>
              </w:rPr>
            </w:pPr>
            <w:r>
              <w:rPr>
                <w:rFonts w:ascii="Arial" w:cs="Arial" w:eastAsia="Arial" w:hAnsi="Arial"/>
                <w:sz w:val="16"/>
                <w:szCs w:val="16"/>
                <w:color w:val="6A6E6F"/>
              </w:rPr>
              <w:t>University of Chicago. He served on the Board of Equity One, Inc. from 2000</w:t>
            </w:r>
          </w:p>
        </w:tc>
        <w:tc>
          <w:tcPr>
            <w:tcW w:w="0" w:type="dxa"/>
            <w:vAlign w:val="bottom"/>
          </w:tcPr>
          <w:p>
            <w:pPr>
              <w:spacing w:after="0"/>
              <w:rPr>
                <w:sz w:val="1"/>
                <w:szCs w:val="1"/>
                <w:color w:val="auto"/>
              </w:rPr>
            </w:pPr>
          </w:p>
        </w:tc>
      </w:tr>
      <w:tr>
        <w:trPr>
          <w:trHeight w:val="189"/>
        </w:trPr>
        <w:tc>
          <w:tcPr>
            <w:tcW w:w="40" w:type="dxa"/>
            <w:vAlign w:val="bottom"/>
            <w:shd w:val="clear" w:color="auto" w:fill="F7F7F7"/>
          </w:tcPr>
          <w:p>
            <w:pPr>
              <w:spacing w:after="0"/>
              <w:rPr>
                <w:sz w:val="16"/>
                <w:szCs w:val="16"/>
                <w:color w:val="auto"/>
              </w:rPr>
            </w:pPr>
          </w:p>
        </w:tc>
        <w:tc>
          <w:tcPr>
            <w:tcW w:w="240" w:type="dxa"/>
            <w:vAlign w:val="bottom"/>
            <w:shd w:val="clear" w:color="auto" w:fill="F7F7F7"/>
          </w:tcPr>
          <w:p>
            <w:pPr>
              <w:spacing w:after="0"/>
              <w:rPr>
                <w:sz w:val="16"/>
                <w:szCs w:val="16"/>
                <w:color w:val="auto"/>
              </w:rPr>
            </w:pPr>
          </w:p>
        </w:tc>
        <w:tc>
          <w:tcPr>
            <w:tcW w:w="4540" w:type="dxa"/>
            <w:vAlign w:val="bottom"/>
            <w:vMerge w:val="restart"/>
            <w:shd w:val="clear" w:color="auto" w:fill="F7F7F7"/>
          </w:tcPr>
          <w:p>
            <w:pPr>
              <w:ind w:left="1820"/>
              <w:spacing w:after="0"/>
              <w:rPr>
                <w:sz w:val="20"/>
                <w:szCs w:val="20"/>
                <w:color w:val="auto"/>
              </w:rPr>
            </w:pPr>
            <w:r>
              <w:rPr>
                <w:rFonts w:ascii="Arial" w:cs="Arial" w:eastAsia="Arial" w:hAnsi="Arial"/>
                <w:sz w:val="16"/>
                <w:szCs w:val="16"/>
                <w:b w:val="1"/>
                <w:bCs w:val="1"/>
                <w:color w:val="6A6E6F"/>
              </w:rPr>
              <w:t xml:space="preserve">Age: </w:t>
            </w:r>
            <w:r>
              <w:rPr>
                <w:rFonts w:ascii="Arial" w:cs="Arial" w:eastAsia="Arial" w:hAnsi="Arial"/>
                <w:sz w:val="16"/>
                <w:szCs w:val="16"/>
                <w:color w:val="6A6E6F"/>
              </w:rPr>
              <w:t>75</w:t>
            </w:r>
          </w:p>
        </w:tc>
        <w:tc>
          <w:tcPr>
            <w:tcW w:w="6200" w:type="dxa"/>
            <w:vAlign w:val="bottom"/>
          </w:tcPr>
          <w:p>
            <w:pPr>
              <w:ind w:left="380"/>
              <w:spacing w:after="0"/>
              <w:rPr>
                <w:sz w:val="20"/>
                <w:szCs w:val="20"/>
                <w:color w:val="auto"/>
              </w:rPr>
            </w:pPr>
            <w:r>
              <w:rPr>
                <w:rFonts w:ascii="Arial" w:cs="Arial" w:eastAsia="Arial" w:hAnsi="Arial"/>
                <w:sz w:val="16"/>
                <w:szCs w:val="16"/>
                <w:color w:val="6A6E6F"/>
              </w:rPr>
              <w:t>until its merger with Regency in 2017. Dr. Linneman is currently a principal of</w:t>
            </w:r>
          </w:p>
        </w:tc>
        <w:tc>
          <w:tcPr>
            <w:tcW w:w="0" w:type="dxa"/>
            <w:vAlign w:val="bottom"/>
          </w:tcPr>
          <w:p>
            <w:pPr>
              <w:spacing w:after="0"/>
              <w:rPr>
                <w:sz w:val="1"/>
                <w:szCs w:val="1"/>
                <w:color w:val="auto"/>
              </w:rPr>
            </w:pPr>
          </w:p>
        </w:tc>
      </w:tr>
      <w:tr>
        <w:trPr>
          <w:trHeight w:val="189"/>
        </w:trPr>
        <w:tc>
          <w:tcPr>
            <w:tcW w:w="40" w:type="dxa"/>
            <w:vAlign w:val="bottom"/>
            <w:shd w:val="clear" w:color="auto" w:fill="F7F7F7"/>
          </w:tcPr>
          <w:p>
            <w:pPr>
              <w:spacing w:after="0"/>
              <w:rPr>
                <w:sz w:val="16"/>
                <w:szCs w:val="16"/>
                <w:color w:val="auto"/>
              </w:rPr>
            </w:pPr>
          </w:p>
        </w:tc>
        <w:tc>
          <w:tcPr>
            <w:tcW w:w="240" w:type="dxa"/>
            <w:vAlign w:val="bottom"/>
            <w:shd w:val="clear" w:color="auto" w:fill="F7F7F7"/>
          </w:tcPr>
          <w:p>
            <w:pPr>
              <w:spacing w:after="0"/>
              <w:rPr>
                <w:sz w:val="16"/>
                <w:szCs w:val="16"/>
                <w:color w:val="auto"/>
              </w:rPr>
            </w:pPr>
          </w:p>
        </w:tc>
        <w:tc>
          <w:tcPr>
            <w:tcW w:w="4540" w:type="dxa"/>
            <w:vAlign w:val="bottom"/>
            <w:vMerge w:val="continue"/>
            <w:shd w:val="clear" w:color="auto" w:fill="F7F7F7"/>
          </w:tcPr>
          <w:p>
            <w:pPr>
              <w:spacing w:after="0"/>
              <w:rPr>
                <w:sz w:val="16"/>
                <w:szCs w:val="16"/>
                <w:color w:val="auto"/>
              </w:rPr>
            </w:pPr>
          </w:p>
        </w:tc>
        <w:tc>
          <w:tcPr>
            <w:tcW w:w="6200" w:type="dxa"/>
            <w:vAlign w:val="bottom"/>
          </w:tcPr>
          <w:p>
            <w:pPr>
              <w:ind w:left="380"/>
              <w:spacing w:after="0"/>
              <w:rPr>
                <w:sz w:val="20"/>
                <w:szCs w:val="20"/>
                <w:color w:val="auto"/>
              </w:rPr>
            </w:pPr>
            <w:r>
              <w:rPr>
                <w:rFonts w:ascii="Arial" w:cs="Arial" w:eastAsia="Arial" w:hAnsi="Arial"/>
                <w:sz w:val="16"/>
                <w:szCs w:val="16"/>
                <w:color w:val="6A6E6F"/>
              </w:rPr>
              <w:t>Linneman Associates, a real estate advisory firm, and affiliated entities. From</w:t>
            </w:r>
          </w:p>
        </w:tc>
        <w:tc>
          <w:tcPr>
            <w:tcW w:w="0" w:type="dxa"/>
            <w:vAlign w:val="bottom"/>
          </w:tcPr>
          <w:p>
            <w:pPr>
              <w:spacing w:after="0"/>
              <w:rPr>
                <w:sz w:val="1"/>
                <w:szCs w:val="1"/>
                <w:color w:val="auto"/>
              </w:rPr>
            </w:pPr>
          </w:p>
        </w:tc>
      </w:tr>
      <w:tr>
        <w:trPr>
          <w:trHeight w:val="189"/>
        </w:trPr>
        <w:tc>
          <w:tcPr>
            <w:tcW w:w="40" w:type="dxa"/>
            <w:vAlign w:val="bottom"/>
            <w:shd w:val="clear" w:color="auto" w:fill="F7F7F7"/>
          </w:tcPr>
          <w:p>
            <w:pPr>
              <w:spacing w:after="0"/>
              <w:rPr>
                <w:sz w:val="16"/>
                <w:szCs w:val="16"/>
                <w:color w:val="auto"/>
              </w:rPr>
            </w:pPr>
          </w:p>
        </w:tc>
        <w:tc>
          <w:tcPr>
            <w:tcW w:w="240" w:type="dxa"/>
            <w:vAlign w:val="bottom"/>
            <w:shd w:val="clear" w:color="auto" w:fill="F7F7F7"/>
          </w:tcPr>
          <w:p>
            <w:pPr>
              <w:spacing w:after="0"/>
              <w:rPr>
                <w:sz w:val="16"/>
                <w:szCs w:val="16"/>
                <w:color w:val="auto"/>
              </w:rPr>
            </w:pPr>
          </w:p>
        </w:tc>
        <w:tc>
          <w:tcPr>
            <w:tcW w:w="4540" w:type="dxa"/>
            <w:vAlign w:val="bottom"/>
            <w:vMerge w:val="restart"/>
            <w:shd w:val="clear" w:color="auto" w:fill="F7F7F7"/>
          </w:tcPr>
          <w:p>
            <w:pPr>
              <w:ind w:left="1820"/>
              <w:spacing w:after="0"/>
              <w:rPr>
                <w:sz w:val="20"/>
                <w:szCs w:val="20"/>
                <w:color w:val="auto"/>
              </w:rPr>
            </w:pPr>
            <w:r>
              <w:rPr>
                <w:rFonts w:ascii="Arial" w:cs="Arial" w:eastAsia="Arial" w:hAnsi="Arial"/>
                <w:sz w:val="16"/>
                <w:szCs w:val="16"/>
                <w:b w:val="1"/>
                <w:bCs w:val="1"/>
                <w:color w:val="6A6E6F"/>
              </w:rPr>
              <w:t xml:space="preserve">Director Since: </w:t>
            </w:r>
            <w:r>
              <w:rPr>
                <w:rFonts w:ascii="Arial" w:cs="Arial" w:eastAsia="Arial" w:hAnsi="Arial"/>
                <w:sz w:val="16"/>
                <w:szCs w:val="16"/>
                <w:color w:val="6A6E6F"/>
              </w:rPr>
              <w:t>2017</w:t>
            </w:r>
          </w:p>
        </w:tc>
        <w:tc>
          <w:tcPr>
            <w:tcW w:w="6200" w:type="dxa"/>
            <w:vAlign w:val="bottom"/>
          </w:tcPr>
          <w:p>
            <w:pPr>
              <w:ind w:left="380"/>
              <w:spacing w:after="0"/>
              <w:rPr>
                <w:sz w:val="20"/>
                <w:szCs w:val="20"/>
                <w:color w:val="auto"/>
              </w:rPr>
            </w:pPr>
            <w:r>
              <w:rPr>
                <w:rFonts w:ascii="Arial" w:cs="Arial" w:eastAsia="Arial" w:hAnsi="Arial"/>
                <w:sz w:val="16"/>
                <w:szCs w:val="16"/>
                <w:color w:val="6A6E6F"/>
              </w:rPr>
              <w:t>1979 to 2011, Dr. Linneman was a Professor of Real Estate, Finance and Public</w:t>
            </w:r>
          </w:p>
        </w:tc>
        <w:tc>
          <w:tcPr>
            <w:tcW w:w="0" w:type="dxa"/>
            <w:vAlign w:val="bottom"/>
          </w:tcPr>
          <w:p>
            <w:pPr>
              <w:spacing w:after="0"/>
              <w:rPr>
                <w:sz w:val="1"/>
                <w:szCs w:val="1"/>
                <w:color w:val="auto"/>
              </w:rPr>
            </w:pPr>
          </w:p>
        </w:tc>
      </w:tr>
      <w:tr>
        <w:trPr>
          <w:trHeight w:val="88"/>
        </w:trPr>
        <w:tc>
          <w:tcPr>
            <w:tcW w:w="40" w:type="dxa"/>
            <w:vAlign w:val="bottom"/>
            <w:shd w:val="clear" w:color="auto" w:fill="F7F7F7"/>
          </w:tcPr>
          <w:p>
            <w:pPr>
              <w:spacing w:after="0"/>
              <w:rPr>
                <w:sz w:val="7"/>
                <w:szCs w:val="7"/>
                <w:color w:val="auto"/>
              </w:rPr>
            </w:pPr>
          </w:p>
        </w:tc>
        <w:tc>
          <w:tcPr>
            <w:tcW w:w="240" w:type="dxa"/>
            <w:vAlign w:val="bottom"/>
            <w:shd w:val="clear" w:color="auto" w:fill="F7F7F7"/>
          </w:tcPr>
          <w:p>
            <w:pPr>
              <w:spacing w:after="0"/>
              <w:rPr>
                <w:sz w:val="7"/>
                <w:szCs w:val="7"/>
                <w:color w:val="auto"/>
              </w:rPr>
            </w:pPr>
          </w:p>
        </w:tc>
        <w:tc>
          <w:tcPr>
            <w:tcW w:w="4540" w:type="dxa"/>
            <w:vAlign w:val="bottom"/>
            <w:vMerge w:val="continue"/>
            <w:shd w:val="clear" w:color="auto" w:fill="F7F7F7"/>
          </w:tcPr>
          <w:p>
            <w:pPr>
              <w:spacing w:after="0"/>
              <w:rPr>
                <w:sz w:val="7"/>
                <w:szCs w:val="7"/>
                <w:color w:val="auto"/>
              </w:rPr>
            </w:pPr>
          </w:p>
        </w:tc>
        <w:tc>
          <w:tcPr>
            <w:tcW w:w="6200" w:type="dxa"/>
            <w:vAlign w:val="bottom"/>
            <w:vMerge w:val="restart"/>
          </w:tcPr>
          <w:p>
            <w:pPr>
              <w:ind w:left="380"/>
              <w:spacing w:after="0" w:line="143" w:lineRule="exact"/>
              <w:rPr>
                <w:sz w:val="20"/>
                <w:szCs w:val="20"/>
                <w:color w:val="auto"/>
              </w:rPr>
            </w:pPr>
            <w:r>
              <w:rPr>
                <w:rFonts w:ascii="Arial" w:cs="Arial" w:eastAsia="Arial" w:hAnsi="Arial"/>
                <w:sz w:val="16"/>
                <w:szCs w:val="16"/>
                <w:color w:val="6A6E6F"/>
              </w:rPr>
              <w:t>Policy at the Wharton School of University of Pennsylvania and is currently an</w:t>
            </w:r>
          </w:p>
        </w:tc>
        <w:tc>
          <w:tcPr>
            <w:tcW w:w="0" w:type="dxa"/>
            <w:vAlign w:val="bottom"/>
          </w:tcPr>
          <w:p>
            <w:pPr>
              <w:spacing w:after="0"/>
              <w:rPr>
                <w:sz w:val="1"/>
                <w:szCs w:val="1"/>
                <w:color w:val="auto"/>
              </w:rPr>
            </w:pPr>
          </w:p>
        </w:tc>
      </w:tr>
      <w:tr>
        <w:trPr>
          <w:trHeight w:val="75"/>
        </w:trPr>
        <w:tc>
          <w:tcPr>
            <w:tcW w:w="40" w:type="dxa"/>
            <w:vAlign w:val="bottom"/>
            <w:shd w:val="clear" w:color="auto" w:fill="F7F7F7"/>
          </w:tcPr>
          <w:p>
            <w:pPr>
              <w:spacing w:after="0"/>
              <w:rPr>
                <w:sz w:val="6"/>
                <w:szCs w:val="6"/>
                <w:color w:val="auto"/>
              </w:rPr>
            </w:pPr>
          </w:p>
        </w:tc>
        <w:tc>
          <w:tcPr>
            <w:tcW w:w="240" w:type="dxa"/>
            <w:vAlign w:val="bottom"/>
            <w:shd w:val="clear" w:color="auto" w:fill="F7F7F7"/>
          </w:tcPr>
          <w:p>
            <w:pPr>
              <w:spacing w:after="0"/>
              <w:rPr>
                <w:sz w:val="6"/>
                <w:szCs w:val="6"/>
                <w:color w:val="auto"/>
              </w:rPr>
            </w:pPr>
          </w:p>
        </w:tc>
        <w:tc>
          <w:tcPr>
            <w:tcW w:w="4540" w:type="dxa"/>
            <w:vAlign w:val="bottom"/>
            <w:shd w:val="clear" w:color="auto" w:fill="F7F7F7"/>
          </w:tcPr>
          <w:p>
            <w:pPr>
              <w:spacing w:after="0"/>
              <w:rPr>
                <w:sz w:val="6"/>
                <w:szCs w:val="6"/>
                <w:color w:val="auto"/>
              </w:rPr>
            </w:pPr>
          </w:p>
        </w:tc>
        <w:tc>
          <w:tcPr>
            <w:tcW w:w="6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40" w:type="dxa"/>
            <w:vAlign w:val="bottom"/>
            <w:shd w:val="clear" w:color="auto" w:fill="F7F7F7"/>
          </w:tcPr>
          <w:p>
            <w:pPr>
              <w:spacing w:after="0"/>
              <w:rPr>
                <w:sz w:val="18"/>
                <w:szCs w:val="18"/>
                <w:color w:val="auto"/>
              </w:rPr>
            </w:pPr>
          </w:p>
        </w:tc>
        <w:tc>
          <w:tcPr>
            <w:tcW w:w="4540" w:type="dxa"/>
            <w:vAlign w:val="bottom"/>
            <w:shd w:val="clear" w:color="auto" w:fill="F7F7F7"/>
          </w:tcPr>
          <w:p>
            <w:pPr>
              <w:spacing w:after="0"/>
              <w:rPr>
                <w:sz w:val="18"/>
                <w:szCs w:val="18"/>
                <w:color w:val="auto"/>
              </w:rPr>
            </w:pPr>
          </w:p>
        </w:tc>
        <w:tc>
          <w:tcPr>
            <w:tcW w:w="6200" w:type="dxa"/>
            <w:vAlign w:val="bottom"/>
          </w:tcPr>
          <w:p>
            <w:pPr>
              <w:ind w:left="380"/>
              <w:spacing w:after="0"/>
              <w:rPr>
                <w:sz w:val="20"/>
                <w:szCs w:val="20"/>
                <w:color w:val="auto"/>
              </w:rPr>
            </w:pPr>
            <w:r>
              <w:rPr>
                <w:rFonts w:ascii="Arial" w:cs="Arial" w:eastAsia="Arial" w:hAnsi="Arial"/>
                <w:sz w:val="16"/>
                <w:szCs w:val="16"/>
                <w:color w:val="6A6E6F"/>
              </w:rPr>
              <w:t>Emeritus Albert Sussman Professor of Real Estate. Dr. Linneman previously</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780" w:type="dxa"/>
            <w:vAlign w:val="bottom"/>
            <w:tcBorders>
              <w:bottom w:val="single" w:sz="8" w:color="F7F7F7"/>
            </w:tcBorders>
            <w:gridSpan w:val="2"/>
            <w:shd w:val="clear" w:color="auto" w:fill="F7F7F7"/>
          </w:tcPr>
          <w:p>
            <w:pPr>
              <w:ind w:left="100"/>
              <w:spacing w:after="0"/>
              <w:rPr>
                <w:sz w:val="20"/>
                <w:szCs w:val="20"/>
                <w:color w:val="auto"/>
              </w:rPr>
            </w:pPr>
            <w:r>
              <w:rPr>
                <w:rFonts w:ascii="Arial" w:cs="Arial" w:eastAsia="Arial" w:hAnsi="Arial"/>
                <w:sz w:val="16"/>
                <w:szCs w:val="16"/>
                <w:b w:val="1"/>
                <w:bCs w:val="1"/>
                <w:color w:val="6A6E6F"/>
              </w:rPr>
              <w:t>Board Committees</w:t>
            </w:r>
          </w:p>
        </w:tc>
        <w:tc>
          <w:tcPr>
            <w:tcW w:w="6200" w:type="dxa"/>
            <w:vAlign w:val="bottom"/>
          </w:tcPr>
          <w:p>
            <w:pPr>
              <w:ind w:left="380"/>
              <w:spacing w:after="0"/>
              <w:rPr>
                <w:sz w:val="20"/>
                <w:szCs w:val="20"/>
                <w:color w:val="auto"/>
              </w:rPr>
            </w:pPr>
            <w:r>
              <w:rPr>
                <w:rFonts w:ascii="Arial" w:cs="Arial" w:eastAsia="Arial" w:hAnsi="Arial"/>
                <w:sz w:val="16"/>
                <w:szCs w:val="16"/>
                <w:color w:val="6A6E6F"/>
              </w:rPr>
              <w:t>served as a director of AG Mortgage Investment Trust, Inc. (NYSE: MITT),</w:t>
            </w:r>
          </w:p>
        </w:tc>
        <w:tc>
          <w:tcPr>
            <w:tcW w:w="0" w:type="dxa"/>
            <w:vAlign w:val="bottom"/>
          </w:tcPr>
          <w:p>
            <w:pPr>
              <w:spacing w:after="0"/>
              <w:rPr>
                <w:sz w:val="1"/>
                <w:szCs w:val="1"/>
                <w:color w:val="auto"/>
              </w:rPr>
            </w:pPr>
          </w:p>
        </w:tc>
      </w:tr>
      <w:tr>
        <w:trPr>
          <w:trHeight w:val="148"/>
        </w:trPr>
        <w:tc>
          <w:tcPr>
            <w:tcW w:w="280" w:type="dxa"/>
            <w:vAlign w:val="bottom"/>
            <w:gridSpan w:val="2"/>
          </w:tcPr>
          <w:p>
            <w:pPr>
              <w:ind w:left="140"/>
              <w:spacing w:after="0" w:line="148" w:lineRule="exact"/>
              <w:rPr>
                <w:sz w:val="20"/>
                <w:szCs w:val="20"/>
                <w:color w:val="auto"/>
              </w:rPr>
            </w:pPr>
            <w:r>
              <w:rPr>
                <w:rFonts w:ascii="Wingdings" w:cs="Wingdings" w:eastAsia="Wingdings" w:hAnsi="Wingdings"/>
                <w:sz w:val="16"/>
                <w:szCs w:val="16"/>
                <w:b w:val="1"/>
                <w:bCs w:val="1"/>
                <w:color w:val="6A6E6F"/>
                <w:w w:val="83"/>
              </w:rPr>
              <w:t>§</w:t>
            </w:r>
          </w:p>
        </w:tc>
        <w:tc>
          <w:tcPr>
            <w:tcW w:w="4540" w:type="dxa"/>
            <w:vAlign w:val="bottom"/>
          </w:tcPr>
          <w:p>
            <w:pPr>
              <w:ind w:left="60"/>
              <w:spacing w:after="0" w:line="148" w:lineRule="exact"/>
              <w:rPr>
                <w:sz w:val="20"/>
                <w:szCs w:val="20"/>
                <w:color w:val="auto"/>
              </w:rPr>
            </w:pPr>
            <w:r>
              <w:rPr>
                <w:rFonts w:ascii="Arial" w:cs="Arial" w:eastAsia="Arial" w:hAnsi="Arial"/>
                <w:sz w:val="16"/>
                <w:szCs w:val="16"/>
                <w:color w:val="6A6E6F"/>
              </w:rPr>
              <w:t>Audit</w:t>
            </w:r>
          </w:p>
        </w:tc>
        <w:tc>
          <w:tcPr>
            <w:tcW w:w="6200" w:type="dxa"/>
            <w:vAlign w:val="bottom"/>
          </w:tcPr>
          <w:p>
            <w:pPr>
              <w:ind w:left="380"/>
              <w:spacing w:after="0" w:line="148" w:lineRule="exact"/>
              <w:rPr>
                <w:sz w:val="20"/>
                <w:szCs w:val="20"/>
                <w:color w:val="auto"/>
              </w:rPr>
            </w:pPr>
            <w:r>
              <w:rPr>
                <w:rFonts w:ascii="Arial" w:cs="Arial" w:eastAsia="Arial" w:hAnsi="Arial"/>
                <w:sz w:val="16"/>
                <w:szCs w:val="16"/>
                <w:color w:val="6A6E6F"/>
              </w:rPr>
              <w:t>Equity Commonwealth (NYSE: EQC), Paramount Group, Inc. (NYSE: PGRE),</w:t>
            </w:r>
          </w:p>
        </w:tc>
        <w:tc>
          <w:tcPr>
            <w:tcW w:w="0" w:type="dxa"/>
            <w:vAlign w:val="bottom"/>
          </w:tcPr>
          <w:p>
            <w:pPr>
              <w:spacing w:after="0"/>
              <w:rPr>
                <w:sz w:val="1"/>
                <w:szCs w:val="1"/>
                <w:color w:val="auto"/>
              </w:rPr>
            </w:pPr>
          </w:p>
        </w:tc>
      </w:tr>
      <w:tr>
        <w:trPr>
          <w:trHeight w:val="189"/>
        </w:trPr>
        <w:tc>
          <w:tcPr>
            <w:tcW w:w="280" w:type="dxa"/>
            <w:vAlign w:val="bottom"/>
            <w:gridSpan w:val="2"/>
          </w:tcPr>
          <w:p>
            <w:pPr>
              <w:ind w:left="140"/>
              <w:spacing w:after="0"/>
              <w:rPr>
                <w:sz w:val="20"/>
                <w:szCs w:val="20"/>
                <w:color w:val="auto"/>
              </w:rPr>
            </w:pPr>
            <w:r>
              <w:rPr>
                <w:rFonts w:ascii="Wingdings" w:cs="Wingdings" w:eastAsia="Wingdings" w:hAnsi="Wingdings"/>
                <w:sz w:val="16"/>
                <w:szCs w:val="16"/>
                <w:b w:val="1"/>
                <w:bCs w:val="1"/>
                <w:color w:val="6A6E6F"/>
                <w:w w:val="83"/>
              </w:rPr>
              <w:t>§</w:t>
            </w:r>
          </w:p>
        </w:tc>
        <w:tc>
          <w:tcPr>
            <w:tcW w:w="4540" w:type="dxa"/>
            <w:vAlign w:val="bottom"/>
          </w:tcPr>
          <w:p>
            <w:pPr>
              <w:ind w:left="60"/>
              <w:spacing w:after="0"/>
              <w:rPr>
                <w:sz w:val="20"/>
                <w:szCs w:val="20"/>
                <w:color w:val="auto"/>
              </w:rPr>
            </w:pPr>
            <w:r>
              <w:rPr>
                <w:rFonts w:ascii="Arial" w:cs="Arial" w:eastAsia="Arial" w:hAnsi="Arial"/>
                <w:sz w:val="16"/>
                <w:szCs w:val="16"/>
                <w:color w:val="6A6E6F"/>
              </w:rPr>
              <w:t>Nominating and Governance</w:t>
            </w:r>
          </w:p>
        </w:tc>
        <w:tc>
          <w:tcPr>
            <w:tcW w:w="6200" w:type="dxa"/>
            <w:vAlign w:val="bottom"/>
          </w:tcPr>
          <w:p>
            <w:pPr>
              <w:ind w:left="380"/>
              <w:spacing w:after="0"/>
              <w:rPr>
                <w:sz w:val="20"/>
                <w:szCs w:val="20"/>
                <w:color w:val="auto"/>
              </w:rPr>
            </w:pPr>
            <w:r>
              <w:rPr>
                <w:rFonts w:ascii="Arial" w:cs="Arial" w:eastAsia="Arial" w:hAnsi="Arial"/>
                <w:sz w:val="16"/>
                <w:szCs w:val="16"/>
                <w:color w:val="6A6E6F"/>
              </w:rPr>
              <w:t>Bedford Property Investors, Inc., Atrium European Real Estate Ltd. and JER</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7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6A6E6F"/>
              </w:rPr>
              <w:t>Other public company boards</w:t>
            </w:r>
          </w:p>
        </w:tc>
        <w:tc>
          <w:tcPr>
            <w:tcW w:w="6200" w:type="dxa"/>
            <w:vAlign w:val="bottom"/>
          </w:tcPr>
          <w:p>
            <w:pPr>
              <w:ind w:left="380"/>
              <w:spacing w:after="0"/>
              <w:rPr>
                <w:sz w:val="20"/>
                <w:szCs w:val="20"/>
                <w:color w:val="auto"/>
              </w:rPr>
            </w:pPr>
            <w:r>
              <w:rPr>
                <w:rFonts w:ascii="Arial" w:cs="Arial" w:eastAsia="Arial" w:hAnsi="Arial"/>
                <w:sz w:val="16"/>
                <w:szCs w:val="16"/>
                <w:color w:val="6A6E6F"/>
              </w:rPr>
              <w:t>Investors Trust, Inc. (OTC Markets: JERTQ), a finance company that acquires</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780" w:type="dxa"/>
            <w:vAlign w:val="bottom"/>
            <w:gridSpan w:val="2"/>
            <w:vMerge w:val="continue"/>
          </w:tcPr>
          <w:p>
            <w:pPr>
              <w:spacing w:after="0"/>
              <w:rPr>
                <w:sz w:val="11"/>
                <w:szCs w:val="11"/>
                <w:color w:val="auto"/>
              </w:rPr>
            </w:pPr>
          </w:p>
        </w:tc>
        <w:tc>
          <w:tcPr>
            <w:tcW w:w="6200" w:type="dxa"/>
            <w:vAlign w:val="bottom"/>
            <w:vMerge w:val="restart"/>
          </w:tcPr>
          <w:p>
            <w:pPr>
              <w:ind w:left="380"/>
              <w:spacing w:after="0"/>
              <w:rPr>
                <w:sz w:val="20"/>
                <w:szCs w:val="20"/>
                <w:color w:val="auto"/>
              </w:rPr>
            </w:pPr>
            <w:r>
              <w:rPr>
                <w:rFonts w:ascii="Arial" w:cs="Arial" w:eastAsia="Arial" w:hAnsi="Arial"/>
                <w:sz w:val="16"/>
                <w:szCs w:val="16"/>
                <w:color w:val="6A6E6F"/>
              </w:rPr>
              <w:t>real estate debt securities and loans. He was also Chairman of Rockefeller</w:t>
            </w:r>
          </w:p>
        </w:tc>
        <w:tc>
          <w:tcPr>
            <w:tcW w:w="0" w:type="dxa"/>
            <w:vAlign w:val="bottom"/>
          </w:tcPr>
          <w:p>
            <w:pPr>
              <w:spacing w:after="0"/>
              <w:rPr>
                <w:sz w:val="1"/>
                <w:szCs w:val="1"/>
                <w:color w:val="auto"/>
              </w:rPr>
            </w:pPr>
          </w:p>
        </w:tc>
      </w:tr>
      <w:tr>
        <w:trPr>
          <w:trHeight w:val="54"/>
        </w:trPr>
        <w:tc>
          <w:tcPr>
            <w:tcW w:w="280" w:type="dxa"/>
            <w:vAlign w:val="bottom"/>
            <w:gridSpan w:val="2"/>
            <w:vMerge w:val="restart"/>
          </w:tcPr>
          <w:p>
            <w:pPr>
              <w:ind w:left="140"/>
              <w:spacing w:after="0"/>
              <w:rPr>
                <w:sz w:val="20"/>
                <w:szCs w:val="20"/>
                <w:color w:val="auto"/>
              </w:rPr>
            </w:pPr>
            <w:r>
              <w:rPr>
                <w:rFonts w:ascii="Wingdings" w:cs="Wingdings" w:eastAsia="Wingdings" w:hAnsi="Wingdings"/>
                <w:sz w:val="16"/>
                <w:szCs w:val="16"/>
                <w:b w:val="1"/>
                <w:bCs w:val="1"/>
                <w:color w:val="6A6E6F"/>
                <w:w w:val="83"/>
              </w:rPr>
              <w:t>§</w:t>
            </w:r>
          </w:p>
        </w:tc>
        <w:tc>
          <w:tcPr>
            <w:tcW w:w="4540" w:type="dxa"/>
            <w:vAlign w:val="bottom"/>
            <w:vMerge w:val="restart"/>
          </w:tcPr>
          <w:p>
            <w:pPr>
              <w:ind w:left="60"/>
              <w:spacing w:after="0"/>
              <w:rPr>
                <w:sz w:val="20"/>
                <w:szCs w:val="20"/>
                <w:color w:val="auto"/>
              </w:rPr>
            </w:pPr>
            <w:r>
              <w:rPr>
                <w:rFonts w:ascii="Arial" w:cs="Arial" w:eastAsia="Arial" w:hAnsi="Arial"/>
                <w:sz w:val="16"/>
                <w:szCs w:val="16"/>
                <w:color w:val="6A6E6F"/>
              </w:rPr>
              <w:t>None</w:t>
            </w:r>
          </w:p>
        </w:tc>
        <w:tc>
          <w:tcPr>
            <w:tcW w:w="6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80" w:type="dxa"/>
            <w:vAlign w:val="bottom"/>
            <w:gridSpan w:val="2"/>
            <w:vMerge w:val="continue"/>
          </w:tcPr>
          <w:p>
            <w:pPr>
              <w:spacing w:after="0"/>
              <w:rPr>
                <w:sz w:val="13"/>
                <w:szCs w:val="13"/>
                <w:color w:val="auto"/>
              </w:rPr>
            </w:pPr>
          </w:p>
        </w:tc>
        <w:tc>
          <w:tcPr>
            <w:tcW w:w="4540" w:type="dxa"/>
            <w:vAlign w:val="bottom"/>
            <w:vMerge w:val="continue"/>
          </w:tcPr>
          <w:p>
            <w:pPr>
              <w:spacing w:after="0"/>
              <w:rPr>
                <w:sz w:val="13"/>
                <w:szCs w:val="13"/>
                <w:color w:val="auto"/>
              </w:rPr>
            </w:pPr>
          </w:p>
        </w:tc>
        <w:tc>
          <w:tcPr>
            <w:tcW w:w="6200" w:type="dxa"/>
            <w:vAlign w:val="bottom"/>
            <w:vMerge w:val="restart"/>
          </w:tcPr>
          <w:p>
            <w:pPr>
              <w:ind w:left="380"/>
              <w:spacing w:after="0"/>
              <w:rPr>
                <w:sz w:val="20"/>
                <w:szCs w:val="20"/>
                <w:color w:val="auto"/>
              </w:rPr>
            </w:pPr>
            <w:r>
              <w:rPr>
                <w:rFonts w:ascii="Arial" w:cs="Arial" w:eastAsia="Arial" w:hAnsi="Arial"/>
                <w:sz w:val="16"/>
                <w:szCs w:val="16"/>
                <w:color w:val="6A6E6F"/>
              </w:rPr>
              <w:t>Center Properties Inc.</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540" w:type="dxa"/>
            <w:vAlign w:val="bottom"/>
          </w:tcPr>
          <w:p>
            <w:pPr>
              <w:spacing w:after="0"/>
              <w:rPr>
                <w:sz w:val="4"/>
                <w:szCs w:val="4"/>
                <w:color w:val="auto"/>
              </w:rPr>
            </w:pPr>
          </w:p>
        </w:tc>
        <w:tc>
          <w:tcPr>
            <w:tcW w:w="6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-1686560</wp:posOffset>
            </wp:positionV>
            <wp:extent cx="3068955" cy="2708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68955" cy="270891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b w:val="1"/>
          <w:bCs w:val="1"/>
          <w:color w:val="6A6E6F"/>
        </w:rPr>
        <w:t>Principal occupation or employment</w:t>
      </w:r>
    </w:p>
    <w:p>
      <w:pPr>
        <w:spacing w:after="0" w:line="35" w:lineRule="exact"/>
        <w:rPr>
          <w:sz w:val="20"/>
          <w:szCs w:val="20"/>
          <w:color w:val="auto"/>
        </w:rPr>
      </w:pPr>
    </w:p>
    <w:p>
      <w:pPr>
        <w:ind w:left="460" w:hanging="196"/>
        <w:spacing w:after="0"/>
        <w:tabs>
          <w:tab w:leader="none" w:pos="460" w:val="left"/>
        </w:tabs>
        <w:numPr>
          <w:ilvl w:val="0"/>
          <w:numId w:val="33"/>
        </w:numPr>
        <w:rPr>
          <w:rFonts w:ascii="Wingdings" w:cs="Wingdings" w:eastAsia="Wingdings" w:hAnsi="Wingdings"/>
          <w:sz w:val="16"/>
          <w:szCs w:val="16"/>
          <w:b w:val="1"/>
          <w:bCs w:val="1"/>
          <w:color w:val="6A6E6F"/>
        </w:rPr>
      </w:pPr>
      <w:r>
        <w:rPr>
          <w:rFonts w:ascii="Arial" w:cs="Arial" w:eastAsia="Arial" w:hAnsi="Arial"/>
          <w:sz w:val="16"/>
          <w:szCs w:val="16"/>
          <w:color w:val="6A6E6F"/>
        </w:rPr>
        <w:t>Principal of Linneman Associates and affiliated entities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Qualifications</w:t>
      </w:r>
    </w:p>
    <w:p>
      <w:pPr>
        <w:spacing w:after="0" w:line="35" w:lineRule="exact"/>
        <w:rPr>
          <w:sz w:val="20"/>
          <w:szCs w:val="20"/>
          <w:color w:val="auto"/>
        </w:rPr>
      </w:pPr>
    </w:p>
    <w:p>
      <w:pPr>
        <w:ind w:left="460" w:right="6200" w:hanging="196"/>
        <w:spacing w:after="0" w:line="252" w:lineRule="auto"/>
        <w:tabs>
          <w:tab w:leader="none" w:pos="460" w:val="left"/>
        </w:tabs>
        <w:numPr>
          <w:ilvl w:val="0"/>
          <w:numId w:val="34"/>
        </w:numPr>
        <w:rPr>
          <w:rFonts w:ascii="Wingdings" w:cs="Wingdings" w:eastAsia="Wingdings" w:hAnsi="Wingdings"/>
          <w:sz w:val="16"/>
          <w:szCs w:val="16"/>
          <w:b w:val="1"/>
          <w:bCs w:val="1"/>
          <w:color w:val="6A6E6F"/>
        </w:rPr>
      </w:pPr>
      <w:r>
        <w:rPr>
          <w:rFonts w:ascii="Arial" w:cs="Arial" w:eastAsia="Arial" w:hAnsi="Arial"/>
          <w:sz w:val="16"/>
          <w:szCs w:val="16"/>
          <w:color w:val="6A6E6F"/>
        </w:rPr>
        <w:t>Extensive experience in financial and business advisory services and investment activity, with a specialty in real estate, and as a member of numerous public and private boards, including many real estate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202565</wp:posOffset>
            </wp:positionV>
            <wp:extent cx="6995160" cy="2922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29229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0" w:type="dxa"/>
            <w:vAlign w:val="bottom"/>
            <w:shd w:val="clear" w:color="auto" w:fill="F7F7F7"/>
          </w:tcPr>
          <w:p>
            <w:pPr>
              <w:spacing w:after="0"/>
              <w:rPr>
                <w:sz w:val="16"/>
                <w:szCs w:val="16"/>
                <w:color w:val="auto"/>
              </w:rPr>
            </w:pPr>
          </w:p>
        </w:tc>
        <w:tc>
          <w:tcPr>
            <w:tcW w:w="4780" w:type="dxa"/>
            <w:vAlign w:val="bottom"/>
            <w:vMerge w:val="restart"/>
            <w:shd w:val="clear" w:color="auto" w:fill="F7F7F7"/>
          </w:tcPr>
          <w:p>
            <w:pPr>
              <w:ind w:left="2060"/>
              <w:spacing w:after="0"/>
              <w:rPr>
                <w:sz w:val="20"/>
                <w:szCs w:val="20"/>
                <w:color w:val="auto"/>
              </w:rPr>
            </w:pPr>
            <w:r>
              <w:rPr>
                <w:rFonts w:ascii="Times New Roman" w:cs="Times New Roman" w:eastAsia="Times New Roman" w:hAnsi="Times New Roman"/>
                <w:sz w:val="22"/>
                <w:szCs w:val="22"/>
                <w:b w:val="1"/>
                <w:bCs w:val="1"/>
                <w:color w:val="6A6E6F"/>
              </w:rPr>
              <w:t>Lisa</w:t>
            </w:r>
          </w:p>
        </w:tc>
        <w:tc>
          <w:tcPr>
            <w:tcW w:w="6180" w:type="dxa"/>
            <w:vAlign w:val="bottom"/>
          </w:tcPr>
          <w:p>
            <w:pPr>
              <w:ind w:left="380"/>
              <w:spacing w:after="0"/>
              <w:rPr>
                <w:sz w:val="20"/>
                <w:szCs w:val="20"/>
                <w:color w:val="auto"/>
              </w:rPr>
            </w:pPr>
            <w:r>
              <w:rPr>
                <w:rFonts w:ascii="Arial" w:cs="Arial" w:eastAsia="Arial" w:hAnsi="Arial"/>
                <w:sz w:val="16"/>
                <w:szCs w:val="16"/>
                <w:b w:val="1"/>
                <w:bCs w:val="1"/>
                <w:color w:val="6A6E6F"/>
              </w:rPr>
              <w:t>Professional Experience:</w:t>
            </w:r>
          </w:p>
        </w:tc>
        <w:tc>
          <w:tcPr>
            <w:tcW w:w="0" w:type="dxa"/>
            <w:vAlign w:val="bottom"/>
          </w:tcPr>
          <w:p>
            <w:pPr>
              <w:spacing w:after="0"/>
              <w:rPr>
                <w:sz w:val="1"/>
                <w:szCs w:val="1"/>
                <w:color w:val="auto"/>
              </w:rPr>
            </w:pPr>
          </w:p>
        </w:tc>
      </w:tr>
      <w:tr>
        <w:trPr>
          <w:trHeight w:val="163"/>
        </w:trPr>
        <w:tc>
          <w:tcPr>
            <w:tcW w:w="40" w:type="dxa"/>
            <w:vAlign w:val="bottom"/>
            <w:shd w:val="clear" w:color="auto" w:fill="F7F7F7"/>
          </w:tcPr>
          <w:p>
            <w:pPr>
              <w:spacing w:after="0"/>
              <w:rPr>
                <w:sz w:val="14"/>
                <w:szCs w:val="14"/>
                <w:color w:val="auto"/>
              </w:rPr>
            </w:pPr>
          </w:p>
        </w:tc>
        <w:tc>
          <w:tcPr>
            <w:tcW w:w="4780" w:type="dxa"/>
            <w:vAlign w:val="bottom"/>
            <w:vMerge w:val="continue"/>
            <w:shd w:val="clear" w:color="auto" w:fill="F7F7F7"/>
          </w:tcPr>
          <w:p>
            <w:pPr>
              <w:spacing w:after="0"/>
              <w:rPr>
                <w:sz w:val="14"/>
                <w:szCs w:val="14"/>
                <w:color w:val="auto"/>
              </w:rPr>
            </w:pPr>
          </w:p>
        </w:tc>
        <w:tc>
          <w:tcPr>
            <w:tcW w:w="6180" w:type="dxa"/>
            <w:vAlign w:val="bottom"/>
          </w:tcPr>
          <w:p>
            <w:pPr>
              <w:ind w:left="380"/>
              <w:spacing w:after="0" w:line="163" w:lineRule="exact"/>
              <w:rPr>
                <w:sz w:val="20"/>
                <w:szCs w:val="20"/>
                <w:color w:val="auto"/>
              </w:rPr>
            </w:pPr>
            <w:r>
              <w:rPr>
                <w:rFonts w:ascii="Arial" w:cs="Arial" w:eastAsia="Arial" w:hAnsi="Arial"/>
                <w:sz w:val="16"/>
                <w:szCs w:val="16"/>
                <w:color w:val="6A6E6F"/>
              </w:rPr>
              <w:t>Ms. Palmer, a graduate of the University of Virginia, holds an M.B.A. from the</w:t>
            </w:r>
          </w:p>
        </w:tc>
        <w:tc>
          <w:tcPr>
            <w:tcW w:w="0" w:type="dxa"/>
            <w:vAlign w:val="bottom"/>
          </w:tcPr>
          <w:p>
            <w:pPr>
              <w:spacing w:after="0"/>
              <w:rPr>
                <w:sz w:val="1"/>
                <w:szCs w:val="1"/>
                <w:color w:val="auto"/>
              </w:rPr>
            </w:pPr>
          </w:p>
        </w:tc>
      </w:tr>
      <w:tr>
        <w:trPr>
          <w:trHeight w:val="215"/>
        </w:trPr>
        <w:tc>
          <w:tcPr>
            <w:tcW w:w="40" w:type="dxa"/>
            <w:vAlign w:val="bottom"/>
            <w:shd w:val="clear" w:color="auto" w:fill="F7F7F7"/>
          </w:tcPr>
          <w:p>
            <w:pPr>
              <w:spacing w:after="0"/>
              <w:rPr>
                <w:sz w:val="18"/>
                <w:szCs w:val="18"/>
                <w:color w:val="auto"/>
              </w:rPr>
            </w:pPr>
          </w:p>
        </w:tc>
        <w:tc>
          <w:tcPr>
            <w:tcW w:w="4780" w:type="dxa"/>
            <w:vAlign w:val="bottom"/>
            <w:shd w:val="clear" w:color="auto" w:fill="F7F7F7"/>
          </w:tcPr>
          <w:p>
            <w:pPr>
              <w:ind w:left="2060"/>
              <w:spacing w:after="0" w:line="216" w:lineRule="exact"/>
              <w:rPr>
                <w:sz w:val="20"/>
                <w:szCs w:val="20"/>
                <w:color w:val="auto"/>
              </w:rPr>
            </w:pPr>
            <w:r>
              <w:rPr>
                <w:rFonts w:ascii="Times New Roman" w:cs="Times New Roman" w:eastAsia="Times New Roman" w:hAnsi="Times New Roman"/>
                <w:sz w:val="22"/>
                <w:szCs w:val="22"/>
                <w:b w:val="1"/>
                <w:bCs w:val="1"/>
                <w:color w:val="6A6E6F"/>
              </w:rPr>
              <w:t>Palmer</w:t>
            </w:r>
          </w:p>
        </w:tc>
        <w:tc>
          <w:tcPr>
            <w:tcW w:w="6180" w:type="dxa"/>
            <w:vAlign w:val="bottom"/>
          </w:tcPr>
          <w:p>
            <w:pPr>
              <w:ind w:left="380"/>
              <w:spacing w:after="0"/>
              <w:rPr>
                <w:sz w:val="20"/>
                <w:szCs w:val="20"/>
                <w:color w:val="auto"/>
              </w:rPr>
            </w:pPr>
            <w:r>
              <w:rPr>
                <w:rFonts w:ascii="Arial" w:cs="Arial" w:eastAsia="Arial" w:hAnsi="Arial"/>
                <w:sz w:val="16"/>
                <w:szCs w:val="16"/>
                <w:color w:val="6A6E6F"/>
              </w:rPr>
              <w:t>Wharton School of the University of Pennsylvania. Ms. Palmer became our Chief</w:t>
            </w:r>
          </w:p>
        </w:tc>
        <w:tc>
          <w:tcPr>
            <w:tcW w:w="0" w:type="dxa"/>
            <w:vAlign w:val="bottom"/>
          </w:tcPr>
          <w:p>
            <w:pPr>
              <w:spacing w:after="0"/>
              <w:rPr>
                <w:sz w:val="1"/>
                <w:szCs w:val="1"/>
                <w:color w:val="auto"/>
              </w:rPr>
            </w:pPr>
          </w:p>
        </w:tc>
      </w:tr>
      <w:tr>
        <w:trPr>
          <w:trHeight w:val="189"/>
        </w:trPr>
        <w:tc>
          <w:tcPr>
            <w:tcW w:w="40" w:type="dxa"/>
            <w:vAlign w:val="bottom"/>
            <w:shd w:val="clear" w:color="auto" w:fill="F7F7F7"/>
          </w:tcPr>
          <w:p>
            <w:pPr>
              <w:spacing w:after="0"/>
              <w:rPr>
                <w:sz w:val="16"/>
                <w:szCs w:val="16"/>
                <w:color w:val="auto"/>
              </w:rPr>
            </w:pPr>
          </w:p>
        </w:tc>
        <w:tc>
          <w:tcPr>
            <w:tcW w:w="4780" w:type="dxa"/>
            <w:vAlign w:val="bottom"/>
            <w:vMerge w:val="restart"/>
            <w:shd w:val="clear" w:color="auto" w:fill="F7F7F7"/>
          </w:tcPr>
          <w:p>
            <w:pPr>
              <w:ind w:left="2060"/>
              <w:spacing w:after="0"/>
              <w:rPr>
                <w:sz w:val="20"/>
                <w:szCs w:val="20"/>
                <w:color w:val="auto"/>
              </w:rPr>
            </w:pPr>
            <w:r>
              <w:rPr>
                <w:rFonts w:ascii="Arial" w:cs="Arial" w:eastAsia="Arial" w:hAnsi="Arial"/>
                <w:sz w:val="16"/>
                <w:szCs w:val="16"/>
                <w:b w:val="1"/>
                <w:bCs w:val="1"/>
                <w:color w:val="6A6E6F"/>
              </w:rPr>
              <w:t xml:space="preserve">Age: </w:t>
            </w:r>
            <w:r>
              <w:rPr>
                <w:rFonts w:ascii="Arial" w:cs="Arial" w:eastAsia="Arial" w:hAnsi="Arial"/>
                <w:sz w:val="16"/>
                <w:szCs w:val="16"/>
                <w:color w:val="6A6E6F"/>
              </w:rPr>
              <w:t>58</w:t>
            </w:r>
          </w:p>
        </w:tc>
        <w:tc>
          <w:tcPr>
            <w:tcW w:w="6180" w:type="dxa"/>
            <w:vAlign w:val="bottom"/>
          </w:tcPr>
          <w:p>
            <w:pPr>
              <w:ind w:left="380"/>
              <w:spacing w:after="0"/>
              <w:rPr>
                <w:sz w:val="20"/>
                <w:szCs w:val="20"/>
                <w:color w:val="auto"/>
              </w:rPr>
            </w:pPr>
            <w:r>
              <w:rPr>
                <w:rFonts w:ascii="Arial" w:cs="Arial" w:eastAsia="Arial" w:hAnsi="Arial"/>
                <w:sz w:val="16"/>
                <w:szCs w:val="16"/>
                <w:color w:val="6A6E6F"/>
              </w:rPr>
              <w:t>Executive Officer on January 1, 2020, and has served as our President since</w:t>
            </w:r>
          </w:p>
        </w:tc>
        <w:tc>
          <w:tcPr>
            <w:tcW w:w="0" w:type="dxa"/>
            <w:vAlign w:val="bottom"/>
          </w:tcPr>
          <w:p>
            <w:pPr>
              <w:spacing w:after="0"/>
              <w:rPr>
                <w:sz w:val="1"/>
                <w:szCs w:val="1"/>
                <w:color w:val="auto"/>
              </w:rPr>
            </w:pPr>
          </w:p>
        </w:tc>
      </w:tr>
      <w:tr>
        <w:trPr>
          <w:trHeight w:val="189"/>
        </w:trPr>
        <w:tc>
          <w:tcPr>
            <w:tcW w:w="40" w:type="dxa"/>
            <w:vAlign w:val="bottom"/>
            <w:shd w:val="clear" w:color="auto" w:fill="F7F7F7"/>
          </w:tcPr>
          <w:p>
            <w:pPr>
              <w:spacing w:after="0"/>
              <w:rPr>
                <w:sz w:val="16"/>
                <w:szCs w:val="16"/>
                <w:color w:val="auto"/>
              </w:rPr>
            </w:pPr>
          </w:p>
        </w:tc>
        <w:tc>
          <w:tcPr>
            <w:tcW w:w="4780" w:type="dxa"/>
            <w:vAlign w:val="bottom"/>
            <w:vMerge w:val="continue"/>
            <w:shd w:val="clear" w:color="auto" w:fill="F7F7F7"/>
          </w:tcPr>
          <w:p>
            <w:pPr>
              <w:spacing w:after="0"/>
              <w:rPr>
                <w:sz w:val="16"/>
                <w:szCs w:val="16"/>
                <w:color w:val="auto"/>
              </w:rPr>
            </w:pPr>
          </w:p>
        </w:tc>
        <w:tc>
          <w:tcPr>
            <w:tcW w:w="6180" w:type="dxa"/>
            <w:vAlign w:val="bottom"/>
          </w:tcPr>
          <w:p>
            <w:pPr>
              <w:ind w:left="380"/>
              <w:spacing w:after="0"/>
              <w:rPr>
                <w:sz w:val="20"/>
                <w:szCs w:val="20"/>
                <w:color w:val="auto"/>
              </w:rPr>
            </w:pPr>
            <w:r>
              <w:rPr>
                <w:rFonts w:ascii="Arial" w:cs="Arial" w:eastAsia="Arial" w:hAnsi="Arial"/>
                <w:sz w:val="16"/>
                <w:szCs w:val="16"/>
                <w:color w:val="6A6E6F"/>
              </w:rPr>
              <w:t>January 1, 2016 to date. Previously, she served as our Chief Financial Officer</w:t>
            </w:r>
          </w:p>
        </w:tc>
        <w:tc>
          <w:tcPr>
            <w:tcW w:w="0" w:type="dxa"/>
            <w:vAlign w:val="bottom"/>
          </w:tcPr>
          <w:p>
            <w:pPr>
              <w:spacing w:after="0"/>
              <w:rPr>
                <w:sz w:val="1"/>
                <w:szCs w:val="1"/>
                <w:color w:val="auto"/>
              </w:rPr>
            </w:pPr>
          </w:p>
        </w:tc>
      </w:tr>
      <w:tr>
        <w:trPr>
          <w:trHeight w:val="189"/>
        </w:trPr>
        <w:tc>
          <w:tcPr>
            <w:tcW w:w="40" w:type="dxa"/>
            <w:vAlign w:val="bottom"/>
            <w:shd w:val="clear" w:color="auto" w:fill="F7F7F7"/>
          </w:tcPr>
          <w:p>
            <w:pPr>
              <w:spacing w:after="0"/>
              <w:rPr>
                <w:sz w:val="16"/>
                <w:szCs w:val="16"/>
                <w:color w:val="auto"/>
              </w:rPr>
            </w:pPr>
          </w:p>
        </w:tc>
        <w:tc>
          <w:tcPr>
            <w:tcW w:w="4780" w:type="dxa"/>
            <w:vAlign w:val="bottom"/>
            <w:vMerge w:val="restart"/>
            <w:shd w:val="clear" w:color="auto" w:fill="F7F7F7"/>
          </w:tcPr>
          <w:p>
            <w:pPr>
              <w:ind w:left="2060"/>
              <w:spacing w:after="0"/>
              <w:rPr>
                <w:sz w:val="20"/>
                <w:szCs w:val="20"/>
                <w:color w:val="auto"/>
              </w:rPr>
            </w:pPr>
            <w:r>
              <w:rPr>
                <w:rFonts w:ascii="Arial" w:cs="Arial" w:eastAsia="Arial" w:hAnsi="Arial"/>
                <w:sz w:val="16"/>
                <w:szCs w:val="16"/>
                <w:b w:val="1"/>
                <w:bCs w:val="1"/>
                <w:color w:val="6A6E6F"/>
              </w:rPr>
              <w:t xml:space="preserve">Director Since: </w:t>
            </w:r>
            <w:r>
              <w:rPr>
                <w:rFonts w:ascii="Arial" w:cs="Arial" w:eastAsia="Arial" w:hAnsi="Arial"/>
                <w:sz w:val="16"/>
                <w:szCs w:val="16"/>
                <w:color w:val="6A6E6F"/>
              </w:rPr>
              <w:t>2018</w:t>
            </w:r>
          </w:p>
        </w:tc>
        <w:tc>
          <w:tcPr>
            <w:tcW w:w="6180" w:type="dxa"/>
            <w:vAlign w:val="bottom"/>
          </w:tcPr>
          <w:p>
            <w:pPr>
              <w:ind w:left="380"/>
              <w:spacing w:after="0"/>
              <w:rPr>
                <w:sz w:val="20"/>
                <w:szCs w:val="20"/>
                <w:color w:val="auto"/>
              </w:rPr>
            </w:pPr>
            <w:r>
              <w:rPr>
                <w:rFonts w:ascii="Arial" w:cs="Arial" w:eastAsia="Arial" w:hAnsi="Arial"/>
                <w:sz w:val="16"/>
                <w:szCs w:val="16"/>
                <w:color w:val="6A6E6F"/>
              </w:rPr>
              <w:t>from January 2013 to August 12, 2019. Prior to that, she served as Senior Vice</w:t>
            </w:r>
          </w:p>
        </w:tc>
        <w:tc>
          <w:tcPr>
            <w:tcW w:w="0" w:type="dxa"/>
            <w:vAlign w:val="bottom"/>
          </w:tcPr>
          <w:p>
            <w:pPr>
              <w:spacing w:after="0"/>
              <w:rPr>
                <w:sz w:val="1"/>
                <w:szCs w:val="1"/>
                <w:color w:val="auto"/>
              </w:rPr>
            </w:pPr>
          </w:p>
        </w:tc>
      </w:tr>
      <w:tr>
        <w:trPr>
          <w:trHeight w:val="88"/>
        </w:trPr>
        <w:tc>
          <w:tcPr>
            <w:tcW w:w="40" w:type="dxa"/>
            <w:vAlign w:val="bottom"/>
            <w:shd w:val="clear" w:color="auto" w:fill="F7F7F7"/>
          </w:tcPr>
          <w:p>
            <w:pPr>
              <w:spacing w:after="0"/>
              <w:rPr>
                <w:sz w:val="7"/>
                <w:szCs w:val="7"/>
                <w:color w:val="auto"/>
              </w:rPr>
            </w:pPr>
          </w:p>
        </w:tc>
        <w:tc>
          <w:tcPr>
            <w:tcW w:w="4780" w:type="dxa"/>
            <w:vAlign w:val="bottom"/>
            <w:vMerge w:val="continue"/>
            <w:shd w:val="clear" w:color="auto" w:fill="F7F7F7"/>
          </w:tcPr>
          <w:p>
            <w:pPr>
              <w:spacing w:after="0"/>
              <w:rPr>
                <w:sz w:val="7"/>
                <w:szCs w:val="7"/>
                <w:color w:val="auto"/>
              </w:rPr>
            </w:pPr>
          </w:p>
        </w:tc>
        <w:tc>
          <w:tcPr>
            <w:tcW w:w="6180" w:type="dxa"/>
            <w:vAlign w:val="bottom"/>
            <w:vMerge w:val="restart"/>
          </w:tcPr>
          <w:p>
            <w:pPr>
              <w:ind w:left="380"/>
              <w:spacing w:after="0" w:line="143" w:lineRule="exact"/>
              <w:rPr>
                <w:sz w:val="20"/>
                <w:szCs w:val="20"/>
                <w:color w:val="auto"/>
              </w:rPr>
            </w:pPr>
            <w:r>
              <w:rPr>
                <w:rFonts w:ascii="Arial" w:cs="Arial" w:eastAsia="Arial" w:hAnsi="Arial"/>
                <w:sz w:val="16"/>
                <w:szCs w:val="16"/>
                <w:color w:val="6A6E6F"/>
              </w:rPr>
              <w:t>President of Capital Markets from 2003 until 2013. She served as Senior</w:t>
            </w:r>
          </w:p>
        </w:tc>
        <w:tc>
          <w:tcPr>
            <w:tcW w:w="0" w:type="dxa"/>
            <w:vAlign w:val="bottom"/>
          </w:tcPr>
          <w:p>
            <w:pPr>
              <w:spacing w:after="0"/>
              <w:rPr>
                <w:sz w:val="1"/>
                <w:szCs w:val="1"/>
                <w:color w:val="auto"/>
              </w:rPr>
            </w:pPr>
          </w:p>
        </w:tc>
      </w:tr>
      <w:tr>
        <w:trPr>
          <w:trHeight w:val="75"/>
        </w:trPr>
        <w:tc>
          <w:tcPr>
            <w:tcW w:w="40" w:type="dxa"/>
            <w:vAlign w:val="bottom"/>
            <w:shd w:val="clear" w:color="auto" w:fill="F7F7F7"/>
          </w:tcPr>
          <w:p>
            <w:pPr>
              <w:spacing w:after="0"/>
              <w:rPr>
                <w:sz w:val="6"/>
                <w:szCs w:val="6"/>
                <w:color w:val="auto"/>
              </w:rPr>
            </w:pPr>
          </w:p>
        </w:tc>
        <w:tc>
          <w:tcPr>
            <w:tcW w:w="4780" w:type="dxa"/>
            <w:vAlign w:val="bottom"/>
            <w:shd w:val="clear" w:color="auto" w:fill="F7F7F7"/>
          </w:tcPr>
          <w:p>
            <w:pPr>
              <w:spacing w:after="0"/>
              <w:rPr>
                <w:sz w:val="6"/>
                <w:szCs w:val="6"/>
                <w:color w:val="auto"/>
              </w:rPr>
            </w:pPr>
          </w:p>
        </w:tc>
        <w:tc>
          <w:tcPr>
            <w:tcW w:w="6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780" w:type="dxa"/>
            <w:vAlign w:val="bottom"/>
            <w:shd w:val="clear" w:color="auto" w:fill="F7F7F7"/>
          </w:tcPr>
          <w:p>
            <w:pPr>
              <w:spacing w:after="0"/>
              <w:rPr>
                <w:sz w:val="18"/>
                <w:szCs w:val="18"/>
                <w:color w:val="auto"/>
              </w:rPr>
            </w:pPr>
          </w:p>
        </w:tc>
        <w:tc>
          <w:tcPr>
            <w:tcW w:w="6180" w:type="dxa"/>
            <w:vAlign w:val="bottom"/>
          </w:tcPr>
          <w:p>
            <w:pPr>
              <w:ind w:left="380"/>
              <w:spacing w:after="0"/>
              <w:rPr>
                <w:sz w:val="20"/>
                <w:szCs w:val="20"/>
                <w:color w:val="auto"/>
              </w:rPr>
            </w:pPr>
            <w:r>
              <w:rPr>
                <w:rFonts w:ascii="Arial" w:cs="Arial" w:eastAsia="Arial" w:hAnsi="Arial"/>
                <w:sz w:val="16"/>
                <w:szCs w:val="16"/>
                <w:color w:val="6A6E6F"/>
              </w:rPr>
              <w:t>Manager of Investment Services in 1996 and assumed the role of Vice President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780" w:type="dxa"/>
            <w:vAlign w:val="bottom"/>
            <w:tcBorders>
              <w:bottom w:val="single" w:sz="8" w:color="F7F7F7"/>
            </w:tcBorders>
            <w:shd w:val="clear" w:color="auto" w:fill="F7F7F7"/>
          </w:tcPr>
          <w:p>
            <w:pPr>
              <w:ind w:left="100"/>
              <w:spacing w:after="0"/>
              <w:rPr>
                <w:sz w:val="20"/>
                <w:szCs w:val="20"/>
                <w:color w:val="auto"/>
              </w:rPr>
            </w:pPr>
            <w:r>
              <w:rPr>
                <w:rFonts w:ascii="Arial" w:cs="Arial" w:eastAsia="Arial" w:hAnsi="Arial"/>
                <w:sz w:val="16"/>
                <w:szCs w:val="16"/>
                <w:b w:val="1"/>
                <w:bCs w:val="1"/>
                <w:color w:val="6A6E6F"/>
              </w:rPr>
              <w:t>Board Committees</w:t>
            </w:r>
          </w:p>
        </w:tc>
        <w:tc>
          <w:tcPr>
            <w:tcW w:w="6180" w:type="dxa"/>
            <w:vAlign w:val="bottom"/>
          </w:tcPr>
          <w:p>
            <w:pPr>
              <w:ind w:left="380"/>
              <w:spacing w:after="0"/>
              <w:rPr>
                <w:sz w:val="20"/>
                <w:szCs w:val="20"/>
                <w:color w:val="auto"/>
              </w:rPr>
            </w:pPr>
            <w:r>
              <w:rPr>
                <w:rFonts w:ascii="Arial" w:cs="Arial" w:eastAsia="Arial" w:hAnsi="Arial"/>
                <w:sz w:val="16"/>
                <w:szCs w:val="16"/>
                <w:color w:val="6A6E6F"/>
              </w:rPr>
              <w:t>of Capital Markets in 1999. Prior to joining our Company, Ms. Palmer worked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780" w:type="dxa"/>
            <w:vAlign w:val="bottom"/>
          </w:tcPr>
          <w:p>
            <w:pPr>
              <w:ind w:left="100"/>
              <w:spacing w:after="0" w:line="148" w:lineRule="exact"/>
              <w:rPr>
                <w:sz w:val="20"/>
                <w:szCs w:val="20"/>
                <w:color w:val="auto"/>
              </w:rPr>
            </w:pPr>
            <w:r>
              <w:rPr>
                <w:rFonts w:ascii="Wingdings" w:cs="Wingdings" w:eastAsia="Wingdings" w:hAnsi="Wingdings"/>
                <w:sz w:val="16"/>
                <w:szCs w:val="16"/>
                <w:b w:val="1"/>
                <w:bCs w:val="1"/>
                <w:color w:val="6A6E6F"/>
              </w:rPr>
              <w:t xml:space="preserve">§  </w:t>
            </w:r>
            <w:r>
              <w:rPr>
                <w:rFonts w:ascii="Arial" w:cs="Arial" w:eastAsia="Arial" w:hAnsi="Arial"/>
                <w:sz w:val="16"/>
                <w:szCs w:val="16"/>
                <w:color w:val="6A6E6F"/>
              </w:rPr>
              <w:t>Investment</w:t>
            </w:r>
          </w:p>
        </w:tc>
        <w:tc>
          <w:tcPr>
            <w:tcW w:w="6180" w:type="dxa"/>
            <w:vAlign w:val="bottom"/>
          </w:tcPr>
          <w:p>
            <w:pPr>
              <w:ind w:left="380"/>
              <w:spacing w:after="0" w:line="148" w:lineRule="exact"/>
              <w:rPr>
                <w:sz w:val="20"/>
                <w:szCs w:val="20"/>
                <w:color w:val="auto"/>
              </w:rPr>
            </w:pPr>
            <w:r>
              <w:rPr>
                <w:rFonts w:ascii="Arial" w:cs="Arial" w:eastAsia="Arial" w:hAnsi="Arial"/>
                <w:sz w:val="16"/>
                <w:szCs w:val="16"/>
                <w:color w:val="6A6E6F"/>
              </w:rPr>
              <w:t>with Accenture plc (NYSE: ACN), formerly Andersen Consulting Strategic</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780" w:type="dxa"/>
            <w:vAlign w:val="bottom"/>
            <w:vMerge w:val="restart"/>
          </w:tcPr>
          <w:p>
            <w:pPr>
              <w:ind w:left="100"/>
              <w:spacing w:after="0"/>
              <w:rPr>
                <w:sz w:val="20"/>
                <w:szCs w:val="20"/>
                <w:color w:val="auto"/>
              </w:rPr>
            </w:pPr>
            <w:r>
              <w:rPr>
                <w:rFonts w:ascii="Arial" w:cs="Arial" w:eastAsia="Arial" w:hAnsi="Arial"/>
                <w:sz w:val="16"/>
                <w:szCs w:val="16"/>
                <w:b w:val="1"/>
                <w:bCs w:val="1"/>
                <w:color w:val="6A6E6F"/>
              </w:rPr>
              <w:t>Other public company boards</w:t>
            </w:r>
          </w:p>
        </w:tc>
        <w:tc>
          <w:tcPr>
            <w:tcW w:w="6180" w:type="dxa"/>
            <w:vAlign w:val="bottom"/>
          </w:tcPr>
          <w:p>
            <w:pPr>
              <w:ind w:left="380"/>
              <w:spacing w:after="0"/>
              <w:rPr>
                <w:sz w:val="20"/>
                <w:szCs w:val="20"/>
                <w:color w:val="auto"/>
              </w:rPr>
            </w:pPr>
            <w:r>
              <w:rPr>
                <w:rFonts w:ascii="Arial" w:cs="Arial" w:eastAsia="Arial" w:hAnsi="Arial"/>
                <w:sz w:val="16"/>
                <w:szCs w:val="16"/>
                <w:color w:val="6A6E6F"/>
              </w:rPr>
              <w:t>Services, as a consultant and financial analyst for General Electric Company.</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780" w:type="dxa"/>
            <w:vAlign w:val="bottom"/>
            <w:vMerge w:val="continue"/>
          </w:tcPr>
          <w:p>
            <w:pPr>
              <w:spacing w:after="0"/>
              <w:rPr>
                <w:sz w:val="11"/>
                <w:szCs w:val="11"/>
                <w:color w:val="auto"/>
              </w:rPr>
            </w:pPr>
          </w:p>
        </w:tc>
        <w:tc>
          <w:tcPr>
            <w:tcW w:w="6180" w:type="dxa"/>
            <w:vAlign w:val="bottom"/>
            <w:vMerge w:val="restart"/>
          </w:tcPr>
          <w:p>
            <w:pPr>
              <w:ind w:left="380"/>
              <w:spacing w:after="0"/>
              <w:rPr>
                <w:sz w:val="20"/>
                <w:szCs w:val="20"/>
                <w:color w:val="auto"/>
              </w:rPr>
            </w:pPr>
            <w:r>
              <w:rPr>
                <w:rFonts w:ascii="Arial" w:cs="Arial" w:eastAsia="Arial" w:hAnsi="Arial"/>
                <w:sz w:val="16"/>
                <w:szCs w:val="16"/>
                <w:color w:val="6A6E6F"/>
              </w:rPr>
              <w:t>She serves as a member of the boards of the Jacksonville Branch of the Federal</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780" w:type="dxa"/>
            <w:vAlign w:val="bottom"/>
            <w:vMerge w:val="restart"/>
          </w:tcPr>
          <w:p>
            <w:pPr>
              <w:ind w:left="100"/>
              <w:spacing w:after="0"/>
              <w:rPr>
                <w:sz w:val="20"/>
                <w:szCs w:val="20"/>
                <w:color w:val="auto"/>
              </w:rPr>
            </w:pPr>
            <w:r>
              <w:rPr>
                <w:rFonts w:ascii="Wingdings" w:cs="Wingdings" w:eastAsia="Wingdings" w:hAnsi="Wingdings"/>
                <w:sz w:val="16"/>
                <w:szCs w:val="16"/>
                <w:b w:val="1"/>
                <w:bCs w:val="1"/>
                <w:color w:val="6A6E6F"/>
              </w:rPr>
              <w:t xml:space="preserve">§  </w:t>
            </w:r>
            <w:r>
              <w:rPr>
                <w:rFonts w:ascii="Arial" w:cs="Arial" w:eastAsia="Arial" w:hAnsi="Arial"/>
                <w:sz w:val="16"/>
                <w:szCs w:val="16"/>
                <w:color w:val="6A6E6F"/>
              </w:rPr>
              <w:t>None</w:t>
            </w:r>
          </w:p>
        </w:tc>
        <w:tc>
          <w:tcPr>
            <w:tcW w:w="6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6180" w:type="dxa"/>
            <w:vAlign w:val="bottom"/>
          </w:tcPr>
          <w:p>
            <w:pPr>
              <w:ind w:left="380"/>
              <w:spacing w:after="0"/>
              <w:rPr>
                <w:sz w:val="20"/>
                <w:szCs w:val="20"/>
                <w:color w:val="auto"/>
              </w:rPr>
            </w:pPr>
            <w:r>
              <w:rPr>
                <w:rFonts w:ascii="Arial" w:cs="Arial" w:eastAsia="Arial" w:hAnsi="Arial"/>
                <w:sz w:val="16"/>
                <w:szCs w:val="16"/>
                <w:color w:val="6A6E6F"/>
              </w:rPr>
              <w:t>Reserve Bank of Atlanta and Brooks Rehabilitation, a private healthcare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780" w:type="dxa"/>
            <w:vAlign w:val="bottom"/>
          </w:tcPr>
          <w:p>
            <w:pPr>
              <w:ind w:left="100"/>
              <w:spacing w:after="0"/>
              <w:rPr>
                <w:sz w:val="20"/>
                <w:szCs w:val="20"/>
                <w:color w:val="auto"/>
              </w:rPr>
            </w:pPr>
            <w:r>
              <w:rPr>
                <w:rFonts w:ascii="Arial" w:cs="Arial" w:eastAsia="Arial" w:hAnsi="Arial"/>
                <w:sz w:val="16"/>
                <w:szCs w:val="16"/>
                <w:b w:val="1"/>
                <w:bCs w:val="1"/>
                <w:color w:val="6A6E6F"/>
              </w:rPr>
              <w:t>Principal occupation or employment</w:t>
            </w:r>
          </w:p>
        </w:tc>
        <w:tc>
          <w:tcPr>
            <w:tcW w:w="6180" w:type="dxa"/>
            <w:vAlign w:val="bottom"/>
          </w:tcPr>
          <w:p>
            <w:pPr>
              <w:ind w:left="380"/>
              <w:spacing w:after="0"/>
              <w:rPr>
                <w:sz w:val="20"/>
                <w:szCs w:val="20"/>
                <w:color w:val="auto"/>
              </w:rPr>
            </w:pPr>
            <w:r>
              <w:rPr>
                <w:rFonts w:ascii="Arial" w:cs="Arial" w:eastAsia="Arial" w:hAnsi="Arial"/>
                <w:sz w:val="16"/>
                <w:szCs w:val="16"/>
                <w:color w:val="6A6E6F"/>
              </w:rPr>
              <w:t>organization. She currently also serves an executive member of Nareit, a</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780" w:type="dxa"/>
            <w:vAlign w:val="bottom"/>
            <w:vMerge w:val="restart"/>
          </w:tcPr>
          <w:p>
            <w:pPr>
              <w:ind w:left="100"/>
              <w:spacing w:after="0"/>
              <w:rPr>
                <w:sz w:val="20"/>
                <w:szCs w:val="20"/>
                <w:color w:val="auto"/>
              </w:rPr>
            </w:pPr>
            <w:r>
              <w:rPr>
                <w:rFonts w:ascii="Wingdings" w:cs="Wingdings" w:eastAsia="Wingdings" w:hAnsi="Wingdings"/>
                <w:sz w:val="16"/>
                <w:szCs w:val="16"/>
                <w:b w:val="1"/>
                <w:bCs w:val="1"/>
                <w:color w:val="6A6E6F"/>
              </w:rPr>
              <w:t xml:space="preserve">§  </w:t>
            </w:r>
            <w:r>
              <w:rPr>
                <w:rFonts w:ascii="Arial" w:cs="Arial" w:eastAsia="Arial" w:hAnsi="Arial"/>
                <w:sz w:val="16"/>
                <w:szCs w:val="16"/>
                <w:color w:val="6A6E6F"/>
              </w:rPr>
              <w:t>Our Chief Executive Officer since January 1, 2020 and</w:t>
            </w:r>
          </w:p>
        </w:tc>
        <w:tc>
          <w:tcPr>
            <w:tcW w:w="6180" w:type="dxa"/>
            <w:vAlign w:val="bottom"/>
          </w:tcPr>
          <w:p>
            <w:pPr>
              <w:ind w:left="380"/>
              <w:spacing w:after="0" w:line="175" w:lineRule="exact"/>
              <w:rPr>
                <w:sz w:val="20"/>
                <w:szCs w:val="20"/>
                <w:color w:val="auto"/>
              </w:rPr>
            </w:pPr>
            <w:r>
              <w:rPr>
                <w:rFonts w:ascii="Arial" w:cs="Arial" w:eastAsia="Arial" w:hAnsi="Arial"/>
                <w:sz w:val="16"/>
                <w:szCs w:val="16"/>
                <w:color w:val="6A6E6F"/>
              </w:rPr>
              <w:t>member of ULI, and a member of the Board of Trustees of Innovating Commerce</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780" w:type="dxa"/>
            <w:vAlign w:val="bottom"/>
            <w:vMerge w:val="continue"/>
          </w:tcPr>
          <w:p>
            <w:pPr>
              <w:spacing w:after="0"/>
              <w:rPr>
                <w:sz w:val="4"/>
                <w:szCs w:val="4"/>
                <w:color w:val="auto"/>
              </w:rPr>
            </w:pPr>
          </w:p>
        </w:tc>
        <w:tc>
          <w:tcPr>
            <w:tcW w:w="6180" w:type="dxa"/>
            <w:vAlign w:val="bottom"/>
            <w:vMerge w:val="restart"/>
          </w:tcPr>
          <w:p>
            <w:pPr>
              <w:ind w:left="380"/>
              <w:spacing w:after="0"/>
              <w:rPr>
                <w:sz w:val="20"/>
                <w:szCs w:val="20"/>
                <w:color w:val="auto"/>
              </w:rPr>
            </w:pPr>
            <w:r>
              <w:rPr>
                <w:rFonts w:ascii="Arial" w:cs="Arial" w:eastAsia="Arial" w:hAnsi="Arial"/>
                <w:sz w:val="16"/>
                <w:szCs w:val="16"/>
                <w:color w:val="6A6E6F"/>
              </w:rPr>
              <w:t>Serving Communities (ICSC). She previously served as a director of ESH</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780" w:type="dxa"/>
            <w:vAlign w:val="bottom"/>
            <w:vMerge w:val="restart"/>
          </w:tcPr>
          <w:p>
            <w:pPr>
              <w:ind w:left="300"/>
              <w:spacing w:after="0"/>
              <w:rPr>
                <w:sz w:val="20"/>
                <w:szCs w:val="20"/>
                <w:color w:val="auto"/>
              </w:rPr>
            </w:pPr>
            <w:r>
              <w:rPr>
                <w:rFonts w:ascii="Arial" w:cs="Arial" w:eastAsia="Arial" w:hAnsi="Arial"/>
                <w:sz w:val="16"/>
                <w:szCs w:val="16"/>
                <w:color w:val="6A6E6F"/>
              </w:rPr>
              <w:t>President since January 1, 2016</w:t>
            </w: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780" w:type="dxa"/>
            <w:vAlign w:val="bottom"/>
            <w:vMerge w:val="continue"/>
          </w:tcPr>
          <w:p>
            <w:pPr>
              <w:spacing w:after="0"/>
              <w:rPr>
                <w:sz w:val="6"/>
                <w:szCs w:val="6"/>
                <w:color w:val="auto"/>
              </w:rPr>
            </w:pPr>
          </w:p>
        </w:tc>
        <w:tc>
          <w:tcPr>
            <w:tcW w:w="6180" w:type="dxa"/>
            <w:vAlign w:val="bottom"/>
            <w:vMerge w:val="restart"/>
          </w:tcPr>
          <w:p>
            <w:pPr>
              <w:ind w:left="380"/>
              <w:spacing w:after="0"/>
              <w:rPr>
                <w:sz w:val="20"/>
                <w:szCs w:val="20"/>
                <w:color w:val="auto"/>
              </w:rPr>
            </w:pPr>
            <w:r>
              <w:rPr>
                <w:rFonts w:ascii="Arial" w:cs="Arial" w:eastAsia="Arial" w:hAnsi="Arial"/>
                <w:sz w:val="16"/>
                <w:szCs w:val="16"/>
                <w:color w:val="6A6E6F"/>
              </w:rPr>
              <w:t>Hospitality, Inc., a subsidiary of Extended Stay America, Inc. and as a director of</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4780" w:type="dxa"/>
            <w:vAlign w:val="bottom"/>
            <w:vMerge w:val="restart"/>
          </w:tcPr>
          <w:p>
            <w:pPr>
              <w:ind w:left="100"/>
              <w:spacing w:after="0"/>
              <w:rPr>
                <w:sz w:val="20"/>
                <w:szCs w:val="20"/>
                <w:color w:val="auto"/>
              </w:rPr>
            </w:pPr>
            <w:r>
              <w:rPr>
                <w:rFonts w:ascii="Arial" w:cs="Arial" w:eastAsia="Arial" w:hAnsi="Arial"/>
                <w:sz w:val="16"/>
                <w:szCs w:val="16"/>
                <w:b w:val="1"/>
                <w:bCs w:val="1"/>
                <w:color w:val="6A6E6F"/>
              </w:rPr>
              <w:t>Qualifications</w:t>
            </w:r>
          </w:p>
        </w:tc>
        <w:tc>
          <w:tcPr>
            <w:tcW w:w="6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6180" w:type="dxa"/>
            <w:vAlign w:val="bottom"/>
          </w:tcPr>
          <w:p>
            <w:pPr>
              <w:ind w:left="380"/>
              <w:spacing w:after="0"/>
              <w:rPr>
                <w:sz w:val="20"/>
                <w:szCs w:val="20"/>
                <w:color w:val="auto"/>
              </w:rPr>
            </w:pPr>
            <w:r>
              <w:rPr>
                <w:rFonts w:ascii="Arial" w:cs="Arial" w:eastAsia="Arial" w:hAnsi="Arial"/>
                <w:sz w:val="16"/>
                <w:szCs w:val="16"/>
                <w:color w:val="6A6E6F"/>
              </w:rPr>
              <w:t>United Way of Northeast Florida.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-2166620</wp:posOffset>
            </wp:positionV>
            <wp:extent cx="3034665" cy="27857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34665" cy="27857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-2166620</wp:posOffset>
            </wp:positionV>
            <wp:extent cx="3034665" cy="27857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34665" cy="2785745"/>
                    </a:xfrm>
                    <a:prstGeom prst="rect">
                      <a:avLst/>
                    </a:prstGeom>
                    <a:noFill/>
                  </pic:spPr>
                </pic:pic>
              </a:graphicData>
            </a:graphic>
          </wp:anchor>
        </w:drawing>
      </w:r>
    </w:p>
    <w:p>
      <w:pPr>
        <w:ind w:left="460" w:right="6360" w:hanging="196"/>
        <w:spacing w:after="0" w:line="259" w:lineRule="auto"/>
        <w:tabs>
          <w:tab w:leader="none" w:pos="460" w:val="left"/>
        </w:tabs>
        <w:numPr>
          <w:ilvl w:val="0"/>
          <w:numId w:val="35"/>
        </w:numPr>
        <w:rPr>
          <w:rFonts w:ascii="Wingdings" w:cs="Wingdings" w:eastAsia="Wingdings" w:hAnsi="Wingdings"/>
          <w:sz w:val="16"/>
          <w:szCs w:val="16"/>
          <w:b w:val="1"/>
          <w:bCs w:val="1"/>
          <w:color w:val="6A6E6F"/>
        </w:rPr>
      </w:pPr>
      <w:r>
        <w:rPr>
          <w:rFonts w:ascii="Arial" w:cs="Arial" w:eastAsia="Arial" w:hAnsi="Arial"/>
          <w:sz w:val="16"/>
          <w:szCs w:val="16"/>
          <w:color w:val="6A6E6F"/>
        </w:rPr>
        <w:t>Extensive knowledge and experience in the shopping center and real estate industries, as well as finance and capital markets, operations, strategy and public company governance.</w:t>
      </w:r>
    </w:p>
    <w:p>
      <w:pPr>
        <w:spacing w:after="0" w:line="308"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13</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3068955" cy="4003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68955" cy="4003675"/>
                    </a:xfrm>
                    <a:prstGeom prst="rect">
                      <a:avLst/>
                    </a:prstGeom>
                    <a:noFill/>
                  </pic:spPr>
                </pic:pic>
              </a:graphicData>
            </a:graphic>
          </wp:anchor>
        </w:drawing>
      </w:r>
    </w:p>
    <w:p>
      <w:pPr>
        <w:spacing w:after="0" w:line="18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Mark J.</w:t>
      </w:r>
    </w:p>
    <w:p>
      <w:pPr>
        <w:spacing w:after="0" w:line="1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Parrell</w:t>
      </w:r>
    </w:p>
    <w:p>
      <w:pPr>
        <w:spacing w:after="0" w:line="10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Age: </w:t>
      </w:r>
      <w:r>
        <w:rPr>
          <w:rFonts w:ascii="Arial" w:cs="Arial" w:eastAsia="Arial" w:hAnsi="Arial"/>
          <w:sz w:val="16"/>
          <w:szCs w:val="16"/>
          <w:color w:val="6A6E6F"/>
        </w:rPr>
        <w:t>59</w:t>
      </w:r>
    </w:p>
    <w:p>
      <w:pPr>
        <w:spacing w:after="0" w:line="127"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Director Since: </w:t>
      </w:r>
      <w:r>
        <w:rPr>
          <w:rFonts w:ascii="Arial" w:cs="Arial" w:eastAsia="Arial" w:hAnsi="Arial"/>
          <w:sz w:val="16"/>
          <w:szCs w:val="16"/>
          <w:color w:val="6A6E6F"/>
        </w:rPr>
        <w:t>2026</w:t>
      </w:r>
    </w:p>
    <w:p>
      <w:pPr>
        <w:spacing w:after="0" w:line="34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Board Committees</w:t>
      </w:r>
    </w:p>
    <w:p>
      <w:pPr>
        <w:spacing w:after="0" w:line="35" w:lineRule="exact"/>
        <w:rPr>
          <w:sz w:val="20"/>
          <w:szCs w:val="20"/>
          <w:color w:val="auto"/>
        </w:rPr>
      </w:pPr>
    </w:p>
    <w:p>
      <w:pPr>
        <w:ind w:left="460" w:hanging="196"/>
        <w:spacing w:after="0"/>
        <w:tabs>
          <w:tab w:leader="none" w:pos="460" w:val="left"/>
        </w:tabs>
        <w:numPr>
          <w:ilvl w:val="0"/>
          <w:numId w:val="36"/>
        </w:numPr>
        <w:rPr>
          <w:rFonts w:ascii="Wingdings" w:cs="Wingdings" w:eastAsia="Wingdings" w:hAnsi="Wingdings"/>
          <w:sz w:val="16"/>
          <w:szCs w:val="16"/>
          <w:b w:val="1"/>
          <w:bCs w:val="1"/>
          <w:color w:val="6A6E6F"/>
        </w:rPr>
      </w:pPr>
      <w:r>
        <w:rPr>
          <w:rFonts w:ascii="Arial" w:cs="Arial" w:eastAsia="Arial" w:hAnsi="Arial"/>
          <w:sz w:val="16"/>
          <w:szCs w:val="16"/>
          <w:color w:val="6A6E6F"/>
        </w:rPr>
        <w:t>Audit</w:t>
      </w:r>
    </w:p>
    <w:p>
      <w:pPr>
        <w:spacing w:after="0" w:line="5" w:lineRule="exact"/>
        <w:rPr>
          <w:rFonts w:ascii="Wingdings" w:cs="Wingdings" w:eastAsia="Wingdings" w:hAnsi="Wingdings"/>
          <w:sz w:val="16"/>
          <w:szCs w:val="16"/>
          <w:b w:val="1"/>
          <w:bCs w:val="1"/>
          <w:color w:val="6A6E6F"/>
        </w:rPr>
      </w:pPr>
    </w:p>
    <w:p>
      <w:pPr>
        <w:ind w:left="460" w:hanging="196"/>
        <w:spacing w:after="0"/>
        <w:tabs>
          <w:tab w:leader="none" w:pos="460" w:val="left"/>
        </w:tabs>
        <w:numPr>
          <w:ilvl w:val="0"/>
          <w:numId w:val="36"/>
        </w:numPr>
        <w:rPr>
          <w:rFonts w:ascii="Wingdings" w:cs="Wingdings" w:eastAsia="Wingdings" w:hAnsi="Wingdings"/>
          <w:sz w:val="16"/>
          <w:szCs w:val="16"/>
          <w:b w:val="1"/>
          <w:bCs w:val="1"/>
          <w:color w:val="6A6E6F"/>
        </w:rPr>
      </w:pPr>
      <w:r>
        <w:rPr>
          <w:rFonts w:ascii="Arial" w:cs="Arial" w:eastAsia="Arial" w:hAnsi="Arial"/>
          <w:sz w:val="16"/>
          <w:szCs w:val="16"/>
          <w:color w:val="6A6E6F"/>
        </w:rPr>
        <w:t>Investment</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Other public company boards</w:t>
      </w:r>
    </w:p>
    <w:p>
      <w:pPr>
        <w:spacing w:after="0" w:line="35" w:lineRule="exact"/>
        <w:rPr>
          <w:sz w:val="20"/>
          <w:szCs w:val="20"/>
          <w:color w:val="auto"/>
        </w:rPr>
      </w:pPr>
    </w:p>
    <w:p>
      <w:pPr>
        <w:ind w:left="460" w:hanging="196"/>
        <w:spacing w:after="0"/>
        <w:tabs>
          <w:tab w:leader="none" w:pos="460" w:val="left"/>
        </w:tabs>
        <w:numPr>
          <w:ilvl w:val="0"/>
          <w:numId w:val="37"/>
        </w:numPr>
        <w:rPr>
          <w:rFonts w:ascii="Wingdings" w:cs="Wingdings" w:eastAsia="Wingdings" w:hAnsi="Wingdings"/>
          <w:sz w:val="16"/>
          <w:szCs w:val="16"/>
          <w:b w:val="1"/>
          <w:bCs w:val="1"/>
          <w:color w:val="6A6E6F"/>
        </w:rPr>
      </w:pPr>
      <w:r>
        <w:rPr>
          <w:rFonts w:ascii="Arial" w:cs="Arial" w:eastAsia="Arial" w:hAnsi="Arial"/>
          <w:sz w:val="16"/>
          <w:szCs w:val="16"/>
          <w:color w:val="6A6E6F"/>
        </w:rPr>
        <w:t>Equity Residential</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Principal occupation or employment</w:t>
      </w:r>
    </w:p>
    <w:p>
      <w:pPr>
        <w:spacing w:after="0" w:line="35" w:lineRule="exact"/>
        <w:rPr>
          <w:sz w:val="20"/>
          <w:szCs w:val="20"/>
          <w:color w:val="auto"/>
        </w:rPr>
      </w:pPr>
    </w:p>
    <w:p>
      <w:pPr>
        <w:ind w:left="460" w:hanging="196"/>
        <w:spacing w:after="0"/>
        <w:tabs>
          <w:tab w:leader="none" w:pos="460" w:val="left"/>
        </w:tabs>
        <w:numPr>
          <w:ilvl w:val="0"/>
          <w:numId w:val="38"/>
        </w:numPr>
        <w:rPr>
          <w:rFonts w:ascii="Wingdings" w:cs="Wingdings" w:eastAsia="Wingdings" w:hAnsi="Wingdings"/>
          <w:sz w:val="16"/>
          <w:szCs w:val="16"/>
          <w:b w:val="1"/>
          <w:bCs w:val="1"/>
          <w:color w:val="6A6E6F"/>
        </w:rPr>
      </w:pPr>
      <w:r>
        <w:rPr>
          <w:rFonts w:ascii="Arial" w:cs="Arial" w:eastAsia="Arial" w:hAnsi="Arial"/>
          <w:sz w:val="16"/>
          <w:szCs w:val="16"/>
          <w:color w:val="6A6E6F"/>
        </w:rPr>
        <w:t>Chief Executive Officer of Equity Residential</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Qualifications</w:t>
      </w:r>
    </w:p>
    <w:p>
      <w:pPr>
        <w:spacing w:after="0" w:line="35" w:lineRule="exact"/>
        <w:rPr>
          <w:sz w:val="20"/>
          <w:szCs w:val="20"/>
          <w:color w:val="auto"/>
        </w:rPr>
      </w:pPr>
    </w:p>
    <w:p>
      <w:pPr>
        <w:jc w:val="both"/>
        <w:ind w:left="460" w:hanging="196"/>
        <w:spacing w:after="0" w:line="256" w:lineRule="auto"/>
        <w:tabs>
          <w:tab w:leader="none" w:pos="460" w:val="left"/>
        </w:tabs>
        <w:numPr>
          <w:ilvl w:val="0"/>
          <w:numId w:val="39"/>
        </w:numPr>
        <w:rPr>
          <w:rFonts w:ascii="Wingdings" w:cs="Wingdings" w:eastAsia="Wingdings" w:hAnsi="Wingdings"/>
          <w:sz w:val="16"/>
          <w:szCs w:val="16"/>
          <w:b w:val="1"/>
          <w:bCs w:val="1"/>
          <w:color w:val="6A6E6F"/>
        </w:rPr>
      </w:pPr>
      <w:r>
        <w:rPr>
          <w:rFonts w:ascii="Arial" w:cs="Arial" w:eastAsia="Arial" w:hAnsi="Arial"/>
          <w:sz w:val="16"/>
          <w:szCs w:val="16"/>
          <w:color w:val="6A6E6F"/>
        </w:rPr>
        <w:t>Extensive knowledge and experience in real estate operations and development, capital markets, operations, public company governance, strategy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1613535</wp:posOffset>
            </wp:positionV>
            <wp:extent cx="3240405" cy="30518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4040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James H.</w:t>
      </w:r>
    </w:p>
    <w:p>
      <w:pPr>
        <w:spacing w:after="0" w:line="1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6A6E6F"/>
        </w:rPr>
        <w:t>Simmons, III</w:t>
      </w:r>
    </w:p>
    <w:p>
      <w:pPr>
        <w:spacing w:after="0" w:line="10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Age: </w:t>
      </w:r>
      <w:r>
        <w:rPr>
          <w:rFonts w:ascii="Arial" w:cs="Arial" w:eastAsia="Arial" w:hAnsi="Arial"/>
          <w:sz w:val="16"/>
          <w:szCs w:val="16"/>
          <w:color w:val="6A6E6F"/>
        </w:rPr>
        <w:t>59</w:t>
      </w:r>
    </w:p>
    <w:p>
      <w:pPr>
        <w:spacing w:after="0" w:line="127"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6A6E6F"/>
        </w:rPr>
        <w:t xml:space="preserve">Director Since: </w:t>
      </w:r>
      <w:r>
        <w:rPr>
          <w:rFonts w:ascii="Arial" w:cs="Arial" w:eastAsia="Arial" w:hAnsi="Arial"/>
          <w:sz w:val="16"/>
          <w:szCs w:val="16"/>
          <w:color w:val="6A6E6F"/>
        </w:rPr>
        <w:t>2021</w:t>
      </w:r>
    </w:p>
    <w:p>
      <w:pPr>
        <w:spacing w:after="0" w:line="34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Board Committees</w:t>
      </w:r>
    </w:p>
    <w:p>
      <w:pPr>
        <w:spacing w:after="0" w:line="35" w:lineRule="exact"/>
        <w:rPr>
          <w:sz w:val="20"/>
          <w:szCs w:val="20"/>
          <w:color w:val="auto"/>
        </w:rPr>
      </w:pPr>
    </w:p>
    <w:p>
      <w:pPr>
        <w:ind w:left="460" w:hanging="196"/>
        <w:spacing w:after="0"/>
        <w:tabs>
          <w:tab w:leader="none" w:pos="460" w:val="left"/>
        </w:tabs>
        <w:numPr>
          <w:ilvl w:val="0"/>
          <w:numId w:val="40"/>
        </w:numPr>
        <w:rPr>
          <w:rFonts w:ascii="Wingdings" w:cs="Wingdings" w:eastAsia="Wingdings" w:hAnsi="Wingdings"/>
          <w:sz w:val="16"/>
          <w:szCs w:val="16"/>
          <w:b w:val="1"/>
          <w:bCs w:val="1"/>
          <w:color w:val="6A6E6F"/>
        </w:rPr>
      </w:pPr>
      <w:r>
        <w:rPr>
          <w:rFonts w:ascii="Arial" w:cs="Arial" w:eastAsia="Arial" w:hAnsi="Arial"/>
          <w:sz w:val="16"/>
          <w:szCs w:val="16"/>
          <w:color w:val="6A6E6F"/>
        </w:rPr>
        <w:t>Compensation</w:t>
      </w:r>
    </w:p>
    <w:p>
      <w:pPr>
        <w:spacing w:after="0" w:line="5" w:lineRule="exact"/>
        <w:rPr>
          <w:rFonts w:ascii="Wingdings" w:cs="Wingdings" w:eastAsia="Wingdings" w:hAnsi="Wingdings"/>
          <w:sz w:val="16"/>
          <w:szCs w:val="16"/>
          <w:b w:val="1"/>
          <w:bCs w:val="1"/>
          <w:color w:val="6A6E6F"/>
        </w:rPr>
      </w:pPr>
    </w:p>
    <w:p>
      <w:pPr>
        <w:ind w:left="460" w:hanging="196"/>
        <w:spacing w:after="0"/>
        <w:tabs>
          <w:tab w:leader="none" w:pos="460" w:val="left"/>
        </w:tabs>
        <w:numPr>
          <w:ilvl w:val="0"/>
          <w:numId w:val="40"/>
        </w:numPr>
        <w:rPr>
          <w:rFonts w:ascii="Wingdings" w:cs="Wingdings" w:eastAsia="Wingdings" w:hAnsi="Wingdings"/>
          <w:sz w:val="16"/>
          <w:szCs w:val="16"/>
          <w:b w:val="1"/>
          <w:bCs w:val="1"/>
          <w:color w:val="6A6E6F"/>
        </w:rPr>
      </w:pPr>
      <w:r>
        <w:rPr>
          <w:rFonts w:ascii="Arial" w:cs="Arial" w:eastAsia="Arial" w:hAnsi="Arial"/>
          <w:sz w:val="16"/>
          <w:szCs w:val="16"/>
          <w:color w:val="6A6E6F"/>
        </w:rPr>
        <w:t>Investment</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Other public company boards</w:t>
      </w:r>
    </w:p>
    <w:p>
      <w:pPr>
        <w:spacing w:after="0" w:line="35" w:lineRule="exact"/>
        <w:rPr>
          <w:sz w:val="20"/>
          <w:szCs w:val="20"/>
          <w:color w:val="auto"/>
        </w:rPr>
      </w:pPr>
    </w:p>
    <w:p>
      <w:pPr>
        <w:ind w:left="460" w:hanging="196"/>
        <w:spacing w:after="0"/>
        <w:tabs>
          <w:tab w:leader="none" w:pos="460" w:val="left"/>
        </w:tabs>
        <w:numPr>
          <w:ilvl w:val="0"/>
          <w:numId w:val="41"/>
        </w:numPr>
        <w:rPr>
          <w:rFonts w:ascii="Wingdings" w:cs="Wingdings" w:eastAsia="Wingdings" w:hAnsi="Wingdings"/>
          <w:sz w:val="16"/>
          <w:szCs w:val="16"/>
          <w:b w:val="1"/>
          <w:bCs w:val="1"/>
          <w:color w:val="6A6E6F"/>
        </w:rPr>
      </w:pPr>
      <w:r>
        <w:rPr>
          <w:rFonts w:ascii="Arial" w:cs="Arial" w:eastAsia="Arial" w:hAnsi="Arial"/>
          <w:sz w:val="16"/>
          <w:szCs w:val="16"/>
          <w:color w:val="6A6E6F"/>
        </w:rPr>
        <w:t>Apollo Asset Backed Credit Company LLC</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Principal occupation or employment</w:t>
      </w:r>
    </w:p>
    <w:p>
      <w:pPr>
        <w:spacing w:after="0" w:line="35" w:lineRule="exact"/>
        <w:rPr>
          <w:sz w:val="20"/>
          <w:szCs w:val="20"/>
          <w:color w:val="auto"/>
        </w:rPr>
      </w:pPr>
    </w:p>
    <w:p>
      <w:pPr>
        <w:ind w:left="460" w:right="500" w:hanging="196"/>
        <w:spacing w:after="0" w:line="265" w:lineRule="auto"/>
        <w:tabs>
          <w:tab w:leader="none" w:pos="460" w:val="left"/>
        </w:tabs>
        <w:numPr>
          <w:ilvl w:val="0"/>
          <w:numId w:val="42"/>
        </w:numPr>
        <w:rPr>
          <w:rFonts w:ascii="Wingdings" w:cs="Wingdings" w:eastAsia="Wingdings" w:hAnsi="Wingdings"/>
          <w:sz w:val="16"/>
          <w:szCs w:val="16"/>
          <w:b w:val="1"/>
          <w:bCs w:val="1"/>
          <w:color w:val="6A6E6F"/>
        </w:rPr>
      </w:pPr>
      <w:r>
        <w:rPr>
          <w:rFonts w:ascii="Arial" w:cs="Arial" w:eastAsia="Arial" w:hAnsi="Arial"/>
          <w:sz w:val="16"/>
          <w:szCs w:val="16"/>
          <w:color w:val="6A6E6F"/>
        </w:rPr>
        <w:t>Chief Executive Officer and Founding Partner of Asland Capital Partners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6A6E6F"/>
        </w:rPr>
        <w:t>Qualifications</w:t>
      </w:r>
    </w:p>
    <w:p>
      <w:pPr>
        <w:spacing w:after="0" w:line="73" w:lineRule="exact"/>
        <w:rPr>
          <w:sz w:val="20"/>
          <w:szCs w:val="20"/>
          <w:color w:val="auto"/>
        </w:rPr>
      </w:pPr>
    </w:p>
    <w:p>
      <w:pPr>
        <w:ind w:left="460" w:right="240" w:hanging="196"/>
        <w:spacing w:after="0" w:line="266" w:lineRule="auto"/>
        <w:tabs>
          <w:tab w:leader="none" w:pos="460" w:val="left"/>
        </w:tabs>
        <w:numPr>
          <w:ilvl w:val="0"/>
          <w:numId w:val="43"/>
        </w:numPr>
        <w:rPr>
          <w:rFonts w:ascii="Wingdings" w:cs="Wingdings" w:eastAsia="Wingdings" w:hAnsi="Wingdings"/>
          <w:sz w:val="16"/>
          <w:szCs w:val="16"/>
          <w:b w:val="1"/>
          <w:bCs w:val="1"/>
          <w:color w:val="6A6E6F"/>
        </w:rPr>
      </w:pPr>
      <w:r>
        <w:rPr>
          <w:rFonts w:ascii="Arial" w:cs="Arial" w:eastAsia="Arial" w:hAnsi="Arial"/>
          <w:sz w:val="16"/>
          <w:szCs w:val="16"/>
          <w:color w:val="6A6E6F"/>
        </w:rPr>
        <w:t>Extensive knowledge of and experience in real estate development, transactions and operations, capital markets, marketing, strategy and leadership.</w:t>
      </w: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14</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6A6E6F"/>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-904240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6"/>
          <w:szCs w:val="16"/>
          <w:color w:val="6A6E6F"/>
        </w:rPr>
        <w:t>Mr. Parrell, a graduate of the University of Michigan, holds a J.D. from the Georgetown University Law Center. Mr. Parrell is the President, Chief Executive Officer and member of the Board of Trustees of Equity Residential (NYSE: EQR) since January 2019. Mr. Parrell was the Equity Residential’s Executive Vice President and Chief Financial Officer from October 2007 to September 2018 and Senior Vice President and Treasurer of the company from August 2005 to October 2007 and served in various roles in the company’s finance group since September 1999. Mr. Parrell is also active in several business and community service organizations. He currently serves as a board member of the Real Estate Roundtable as well as serving as the First Vice Chair and as a member of the Executive Board of Governors of Nareit. He is a member of the Advisory Board for the Weiser Center for Real Estate at the University of Michigan and is a member of the National Multifamily Housing Council and served as Chair of its Finance Committee in 2015-2016. He is also a member of the Board of Directors and Chair of the Finance Committee of the Greater Chicago Food Depository. Mr. Parrell served as an independent member of the Boards of Directors of various T. Rowe Price mutual funds and exchange traded funds from July 2023 to November 2025. He also served as a member of the Board of Directors and the Audit and Investment Committees of Brookdale Senior Living Inc. (NYSE: BKD), a leading operator of senior living communities throughout the United States from April 2015 to July 2017 and served as a member of the Board of Directors and the Audit Committee of Aviv REIT, Inc. (NYSE: AVIV), a public REIT that specialized in owning post-acute and long-term care skilled nursing facilities and other healthcare properties from March 2013 until April 2015 when Aviv merged into Omega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6A6E6F"/>
        </w:rPr>
        <w:t>Professional Experience:</w:t>
      </w:r>
    </w:p>
    <w:p>
      <w:pPr>
        <w:spacing w:after="0" w:line="21" w:lineRule="exact"/>
        <w:rPr>
          <w:sz w:val="20"/>
          <w:szCs w:val="20"/>
          <w:color w:val="auto"/>
        </w:rPr>
      </w:pPr>
    </w:p>
    <w:p>
      <w:pPr>
        <w:spacing w:after="0" w:line="247" w:lineRule="auto"/>
        <w:rPr>
          <w:sz w:val="20"/>
          <w:szCs w:val="20"/>
          <w:color w:val="auto"/>
        </w:rPr>
      </w:pPr>
      <w:r>
        <w:rPr>
          <w:rFonts w:ascii="Arial" w:cs="Arial" w:eastAsia="Arial" w:hAnsi="Arial"/>
          <w:sz w:val="16"/>
          <w:szCs w:val="16"/>
          <w:color w:val="6A6E6F"/>
        </w:rPr>
        <w:t>Mr. Simmons, a graduate of Princeton University, holds an M.S. from Virginia Tech and an M.B.A. from Northwestern University. Mr. Simmons currently serves as Chief Executive Officer and Founding Partner of Asland Capital Partners, an institutional investment management platform, serving as head of the investment committee with responsibility for the strategic direction and investment strategy of the firm. Prior to Asland, Mr. Simmons served as a Partner at Ares Management Corporation, a global alternative investment manager, from 2013 to 2018. He also served as a Partner at Apollo Real Estate Advisors L.P. from 2002 to 2013. Prior to Apollo, Mr. Simmons served as Chief Executive Officer and Chief Investment Officer of the Upper Manhattan Empowerment Zone Development Corporation. Mr. Simmons serves as a director of Apollo Asset Backed Credit Company LLC (NYSE: APO). He previously served as a director of Apollo Strategic Growth Capital (NYSE: APSG). He is currently a member of the Princeton University President’s Advisory Council, member of the Board of Trustees for The Dalton School and chair of the Real Estate Executive Council. Mr. Simmons previously served as a director of the Greater Jamaica Development Corporation and a member of Princeton University National Annual Giving Committee.</w:t>
      </w:r>
    </w:p>
    <w:p>
      <w:pPr>
        <w:sectPr>
          <w:pgSz w:w="11900" w:h="16838" w:orient="portrait"/>
          <w:cols w:equalWidth="0" w:num="2">
            <w:col w:w="4940" w:space="380"/>
            <w:col w:w="580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6A6E6F"/>
        </w:rPr>
        <w:t>Martin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3077210" cy="26574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77210" cy="2657475"/>
                    </a:xfrm>
                    <a:prstGeom prst="rect">
                      <a:avLst/>
                    </a:prstGeom>
                    <a:noFill/>
                  </pic:spPr>
                </pic:pic>
              </a:graphicData>
            </a:graphic>
          </wp:anchor>
        </w:drawing>
      </w:r>
    </w:p>
    <w:p>
      <w:pPr>
        <w:ind w:left="2200"/>
        <w:spacing w:after="0"/>
        <w:rPr>
          <w:sz w:val="20"/>
          <w:szCs w:val="20"/>
          <w:color w:val="auto"/>
        </w:rPr>
      </w:pPr>
      <w:r>
        <w:rPr>
          <w:rFonts w:ascii="Times New Roman" w:cs="Times New Roman" w:eastAsia="Times New Roman" w:hAnsi="Times New Roman"/>
          <w:sz w:val="22"/>
          <w:szCs w:val="22"/>
          <w:b w:val="1"/>
          <w:bCs w:val="1"/>
          <w:color w:val="6A6E6F"/>
        </w:rPr>
        <w:t>Stein, Jr.</w:t>
      </w:r>
    </w:p>
    <w:p>
      <w:pPr>
        <w:ind w:left="2200"/>
        <w:spacing w:after="0"/>
        <w:rPr>
          <w:sz w:val="20"/>
          <w:szCs w:val="20"/>
          <w:color w:val="auto"/>
        </w:rPr>
      </w:pPr>
      <w:r>
        <w:rPr>
          <w:rFonts w:ascii="Arial" w:cs="Arial" w:eastAsia="Arial" w:hAnsi="Arial"/>
          <w:sz w:val="16"/>
          <w:szCs w:val="16"/>
          <w:b w:val="1"/>
          <w:bCs w:val="1"/>
          <w:color w:val="6A6E6F"/>
        </w:rPr>
        <w:t>Executive Chairman</w:t>
      </w:r>
    </w:p>
    <w:p>
      <w:pPr>
        <w:spacing w:after="0" w:line="111"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6A6E6F"/>
        </w:rPr>
        <w:t xml:space="preserve">Age: </w:t>
      </w:r>
      <w:r>
        <w:rPr>
          <w:rFonts w:ascii="Arial" w:cs="Arial" w:eastAsia="Arial" w:hAnsi="Arial"/>
          <w:sz w:val="16"/>
          <w:szCs w:val="16"/>
          <w:color w:val="6A6E6F"/>
        </w:rPr>
        <w:t>73</w:t>
      </w:r>
    </w:p>
    <w:p>
      <w:pPr>
        <w:spacing w:after="0" w:line="127"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6A6E6F"/>
        </w:rPr>
        <w:t xml:space="preserve">Director Since: </w:t>
      </w:r>
      <w:r>
        <w:rPr>
          <w:rFonts w:ascii="Arial" w:cs="Arial" w:eastAsia="Arial" w:hAnsi="Arial"/>
          <w:sz w:val="16"/>
          <w:szCs w:val="16"/>
          <w:color w:val="6A6E6F"/>
        </w:rPr>
        <w:t>1993</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6A6E6F"/>
        </w:rPr>
        <w:t>Board Committees</w:t>
      </w:r>
    </w:p>
    <w:p>
      <w:pPr>
        <w:spacing w:after="0" w:line="35" w:lineRule="exact"/>
        <w:rPr>
          <w:sz w:val="20"/>
          <w:szCs w:val="20"/>
          <w:color w:val="auto"/>
        </w:rPr>
      </w:pPr>
    </w:p>
    <w:p>
      <w:pPr>
        <w:ind w:left="440" w:hanging="203"/>
        <w:spacing w:after="0"/>
        <w:tabs>
          <w:tab w:leader="none" w:pos="440" w:val="left"/>
        </w:tabs>
        <w:numPr>
          <w:ilvl w:val="0"/>
          <w:numId w:val="44"/>
        </w:numPr>
        <w:rPr>
          <w:rFonts w:ascii="Wingdings" w:cs="Wingdings" w:eastAsia="Wingdings" w:hAnsi="Wingdings"/>
          <w:sz w:val="16"/>
          <w:szCs w:val="16"/>
          <w:b w:val="1"/>
          <w:bCs w:val="1"/>
          <w:color w:val="6A6E6F"/>
        </w:rPr>
      </w:pPr>
      <w:r>
        <w:rPr>
          <w:rFonts w:ascii="Arial" w:cs="Arial" w:eastAsia="Arial" w:hAnsi="Arial"/>
          <w:sz w:val="16"/>
          <w:szCs w:val="16"/>
          <w:color w:val="6A6E6F"/>
        </w:rPr>
        <w:t>Investment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6A6E6F"/>
        </w:rPr>
        <w:t>Other public company boards</w:t>
      </w:r>
    </w:p>
    <w:p>
      <w:pPr>
        <w:spacing w:after="0" w:line="35" w:lineRule="exact"/>
        <w:rPr>
          <w:sz w:val="20"/>
          <w:szCs w:val="20"/>
          <w:color w:val="auto"/>
        </w:rPr>
      </w:pPr>
    </w:p>
    <w:p>
      <w:pPr>
        <w:ind w:left="440" w:hanging="203"/>
        <w:spacing w:after="0"/>
        <w:tabs>
          <w:tab w:leader="none" w:pos="440" w:val="left"/>
        </w:tabs>
        <w:numPr>
          <w:ilvl w:val="0"/>
          <w:numId w:val="45"/>
        </w:numPr>
        <w:rPr>
          <w:rFonts w:ascii="Wingdings" w:cs="Wingdings" w:eastAsia="Wingdings" w:hAnsi="Wingdings"/>
          <w:sz w:val="16"/>
          <w:szCs w:val="16"/>
          <w:b w:val="1"/>
          <w:bCs w:val="1"/>
          <w:color w:val="6A6E6F"/>
        </w:rPr>
      </w:pPr>
      <w:r>
        <w:rPr>
          <w:rFonts w:ascii="Arial" w:cs="Arial" w:eastAsia="Arial" w:hAnsi="Arial"/>
          <w:sz w:val="16"/>
          <w:szCs w:val="16"/>
          <w:color w:val="6A6E6F"/>
        </w:rPr>
        <w:t>FRP Holdings, Inc.</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6A6E6F"/>
        </w:rPr>
        <w:t>Principal occupation or employment</w:t>
      </w:r>
    </w:p>
    <w:p>
      <w:pPr>
        <w:spacing w:after="0" w:line="35" w:lineRule="exact"/>
        <w:rPr>
          <w:sz w:val="20"/>
          <w:szCs w:val="20"/>
          <w:color w:val="auto"/>
        </w:rPr>
      </w:pPr>
    </w:p>
    <w:p>
      <w:pPr>
        <w:ind w:left="440" w:right="660" w:hanging="203"/>
        <w:spacing w:after="0" w:line="265" w:lineRule="auto"/>
        <w:tabs>
          <w:tab w:leader="none" w:pos="440" w:val="left"/>
        </w:tabs>
        <w:numPr>
          <w:ilvl w:val="0"/>
          <w:numId w:val="46"/>
        </w:numPr>
        <w:rPr>
          <w:rFonts w:ascii="Wingdings" w:cs="Wingdings" w:eastAsia="Wingdings" w:hAnsi="Wingdings"/>
          <w:sz w:val="16"/>
          <w:szCs w:val="16"/>
          <w:b w:val="1"/>
          <w:bCs w:val="1"/>
          <w:color w:val="6A6E6F"/>
        </w:rPr>
      </w:pPr>
      <w:r>
        <w:rPr>
          <w:rFonts w:ascii="Arial" w:cs="Arial" w:eastAsia="Arial" w:hAnsi="Arial"/>
          <w:sz w:val="16"/>
          <w:szCs w:val="16"/>
          <w:color w:val="6A6E6F"/>
        </w:rPr>
        <w:t>Executive Chairman of the Board of Regency Centers Corporation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6A6E6F"/>
        </w:rPr>
        <w:t>Qualifications</w:t>
      </w:r>
    </w:p>
    <w:p>
      <w:pPr>
        <w:spacing w:after="0" w:line="35" w:lineRule="exact"/>
        <w:rPr>
          <w:sz w:val="20"/>
          <w:szCs w:val="20"/>
          <w:color w:val="auto"/>
        </w:rPr>
      </w:pPr>
    </w:p>
    <w:p>
      <w:pPr>
        <w:jc w:val="both"/>
        <w:ind w:left="440" w:hanging="203"/>
        <w:spacing w:after="0" w:line="256" w:lineRule="auto"/>
        <w:tabs>
          <w:tab w:leader="none" w:pos="440" w:val="left"/>
        </w:tabs>
        <w:numPr>
          <w:ilvl w:val="0"/>
          <w:numId w:val="47"/>
        </w:numPr>
        <w:rPr>
          <w:rFonts w:ascii="Wingdings" w:cs="Wingdings" w:eastAsia="Wingdings" w:hAnsi="Wingdings"/>
          <w:sz w:val="16"/>
          <w:szCs w:val="16"/>
          <w:b w:val="1"/>
          <w:bCs w:val="1"/>
          <w:color w:val="6A6E6F"/>
        </w:rPr>
      </w:pPr>
      <w:r>
        <w:rPr>
          <w:rFonts w:ascii="Arial" w:cs="Arial" w:eastAsia="Arial" w:hAnsi="Arial"/>
          <w:sz w:val="16"/>
          <w:szCs w:val="16"/>
          <w:color w:val="6A6E6F"/>
        </w:rPr>
        <w:t>Extensive experience in real estate development, acquisitions, financing and operations, the REIT industry, strategic planning, capital markets, human capital and 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Proposal One: Election Of Directors </w:t>
      </w:r>
      <w:r>
        <w:rPr>
          <w:rFonts w:ascii="Arial" w:cs="Arial" w:eastAsia="Arial" w:hAnsi="Arial"/>
          <w:sz w:val="19"/>
          <w:szCs w:val="19"/>
          <w:b w:val="1"/>
          <w:bCs w:val="1"/>
          <w:color w:val="E56D3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-688975</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6A6E6F"/>
        </w:rPr>
        <w:t>Professional Experience:</w:t>
      </w:r>
    </w:p>
    <w:p>
      <w:pPr>
        <w:spacing w:after="0" w:line="2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6A6E6F"/>
        </w:rPr>
        <w:t>Mr. Stein, a graduate of Washington and Lee University, holds an M.B.A. from Dartmouth College’s Tuck School of Business. Mr. Stein has been our Executive Chairman of the Board since January 1, 2020, having served as a director of the Board since 1993 and its Chairman since 1998. Mr. Stein served as Chief Executive Officer from our initial public offering in 1993 until December 31, 2019. He was our President and Chief Executive Officer from 1993 until 1998 and President of our predecessor real estate division beginning in 1981 and Vice President from 1976 to 1981. He is a director of FRP Holdings, Inc. (NYSE: FRPH), a publicly held real estate company. He served as past Chairman of Nareit, and is a member of ULI, ICSC and the Real Estate Roundtable. Mr. Stein is a former trustee of Washington and Lee University and ULI.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15</w:t>
      </w:r>
    </w:p>
    <w:p>
      <w:pPr>
        <w:sectPr>
          <w:pgSz w:w="11900" w:h="16838" w:orient="portrait"/>
          <w:cols w:equalWidth="0" w:num="2">
            <w:col w:w="4940" w:space="260"/>
            <w:col w:w="59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Corporate Governance</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E56D3D"/>
        </w:rPr>
        <w:t>Corporate Governance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Corporate Governance Guidelines</w:t>
      </w:r>
    </w:p>
    <w:p>
      <w:pPr>
        <w:spacing w:after="0" w:line="72"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auto"/>
        </w:rPr>
        <w:t>Our Board has adopted Corporate Governance Guidelines (CGGs), which describe the Board’s responsibility for oversight of the business and affairs of the Company as well as for determining director independence and consideration of potential nominees to the Board. Our CGGs are found on the Company’s website at https://investors.regencycenters.com. Our Board, directly and through its Nominating and Governance Committee, regularly reviews changes in law and governmental policy, other developments impacting public companies and best practices in corporate governance, and makes modification to the CGGs, committee charters and other key governance documents, policies and practices as it determines necessary or appropriate.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Director Independence</w:t>
      </w:r>
    </w:p>
    <w:p>
      <w:pPr>
        <w:spacing w:after="0" w:line="72"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Our Board has determined that C. Ronald Blankenship, as well as nine of its eleven nominees for director (Gary E. Anderson, Bryce Blair, Kristin A. Campbell, Deirdre J. Evens, Thomas W. Furphy, Karin M. Klein, Peter D. Linneman, Mark J. Parrell, and James H. Simmons, III), or 83% of the current Board, are “independent” as defined by applicable Nasdaq Stock Market listing requirements. The Board annually reviews commercial, familial and charitable relationships of all directors and determines whether each director meet applicable independence tests. To assist in making these determinations, the Board has adopted a set of independence standards, which are set forth in the Company’s CGGs, which meet or exceed the Nasdaq Stock Market listing requirements.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Board Leadership Structure</w:t>
      </w:r>
    </w:p>
    <w:p>
      <w:pPr>
        <w:spacing w:after="0" w:line="8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The roles of Executive Chairman of the Board and Chief Executive Officer are currently separate. Our Board does not have a formal policy on whether the same person should serve in both roles at the same time and periodically reviews and determines the leadership structure that it believes is in the best interest of the Company and its shareholders.</w:t>
      </w:r>
    </w:p>
    <w:p>
      <w:pPr>
        <w:spacing w:after="0" w:line="131" w:lineRule="exact"/>
        <w:rPr>
          <w:sz w:val="20"/>
          <w:szCs w:val="20"/>
          <w:color w:val="auto"/>
        </w:rPr>
      </w:pPr>
    </w:p>
    <w:p>
      <w:pPr>
        <w:jc w:val="both"/>
        <w:ind w:left="120" w:right="200"/>
        <w:spacing w:after="0" w:line="256" w:lineRule="auto"/>
        <w:rPr>
          <w:sz w:val="20"/>
          <w:szCs w:val="20"/>
          <w:color w:val="auto"/>
        </w:rPr>
      </w:pPr>
      <w:r>
        <w:rPr>
          <w:rFonts w:ascii="Arial" w:cs="Arial" w:eastAsia="Arial" w:hAnsi="Arial"/>
          <w:sz w:val="16"/>
          <w:szCs w:val="16"/>
          <w:color w:val="auto"/>
        </w:rPr>
        <w:t>Since January 1, 2020, Mr. Stein has served as Executive Chairman of the Board given his extensive history with the Company and vast knowledge of the real estate industry. Ms. Palmer serves as Chief Executive Officer and as a member of the Board. Pursuant to the CGGs, if the Chairman is also an employee of the Company (as Mr. Stein is, as Executive Chairman), the Board shall elect an independent Lead Director. The independent members of the Board elected Mr. Blankenship to serve as Lead Director until his announced retirement from the Board after the 2026 Annual Meeting, and elected Ms. Evens to serve as Lead Director upon Mr. Blankenship’s retirement from the Board.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Role of Independent Lead Director</w:t>
      </w:r>
    </w:p>
    <w:p>
      <w:pPr>
        <w:spacing w:after="0" w:line="85" w:lineRule="exact"/>
        <w:rPr>
          <w:sz w:val="20"/>
          <w:szCs w:val="20"/>
          <w:color w:val="auto"/>
        </w:rPr>
      </w:pPr>
    </w:p>
    <w:p>
      <w:pPr>
        <w:ind w:left="120" w:right="5560"/>
        <w:spacing w:after="0" w:line="250" w:lineRule="auto"/>
        <w:rPr>
          <w:sz w:val="20"/>
          <w:szCs w:val="20"/>
          <w:color w:val="auto"/>
        </w:rPr>
      </w:pPr>
      <w:r>
        <w:rPr>
          <w:rFonts w:ascii="Arial" w:cs="Arial" w:eastAsia="Arial" w:hAnsi="Arial"/>
          <w:sz w:val="16"/>
          <w:szCs w:val="16"/>
          <w:color w:val="auto"/>
        </w:rPr>
        <w:t>The Independent Lead Director serves as the principal liaison between the Executive Chairman of the Board and the independent directors, presides at the executive sessions of independent directors at each Board meeting and other meetings of independent directors, helps lead the Board’s annual self-assessment and evaluation and annual performance evaluation of the Executive Chairman and the Chief Executive Officer, and performs such other duties as may be assigned or requested by the Board. Both the Executive Chairman and the Chief Executive Officer consult routinely with the independent Lead Director on board agendas, substantive board issues and on strategic and significant business issues facing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-1052830</wp:posOffset>
            </wp:positionV>
            <wp:extent cx="2459990" cy="255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59990" cy="2554605"/>
                    </a:xfrm>
                    <a:prstGeom prst="rect">
                      <a:avLst/>
                    </a:prstGeom>
                    <a:noFill/>
                  </pic:spPr>
                </pic:pic>
              </a:graphicData>
            </a:graphic>
          </wp:anchor>
        </w:drawing>
      </w:r>
    </w:p>
    <w:p>
      <w:pPr>
        <w:spacing w:after="0" w:line="156" w:lineRule="exact"/>
        <w:rPr>
          <w:sz w:val="20"/>
          <w:szCs w:val="20"/>
          <w:color w:val="auto"/>
        </w:rPr>
      </w:pPr>
    </w:p>
    <w:p>
      <w:pPr>
        <w:ind w:left="120" w:right="5640"/>
        <w:spacing w:after="0" w:line="266" w:lineRule="auto"/>
        <w:rPr>
          <w:sz w:val="20"/>
          <w:szCs w:val="20"/>
          <w:color w:val="auto"/>
        </w:rPr>
      </w:pPr>
      <w:r>
        <w:rPr>
          <w:rFonts w:ascii="Arial" w:cs="Arial" w:eastAsia="Arial" w:hAnsi="Arial"/>
          <w:sz w:val="16"/>
          <w:szCs w:val="16"/>
          <w:color w:val="auto"/>
        </w:rPr>
        <w:t>See “Shareholder Proposals and Communications with the Board of Directors” for information on how to communicate with our Lead Director or any of the other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16</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Corporate Governance </w:t>
      </w:r>
      <w:r>
        <w:rPr>
          <w:rFonts w:ascii="Arial" w:cs="Arial" w:eastAsia="Arial" w:hAnsi="Arial"/>
          <w:sz w:val="19"/>
          <w:szCs w:val="19"/>
          <w:b w:val="1"/>
          <w:bCs w:val="1"/>
          <w:color w:val="E56D3D"/>
        </w:rPr>
        <w: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Meetings of Board of Directors</w:t>
      </w:r>
    </w:p>
    <w:p>
      <w:pPr>
        <w:spacing w:after="0" w:line="72"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Our Board held six meetings during 2025. All directors attended at least 75% of all meetings of the Board and Board committees on which they served during 2025.</w:t>
      </w:r>
    </w:p>
    <w:p>
      <w:pPr>
        <w:spacing w:after="0" w:line="115"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Directors are encouraged to attend each Annual Meeting of Shareholders. However, we do not have a formal policy requiring their attendance. Each of the directors that were nominees at the time of the 2025 Annual Meeting were present at the 2025 Annual Meeting.</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Executive Sessions of Independent Directors</w:t>
      </w:r>
    </w:p>
    <w:p>
      <w:pPr>
        <w:spacing w:after="0" w:line="85" w:lineRule="exact"/>
        <w:rPr>
          <w:sz w:val="20"/>
          <w:szCs w:val="20"/>
          <w:color w:val="auto"/>
        </w:rPr>
      </w:pPr>
    </w:p>
    <w:p>
      <w:pPr>
        <w:ind w:left="120" w:right="380"/>
        <w:spacing w:after="0" w:line="259" w:lineRule="auto"/>
        <w:rPr>
          <w:sz w:val="20"/>
          <w:szCs w:val="20"/>
          <w:color w:val="auto"/>
        </w:rPr>
      </w:pPr>
      <w:r>
        <w:rPr>
          <w:rFonts w:ascii="Arial" w:cs="Arial" w:eastAsia="Arial" w:hAnsi="Arial"/>
          <w:sz w:val="16"/>
          <w:szCs w:val="16"/>
          <w:color w:val="auto"/>
        </w:rPr>
        <w:t>The independent directors hold regularly scheduled executive sessions of the Board and its committees without senior management or the non-independent directors present. These executive sessions are chaired by the independent Lead Director (at Board meetings) or by the committee chairs (at committee meetings), each of whom are independent directors. The independent directors met in executive session at all of the regularly scheduled Board and committee meetings held in 2025.</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Board Membership</w:t>
      </w:r>
    </w:p>
    <w:p>
      <w:pPr>
        <w:spacing w:after="0" w:line="72" w:lineRule="exact"/>
        <w:rPr>
          <w:sz w:val="20"/>
          <w:szCs w:val="20"/>
          <w:color w:val="auto"/>
        </w:rPr>
      </w:pPr>
    </w:p>
    <w:p>
      <w:pPr>
        <w:jc w:val="both"/>
        <w:ind w:left="120" w:right="300"/>
        <w:spacing w:after="0" w:line="266" w:lineRule="auto"/>
        <w:rPr>
          <w:sz w:val="20"/>
          <w:szCs w:val="20"/>
          <w:color w:val="auto"/>
        </w:rPr>
      </w:pPr>
      <w:r>
        <w:rPr>
          <w:rFonts w:ascii="Arial" w:cs="Arial" w:eastAsia="Arial" w:hAnsi="Arial"/>
          <w:sz w:val="16"/>
          <w:szCs w:val="16"/>
          <w:color w:val="auto"/>
        </w:rPr>
        <w:t>The Nominating and Governance Committee assists the Board in establishing criteria and qualifications for potential Board members. The committee identifies individuals who meet such criteria and qualifications and recommends to the Board such individuals as potential nominees for election to the Board.</w:t>
      </w:r>
    </w:p>
    <w:p>
      <w:pPr>
        <w:spacing w:after="0" w:line="13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In addition, after consideration of the skills matrix set forth on page 9, the backgrounds and biographies of each of the Board members, and other considerations in respect of the potential needs of the Board and the Company, the committee seeks attributes in potential new members that will complement and enhance the Board’s existing make-up, while taking into account expected retirements, to best facilitate Board succession, transition and effectiveness. The committee evaluates each individual in the context of the Board as a whole, to recommend a group that can best collaboratively contribute to the success of our Company.</w:t>
      </w:r>
    </w:p>
    <w:p>
      <w:pPr>
        <w:spacing w:after="0" w:line="153" w:lineRule="exact"/>
        <w:rPr>
          <w:sz w:val="20"/>
          <w:szCs w:val="20"/>
          <w:color w:val="auto"/>
        </w:rPr>
      </w:pPr>
    </w:p>
    <w:p>
      <w:pPr>
        <w:ind w:left="120" w:right="100"/>
        <w:spacing w:after="0" w:line="257" w:lineRule="auto"/>
        <w:rPr>
          <w:sz w:val="20"/>
          <w:szCs w:val="20"/>
          <w:color w:val="auto"/>
        </w:rPr>
      </w:pPr>
      <w:r>
        <w:rPr>
          <w:rFonts w:ascii="Arial" w:cs="Arial" w:eastAsia="Arial" w:hAnsi="Arial"/>
          <w:sz w:val="16"/>
          <w:szCs w:val="16"/>
          <w:color w:val="auto"/>
        </w:rPr>
        <w:t>The board has not set term limits on director service, nor has it established a mandatory retirement age, because the Board believes that term limits and/or a mandatory retirement age may deprive the Board and the Company’s shareholders of the contributions of experienced, effective, high-performing directors who have developed valuable expertise and insights into the Company and its business. However, the CGGs provide that the Board considers age 75 or 15 years of board tenure, whichever occurs first, as relevant factors when considering continuing Board nominations and membership.</w:t>
      </w: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Succession Planning, Board Refreshment and Diversity of Member Attributes</w:t>
      </w:r>
    </w:p>
    <w:p>
      <w:pPr>
        <w:spacing w:after="0" w:line="72"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Our Board believes that a mix of personal and professional attributes among its directors is crucial to effective governance. This mix of competencies, skills, experiences, expertise, perspective, personal backgrounds and tenures (we’ll refer to these collectively as the “attributes” of our Board members and candidates), as well as continuity of the membership of our Board, have been integral over time to the performance of the Board and the success of our Company. To ensure that a mix of attributes and Board membership continuity are maintained and enhanced, our Board has established a succession planning process. A review of the Board succession plan is part of the annual agenda of both the Nominating and Governance Committee and the full Board. The Board has undergone significant, purposeful refreshment over the past several years, such that the average tenure of its nine nominated independent directors is currently six years. This refreshment has resulted in the addition of diverse attributes, fresh perspectives, and a range of new and different experience sets.</w:t>
      </w:r>
    </w:p>
    <w:p>
      <w:pPr>
        <w:spacing w:after="0" w:line="142"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The Nominating and Governance Committee and the Board, respectively, continually assess member attribute diversity through its annual succession plan review, annual evaluation of Board structure and composition, and the results of the annual Board and committee performance self-assessment and evaluation process. The committee and the Board believe that fostering Board member attribute diversity best serves the needs of the Company and the interests of its shareholders, by maintaining deep experience and institutional knowledge of the Company and its business while also providing fresh perspectives and new ideas. The committee evaluates each potential director candidate in the context of existing Board members and the Board as a whole to ensure that appropriate diversity attributes and Board culture, perspective and effectiveness will be maintained and enhanced.</w:t>
      </w:r>
    </w:p>
    <w:p>
      <w:pPr>
        <w:spacing w:after="0" w:line="109"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17</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Corporate Governance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Director Nominee Selection Process</w:t>
      </w:r>
    </w:p>
    <w:p>
      <w:pPr>
        <w:spacing w:after="0" w:line="72"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Our Nominating and Governance Committee solicits input regarding potential candidates from a variety of sources, including existing directors, senior management and shareholders. From time to time, we have used an executive search firm, especially when helpful in identifying new or different pools of talent for our Board. For instance, in 2025, our Board retained an executive search firm to facilitate the recruitment of a highly qualified candidate for the Board, resulting in the election of Mark J. Parrell in January of 2026, and in 2024, the Board facilitated the recruitment and election of Gary E. Anderson through existing director relationships. Through these and other means, the Board has continually refreshed itself by selecting directors who will be additive to the overall mix of attributes on the Board. The committee evaluates potential candidates based on a variety of factors and also arranges personal interviews by one or more committee members, other Board members and senior management,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218440</wp:posOffset>
            </wp:positionV>
            <wp:extent cx="7029450" cy="37630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2945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Director Candidate Nominations through Proxy Access</w:t>
      </w:r>
    </w:p>
    <w:p>
      <w:pPr>
        <w:spacing w:after="0" w:line="112"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Our bylaws make proxy access available to our shareholders. Under this process, a shareholder or group of up to 20 shareholders of common stock who have owned shares of our common stock equal to at least 3% of the aggregate of our issued and outstanding common shares continuously for at least three years may seek to include director nominees in our proxy materials at our Annual Meeting. The maximum number of director nominees that may be submitted pursuant to these provisions may not exceed 25% of the number of directors then on the Board, with such number to be reduced by the number of individuals that the Board nominates for re-election who were previously elected based upon a nomination pursuant to proxy access or advance notice provisions of our bylaws. To be eligible to use proxy access, such shareholders must satisfy other eligibility, procedure and disclosure requirements set forth in our bylaws.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18</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080"/>
          </w:cols>
          <w:pgMar w:left="320" w:top="482"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Corporate Governance </w:t>
      </w:r>
      <w:r>
        <w:rPr>
          <w:rFonts w:ascii="Arial" w:cs="Arial" w:eastAsia="Arial" w:hAnsi="Arial"/>
          <w:sz w:val="19"/>
          <w:szCs w:val="19"/>
          <w:b w:val="1"/>
          <w:bCs w:val="1"/>
          <w:color w:val="E56D3D"/>
        </w:rPr>
        <w: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Limits on Board Service</w:t>
      </w:r>
    </w:p>
    <w:p>
      <w:pPr>
        <w:spacing w:after="0" w:line="7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Our Board does not allow “overboarding”, which refers to a director serving on an excessive number of public company boards. Excessive board commitments can lead to a director being unable to devote sufficient attention to Board matters and appropriately fulfill his or her duties to the Company and its shareholders. Our CGGs limit the number of boards on which our directors and officers can serve and further provide that no more than two active Regency executives may serve on our Board at any time. Our CGGs provide for the following limitations: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3860" w:type="dxa"/>
            <w:vAlign w:val="bottom"/>
          </w:tcPr>
          <w:p>
            <w:pPr>
              <w:jc w:val="right"/>
              <w:spacing w:after="0"/>
              <w:rPr>
                <w:sz w:val="20"/>
                <w:szCs w:val="20"/>
                <w:color w:val="auto"/>
              </w:rPr>
            </w:pPr>
            <w:r>
              <w:rPr>
                <w:rFonts w:ascii="Arial" w:cs="Arial" w:eastAsia="Arial" w:hAnsi="Arial"/>
                <w:sz w:val="14"/>
                <w:szCs w:val="14"/>
                <w:b w:val="1"/>
                <w:bCs w:val="1"/>
                <w:color w:val="E56D3D"/>
              </w:rPr>
              <w:t>Maximum Number of</w:t>
            </w:r>
          </w:p>
        </w:tc>
      </w:tr>
      <w:tr>
        <w:trPr>
          <w:trHeight w:val="210"/>
        </w:trPr>
        <w:tc>
          <w:tcPr>
            <w:tcW w:w="7160" w:type="dxa"/>
            <w:vAlign w:val="bottom"/>
          </w:tcPr>
          <w:p>
            <w:pPr>
              <w:ind w:left="60"/>
              <w:spacing w:after="0"/>
              <w:rPr>
                <w:sz w:val="20"/>
                <w:szCs w:val="20"/>
                <w:color w:val="auto"/>
              </w:rPr>
            </w:pPr>
            <w:r>
              <w:rPr>
                <w:rFonts w:ascii="Arial" w:cs="Arial" w:eastAsia="Arial" w:hAnsi="Arial"/>
                <w:sz w:val="14"/>
                <w:szCs w:val="14"/>
                <w:b w:val="1"/>
                <w:bCs w:val="1"/>
                <w:color w:val="E56D3D"/>
              </w:rPr>
              <w:t>Position</w:t>
            </w:r>
          </w:p>
        </w:tc>
        <w:tc>
          <w:tcPr>
            <w:tcW w:w="3860" w:type="dxa"/>
            <w:vAlign w:val="bottom"/>
          </w:tcPr>
          <w:p>
            <w:pPr>
              <w:jc w:val="right"/>
              <w:spacing w:after="0"/>
              <w:rPr>
                <w:sz w:val="20"/>
                <w:szCs w:val="20"/>
                <w:color w:val="auto"/>
              </w:rPr>
            </w:pPr>
            <w:r>
              <w:rPr>
                <w:rFonts w:ascii="Arial" w:cs="Arial" w:eastAsia="Arial" w:hAnsi="Arial"/>
                <w:sz w:val="14"/>
                <w:szCs w:val="14"/>
                <w:b w:val="1"/>
                <w:bCs w:val="1"/>
                <w:color w:val="E56D3D"/>
              </w:rPr>
              <w:t>Public Company Boards*</w:t>
            </w:r>
          </w:p>
        </w:tc>
      </w:tr>
      <w:tr>
        <w:trPr>
          <w:trHeight w:val="43"/>
        </w:trPr>
        <w:tc>
          <w:tcPr>
            <w:tcW w:w="7160" w:type="dxa"/>
            <w:vAlign w:val="bottom"/>
            <w:tcBorders>
              <w:bottom w:val="single" w:sz="8" w:color="E56D3D"/>
            </w:tcBorders>
          </w:tcPr>
          <w:p>
            <w:pPr>
              <w:spacing w:after="0"/>
              <w:rPr>
                <w:sz w:val="3"/>
                <w:szCs w:val="3"/>
                <w:color w:val="auto"/>
              </w:rPr>
            </w:pPr>
          </w:p>
        </w:tc>
        <w:tc>
          <w:tcPr>
            <w:tcW w:w="3860" w:type="dxa"/>
            <w:vAlign w:val="bottom"/>
            <w:tcBorders>
              <w:bottom w:val="single" w:sz="8" w:color="E56D3D"/>
            </w:tcBorders>
          </w:tcPr>
          <w:p>
            <w:pPr>
              <w:spacing w:after="0"/>
              <w:rPr>
                <w:sz w:val="3"/>
                <w:szCs w:val="3"/>
                <w:color w:val="auto"/>
              </w:rPr>
            </w:pPr>
          </w:p>
        </w:tc>
      </w:tr>
      <w:tr>
        <w:trPr>
          <w:trHeight w:val="228"/>
        </w:trPr>
        <w:tc>
          <w:tcPr>
            <w:tcW w:w="7160" w:type="dxa"/>
            <w:vAlign w:val="bottom"/>
          </w:tcPr>
          <w:p>
            <w:pPr>
              <w:ind w:left="60"/>
              <w:spacing w:after="0"/>
              <w:rPr>
                <w:sz w:val="20"/>
                <w:szCs w:val="20"/>
                <w:color w:val="auto"/>
              </w:rPr>
            </w:pPr>
            <w:r>
              <w:rPr>
                <w:rFonts w:ascii="Arial" w:cs="Arial" w:eastAsia="Arial" w:hAnsi="Arial"/>
                <w:sz w:val="14"/>
                <w:szCs w:val="14"/>
                <w:color w:val="auto"/>
              </w:rPr>
              <w:t>Independent director holding full-time executive position with another company</w:t>
            </w:r>
          </w:p>
        </w:tc>
        <w:tc>
          <w:tcPr>
            <w:tcW w:w="3860" w:type="dxa"/>
            <w:vAlign w:val="bottom"/>
          </w:tcPr>
          <w:p>
            <w:pPr>
              <w:ind w:left="3620"/>
              <w:spacing w:after="0"/>
              <w:rPr>
                <w:sz w:val="20"/>
                <w:szCs w:val="20"/>
                <w:color w:val="auto"/>
              </w:rPr>
            </w:pPr>
            <w:r>
              <w:rPr>
                <w:rFonts w:ascii="Arial" w:cs="Arial" w:eastAsia="Arial" w:hAnsi="Arial"/>
                <w:sz w:val="14"/>
                <w:szCs w:val="14"/>
                <w:color w:val="auto"/>
                <w:w w:val="95"/>
              </w:rPr>
              <w:t>2     </w:t>
            </w:r>
          </w:p>
        </w:tc>
      </w:tr>
      <w:tr>
        <w:trPr>
          <w:trHeight w:val="48"/>
        </w:trPr>
        <w:tc>
          <w:tcPr>
            <w:tcW w:w="7160" w:type="dxa"/>
            <w:vAlign w:val="bottom"/>
            <w:tcBorders>
              <w:bottom w:val="single" w:sz="8" w:color="B2B2B2"/>
            </w:tcBorders>
          </w:tcPr>
          <w:p>
            <w:pPr>
              <w:spacing w:after="0"/>
              <w:rPr>
                <w:sz w:val="4"/>
                <w:szCs w:val="4"/>
                <w:color w:val="auto"/>
              </w:rPr>
            </w:pPr>
          </w:p>
        </w:tc>
        <w:tc>
          <w:tcPr>
            <w:tcW w:w="3860" w:type="dxa"/>
            <w:vAlign w:val="bottom"/>
            <w:tcBorders>
              <w:bottom w:val="single" w:sz="8" w:color="B2B2B2"/>
            </w:tcBorders>
          </w:tcPr>
          <w:p>
            <w:pPr>
              <w:spacing w:after="0"/>
              <w:rPr>
                <w:sz w:val="4"/>
                <w:szCs w:val="4"/>
                <w:color w:val="auto"/>
              </w:rPr>
            </w:pPr>
          </w:p>
        </w:tc>
      </w:tr>
      <w:tr>
        <w:trPr>
          <w:trHeight w:val="228"/>
        </w:trPr>
        <w:tc>
          <w:tcPr>
            <w:tcW w:w="7160" w:type="dxa"/>
            <w:vAlign w:val="bottom"/>
          </w:tcPr>
          <w:p>
            <w:pPr>
              <w:ind w:left="60"/>
              <w:spacing w:after="0"/>
              <w:rPr>
                <w:sz w:val="20"/>
                <w:szCs w:val="20"/>
                <w:color w:val="auto"/>
              </w:rPr>
            </w:pPr>
            <w:r>
              <w:rPr>
                <w:rFonts w:ascii="Arial" w:cs="Arial" w:eastAsia="Arial" w:hAnsi="Arial"/>
                <w:sz w:val="14"/>
                <w:szCs w:val="14"/>
                <w:color w:val="auto"/>
              </w:rPr>
              <w:t>Independent director who is not a full-time executive</w:t>
            </w:r>
          </w:p>
        </w:tc>
        <w:tc>
          <w:tcPr>
            <w:tcW w:w="3860" w:type="dxa"/>
            <w:vAlign w:val="bottom"/>
          </w:tcPr>
          <w:p>
            <w:pPr>
              <w:ind w:left="3620"/>
              <w:spacing w:after="0"/>
              <w:rPr>
                <w:sz w:val="20"/>
                <w:szCs w:val="20"/>
                <w:color w:val="auto"/>
              </w:rPr>
            </w:pPr>
            <w:r>
              <w:rPr>
                <w:rFonts w:ascii="Arial" w:cs="Arial" w:eastAsia="Arial" w:hAnsi="Arial"/>
                <w:sz w:val="14"/>
                <w:szCs w:val="14"/>
                <w:color w:val="auto"/>
                <w:w w:val="95"/>
              </w:rPr>
              <w:t>4     </w:t>
            </w:r>
          </w:p>
        </w:tc>
      </w:tr>
      <w:tr>
        <w:trPr>
          <w:trHeight w:val="48"/>
        </w:trPr>
        <w:tc>
          <w:tcPr>
            <w:tcW w:w="7160" w:type="dxa"/>
            <w:vAlign w:val="bottom"/>
            <w:tcBorders>
              <w:bottom w:val="single" w:sz="8" w:color="B2B2B2"/>
            </w:tcBorders>
          </w:tcPr>
          <w:p>
            <w:pPr>
              <w:spacing w:after="0"/>
              <w:rPr>
                <w:sz w:val="4"/>
                <w:szCs w:val="4"/>
                <w:color w:val="auto"/>
              </w:rPr>
            </w:pPr>
          </w:p>
        </w:tc>
        <w:tc>
          <w:tcPr>
            <w:tcW w:w="3860" w:type="dxa"/>
            <w:vAlign w:val="bottom"/>
            <w:tcBorders>
              <w:bottom w:val="single" w:sz="8" w:color="B2B2B2"/>
            </w:tcBorders>
          </w:tcPr>
          <w:p>
            <w:pPr>
              <w:spacing w:after="0"/>
              <w:rPr>
                <w:sz w:val="4"/>
                <w:szCs w:val="4"/>
                <w:color w:val="auto"/>
              </w:rPr>
            </w:pPr>
          </w:p>
        </w:tc>
      </w:tr>
      <w:tr>
        <w:trPr>
          <w:trHeight w:val="228"/>
        </w:trPr>
        <w:tc>
          <w:tcPr>
            <w:tcW w:w="7160" w:type="dxa"/>
            <w:vAlign w:val="bottom"/>
          </w:tcPr>
          <w:p>
            <w:pPr>
              <w:ind w:left="60"/>
              <w:spacing w:after="0"/>
              <w:rPr>
                <w:sz w:val="20"/>
                <w:szCs w:val="20"/>
                <w:color w:val="auto"/>
              </w:rPr>
            </w:pPr>
            <w:r>
              <w:rPr>
                <w:rFonts w:ascii="Arial" w:cs="Arial" w:eastAsia="Arial" w:hAnsi="Arial"/>
                <w:sz w:val="14"/>
                <w:szCs w:val="14"/>
                <w:color w:val="auto"/>
              </w:rPr>
              <w:t>Regency officer</w:t>
            </w:r>
          </w:p>
        </w:tc>
        <w:tc>
          <w:tcPr>
            <w:tcW w:w="3860" w:type="dxa"/>
            <w:vAlign w:val="bottom"/>
          </w:tcPr>
          <w:p>
            <w:pPr>
              <w:ind w:left="3620"/>
              <w:spacing w:after="0"/>
              <w:rPr>
                <w:sz w:val="20"/>
                <w:szCs w:val="20"/>
                <w:color w:val="auto"/>
              </w:rPr>
            </w:pPr>
            <w:r>
              <w:rPr>
                <w:rFonts w:ascii="Arial" w:cs="Arial" w:eastAsia="Arial" w:hAnsi="Arial"/>
                <w:sz w:val="14"/>
                <w:szCs w:val="14"/>
                <w:color w:val="auto"/>
              </w:rPr>
              <w:t>2**</w:t>
            </w:r>
          </w:p>
        </w:tc>
      </w:tr>
      <w:tr>
        <w:trPr>
          <w:trHeight w:val="49"/>
        </w:trPr>
        <w:tc>
          <w:tcPr>
            <w:tcW w:w="7160" w:type="dxa"/>
            <w:vAlign w:val="bottom"/>
            <w:tcBorders>
              <w:bottom w:val="single" w:sz="8" w:color="E56D3D"/>
            </w:tcBorders>
          </w:tcPr>
          <w:p>
            <w:pPr>
              <w:spacing w:after="0"/>
              <w:rPr>
                <w:sz w:val="4"/>
                <w:szCs w:val="4"/>
                <w:color w:val="auto"/>
              </w:rPr>
            </w:pPr>
          </w:p>
        </w:tc>
        <w:tc>
          <w:tcPr>
            <w:tcW w:w="3860" w:type="dxa"/>
            <w:vAlign w:val="bottom"/>
            <w:tcBorders>
              <w:bottom w:val="single" w:sz="8" w:color="E56D3D"/>
            </w:tcBorders>
          </w:tcPr>
          <w:p>
            <w:pPr>
              <w:spacing w:after="0"/>
              <w:rPr>
                <w:sz w:val="4"/>
                <w:szCs w:val="4"/>
                <w:color w:val="auto"/>
              </w:rPr>
            </w:pPr>
          </w:p>
        </w:tc>
      </w:tr>
    </w:tbl>
    <w:p>
      <w:pPr>
        <w:spacing w:after="0" w:line="9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Maximum number includes service on Regency’s Board.</w:t>
      </w:r>
    </w:p>
    <w:p>
      <w:pPr>
        <w:spacing w:after="0" w:line="15" w:lineRule="exact"/>
        <w:rPr>
          <w:sz w:val="20"/>
          <w:szCs w:val="20"/>
          <w:color w:val="auto"/>
        </w:rPr>
      </w:pPr>
    </w:p>
    <w:p>
      <w:pPr>
        <w:ind w:left="120" w:right="80" w:hanging="4"/>
        <w:spacing w:after="0" w:line="264" w:lineRule="auto"/>
        <w:tabs>
          <w:tab w:leader="none" w:pos="272" w:val="left"/>
        </w:tabs>
        <w:numPr>
          <w:ilvl w:val="0"/>
          <w:numId w:val="48"/>
        </w:numPr>
        <w:rPr>
          <w:rFonts w:ascii="Arial" w:cs="Arial" w:eastAsia="Arial" w:hAnsi="Arial"/>
          <w:sz w:val="14"/>
          <w:szCs w:val="14"/>
          <w:color w:val="auto"/>
        </w:rPr>
      </w:pPr>
      <w:r>
        <w:rPr>
          <w:rFonts w:ascii="Arial" w:cs="Arial" w:eastAsia="Arial" w:hAnsi="Arial"/>
          <w:sz w:val="14"/>
          <w:szCs w:val="14"/>
          <w:color w:val="auto"/>
        </w:rPr>
        <w:t>Notwithstanding anything to the contrary in our CGGs, no Regency officer may serve on more than one outside public company board unless a specific exception is made by the Board.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Board Self-Assessment and Evaluation</w:t>
      </w:r>
    </w:p>
    <w:p>
      <w:pPr>
        <w:spacing w:after="0" w:line="7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Annual self-evaluation and assessment of Board performance helps ensure that our Board and its committees function effectively and in the best interest of our shareholders. This process also promotes good governance and helps set expectations about the relationship and interaction between our Board and management. Periodically, the Board may utilize third parties experienced in public company governance and board operations and effectiveness in the self-evaluation and assessment process, and such a process was last used for the Board’s 2024 self-evaluation and assessment. Our Board’s annual self-evaluation and assessment process, which is overseen by our independent Lead Director and Chair of our Nominating and Governance Committee, is reviewed annually. For 2025, the process was structured and carried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141605</wp:posOffset>
            </wp:positionV>
            <wp:extent cx="5194935" cy="3480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94935"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19</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Corporate Governance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Risk Oversight</w:t>
      </w:r>
    </w:p>
    <w:p>
      <w:pPr>
        <w:spacing w:after="0" w:line="11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Our Board actively oversees material risks that could impact the Company. This oversight is conducted both directly by management and through Board committees. Our Board satisfies its responsibility through receiving reports by each committee chair after each meeting regarding the applicable committee’s considerations and actions, as well as through regular reports directly from officers and management level committees responsible for oversight of particular risks within the Company. Management committees frequently work jointly on issues with overlapping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126365</wp:posOffset>
            </wp:positionV>
            <wp:extent cx="7020560" cy="775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20560" cy="775970"/>
                    </a:xfrm>
                    <a:prstGeom prst="rect">
                      <a:avLst/>
                    </a:prstGeom>
                    <a:noFill/>
                  </pic:spPr>
                </pic:pic>
              </a:graphicData>
            </a:graphic>
          </wp:anchor>
        </w:drawing>
      </w: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FFFFFF"/>
        </w:rPr>
        <w:t>BOARD OF DIRECTORS</w:t>
      </w: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Oversees the Company’s most significant risks and ensures that management</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responds with appropriate strategic and tactical mitigation plans.</w:t>
      </w: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6A6E6F"/>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187960</wp:posOffset>
            </wp:positionV>
            <wp:extent cx="7020560" cy="1452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20560" cy="1452880"/>
                    </a:xfrm>
                    <a:prstGeom prst="rect">
                      <a:avLst/>
                    </a:prstGeom>
                    <a:noFill/>
                  </pic:spPr>
                </pic:pic>
              </a:graphicData>
            </a:graphic>
          </wp:anchor>
        </w:drawing>
      </w:r>
    </w:p>
    <w:p>
      <w:pPr>
        <w:sectPr>
          <w:pgSz w:w="11900" w:h="16838" w:orient="portrait"/>
          <w:cols w:equalWidth="0" w:num="1">
            <w:col w:w="11020"/>
          </w:cols>
          <w:pgMar w:left="320" w:top="482" w:right="5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FFFFFF"/>
        </w:rPr>
        <w:t>AUDIT</w:t>
      </w:r>
    </w:p>
    <w:p>
      <w:pPr>
        <w:spacing w:after="0" w:line="298" w:lineRule="exact"/>
        <w:rPr>
          <w:sz w:val="20"/>
          <w:szCs w:val="20"/>
          <w:color w:val="auto"/>
        </w:rPr>
      </w:pPr>
    </w:p>
    <w:p>
      <w:pPr>
        <w:ind w:left="460" w:hanging="179"/>
        <w:spacing w:after="0" w:line="256" w:lineRule="auto"/>
        <w:tabs>
          <w:tab w:leader="none" w:pos="460" w:val="left"/>
        </w:tabs>
        <w:numPr>
          <w:ilvl w:val="0"/>
          <w:numId w:val="49"/>
        </w:numPr>
        <w:rPr>
          <w:rFonts w:ascii="Wingdings" w:cs="Wingdings" w:eastAsia="Wingdings" w:hAnsi="Wingdings"/>
          <w:sz w:val="14"/>
          <w:szCs w:val="14"/>
          <w:b w:val="1"/>
          <w:bCs w:val="1"/>
          <w:color w:val="auto"/>
        </w:rPr>
      </w:pPr>
      <w:r>
        <w:rPr>
          <w:rFonts w:ascii="Arial" w:cs="Arial" w:eastAsia="Arial" w:hAnsi="Arial"/>
          <w:sz w:val="14"/>
          <w:szCs w:val="14"/>
          <w:color w:val="auto"/>
        </w:rPr>
        <w:t>Has primary responsibility for overseeing financial statements integrity and financial risk for the Company.</w:t>
      </w:r>
    </w:p>
    <w:p>
      <w:pPr>
        <w:spacing w:after="0" w:line="28" w:lineRule="exact"/>
        <w:rPr>
          <w:rFonts w:ascii="Wingdings" w:cs="Wingdings" w:eastAsia="Wingdings" w:hAnsi="Wingdings"/>
          <w:sz w:val="14"/>
          <w:szCs w:val="14"/>
          <w:b w:val="1"/>
          <w:bCs w:val="1"/>
          <w:color w:val="auto"/>
        </w:rPr>
      </w:pPr>
    </w:p>
    <w:p>
      <w:pPr>
        <w:ind w:left="460" w:right="40" w:hanging="179"/>
        <w:spacing w:after="0" w:line="285" w:lineRule="auto"/>
        <w:tabs>
          <w:tab w:leader="none" w:pos="460" w:val="left"/>
        </w:tabs>
        <w:numPr>
          <w:ilvl w:val="0"/>
          <w:numId w:val="49"/>
        </w:numPr>
        <w:rPr>
          <w:rFonts w:ascii="Wingdings" w:cs="Wingdings" w:eastAsia="Wingdings" w:hAnsi="Wingdings"/>
          <w:sz w:val="14"/>
          <w:szCs w:val="14"/>
          <w:b w:val="1"/>
          <w:bCs w:val="1"/>
          <w:color w:val="auto"/>
        </w:rPr>
      </w:pPr>
      <w:r>
        <w:rPr>
          <w:rFonts w:ascii="Arial" w:cs="Arial" w:eastAsia="Arial" w:hAnsi="Arial"/>
          <w:sz w:val="14"/>
          <w:szCs w:val="14"/>
          <w:color w:val="auto"/>
        </w:rPr>
        <w:t>Oversees cybersecurity and AI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left="-43"/>
        <w:spacing w:after="0"/>
        <w:rPr>
          <w:sz w:val="20"/>
          <w:szCs w:val="20"/>
          <w:color w:val="auto"/>
        </w:rPr>
      </w:pPr>
      <w:r>
        <w:rPr>
          <w:rFonts w:ascii="Arial" w:cs="Arial" w:eastAsia="Arial" w:hAnsi="Arial"/>
          <w:sz w:val="14"/>
          <w:szCs w:val="14"/>
          <w:b w:val="1"/>
          <w:bCs w:val="1"/>
          <w:color w:val="FFFFFF"/>
        </w:rPr>
        <w:t>COMPENSATION</w:t>
      </w:r>
    </w:p>
    <w:p>
      <w:pPr>
        <w:spacing w:after="0" w:line="298" w:lineRule="exact"/>
        <w:rPr>
          <w:sz w:val="20"/>
          <w:szCs w:val="20"/>
          <w:color w:val="auto"/>
        </w:rPr>
      </w:pPr>
    </w:p>
    <w:p>
      <w:pPr>
        <w:ind w:left="164" w:hanging="164"/>
        <w:spacing w:after="0" w:line="263" w:lineRule="auto"/>
        <w:tabs>
          <w:tab w:leader="none" w:pos="164" w:val="left"/>
        </w:tabs>
        <w:numPr>
          <w:ilvl w:val="0"/>
          <w:numId w:val="50"/>
        </w:numPr>
        <w:rPr>
          <w:rFonts w:ascii="Wingdings" w:cs="Wingdings" w:eastAsia="Wingdings" w:hAnsi="Wingdings"/>
          <w:sz w:val="14"/>
          <w:szCs w:val="14"/>
          <w:b w:val="1"/>
          <w:bCs w:val="1"/>
          <w:color w:val="auto"/>
        </w:rPr>
      </w:pPr>
      <w:r>
        <w:rPr>
          <w:rFonts w:ascii="Arial" w:cs="Arial" w:eastAsia="Arial" w:hAnsi="Arial"/>
          <w:sz w:val="14"/>
          <w:szCs w:val="14"/>
          <w:color w:val="auto"/>
        </w:rPr>
        <w:t>Oversees risk associated with our executive compensation programs, policies and practices.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NOMINATING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GOVERNANCE</w:t>
      </w:r>
    </w:p>
    <w:p>
      <w:pPr>
        <w:spacing w:after="0" w:line="203" w:lineRule="exact"/>
        <w:rPr>
          <w:sz w:val="20"/>
          <w:szCs w:val="20"/>
          <w:color w:val="auto"/>
        </w:rPr>
      </w:pPr>
    </w:p>
    <w:p>
      <w:pPr>
        <w:ind w:left="180" w:right="80" w:hanging="180"/>
        <w:spacing w:after="0" w:line="285" w:lineRule="auto"/>
        <w:tabs>
          <w:tab w:leader="none" w:pos="180" w:val="left"/>
        </w:tabs>
        <w:numPr>
          <w:ilvl w:val="0"/>
          <w:numId w:val="51"/>
        </w:numPr>
        <w:rPr>
          <w:rFonts w:ascii="Wingdings" w:cs="Wingdings" w:eastAsia="Wingdings" w:hAnsi="Wingdings"/>
          <w:sz w:val="14"/>
          <w:szCs w:val="14"/>
          <w:b w:val="1"/>
          <w:bCs w:val="1"/>
          <w:color w:val="auto"/>
        </w:rPr>
      </w:pPr>
      <w:r>
        <w:rPr>
          <w:rFonts w:ascii="Arial" w:cs="Arial" w:eastAsia="Arial" w:hAnsi="Arial"/>
          <w:sz w:val="14"/>
          <w:szCs w:val="14"/>
          <w:color w:val="auto"/>
        </w:rPr>
        <w:t>Oversees corporate governance risk.</w:t>
      </w:r>
    </w:p>
    <w:p>
      <w:pPr>
        <w:spacing w:after="0" w:line="9" w:lineRule="exact"/>
        <w:rPr>
          <w:rFonts w:ascii="Wingdings" w:cs="Wingdings" w:eastAsia="Wingdings" w:hAnsi="Wingdings"/>
          <w:sz w:val="14"/>
          <w:szCs w:val="14"/>
          <w:b w:val="1"/>
          <w:bCs w:val="1"/>
          <w:color w:val="auto"/>
        </w:rPr>
      </w:pPr>
    </w:p>
    <w:p>
      <w:pPr>
        <w:ind w:left="180" w:right="40" w:hanging="180"/>
        <w:spacing w:after="0" w:line="285" w:lineRule="auto"/>
        <w:tabs>
          <w:tab w:leader="none" w:pos="180" w:val="left"/>
        </w:tabs>
        <w:numPr>
          <w:ilvl w:val="0"/>
          <w:numId w:val="51"/>
        </w:numPr>
        <w:rPr>
          <w:rFonts w:ascii="Wingdings" w:cs="Wingdings" w:eastAsia="Wingdings" w:hAnsi="Wingdings"/>
          <w:sz w:val="14"/>
          <w:szCs w:val="14"/>
          <w:b w:val="1"/>
          <w:bCs w:val="1"/>
          <w:color w:val="auto"/>
        </w:rPr>
      </w:pPr>
      <w:r>
        <w:rPr>
          <w:rFonts w:ascii="Arial" w:cs="Arial" w:eastAsia="Arial" w:hAnsi="Arial"/>
          <w:sz w:val="14"/>
          <w:szCs w:val="14"/>
          <w:color w:val="auto"/>
        </w:rPr>
        <w:t>Oversees ethics and compliance program.</w:t>
      </w:r>
    </w:p>
    <w:p>
      <w:pPr>
        <w:spacing w:after="0" w:line="9" w:lineRule="exact"/>
        <w:rPr>
          <w:rFonts w:ascii="Wingdings" w:cs="Wingdings" w:eastAsia="Wingdings" w:hAnsi="Wingdings"/>
          <w:sz w:val="14"/>
          <w:szCs w:val="14"/>
          <w:b w:val="1"/>
          <w:bCs w:val="1"/>
          <w:color w:val="auto"/>
        </w:rPr>
      </w:pPr>
    </w:p>
    <w:p>
      <w:pPr>
        <w:ind w:left="180" w:hanging="180"/>
        <w:spacing w:after="0" w:line="285" w:lineRule="auto"/>
        <w:tabs>
          <w:tab w:leader="none" w:pos="180" w:val="left"/>
        </w:tabs>
        <w:numPr>
          <w:ilvl w:val="0"/>
          <w:numId w:val="51"/>
        </w:numPr>
        <w:rPr>
          <w:rFonts w:ascii="Wingdings" w:cs="Wingdings" w:eastAsia="Wingdings" w:hAnsi="Wingdings"/>
          <w:sz w:val="14"/>
          <w:szCs w:val="14"/>
          <w:b w:val="1"/>
          <w:bCs w:val="1"/>
          <w:color w:val="auto"/>
        </w:rPr>
      </w:pPr>
      <w:r>
        <w:rPr>
          <w:rFonts w:ascii="Arial" w:cs="Arial" w:eastAsia="Arial" w:hAnsi="Arial"/>
          <w:sz w:val="14"/>
          <w:szCs w:val="14"/>
          <w:color w:val="auto"/>
        </w:rPr>
        <w:t>Oversees corporate responsibility program and ESG initiatives.</w:t>
      </w:r>
    </w:p>
    <w:p>
      <w:pPr>
        <w:spacing w:after="0" w:line="9" w:lineRule="exact"/>
        <w:rPr>
          <w:rFonts w:ascii="Wingdings" w:cs="Wingdings" w:eastAsia="Wingdings" w:hAnsi="Wingdings"/>
          <w:sz w:val="14"/>
          <w:szCs w:val="14"/>
          <w:b w:val="1"/>
          <w:bCs w:val="1"/>
          <w:color w:val="auto"/>
        </w:rPr>
      </w:pPr>
    </w:p>
    <w:p>
      <w:pPr>
        <w:ind w:left="180" w:right="140" w:hanging="180"/>
        <w:spacing w:after="0" w:line="285" w:lineRule="auto"/>
        <w:tabs>
          <w:tab w:leader="none" w:pos="180" w:val="left"/>
        </w:tabs>
        <w:numPr>
          <w:ilvl w:val="0"/>
          <w:numId w:val="51"/>
        </w:numPr>
        <w:rPr>
          <w:rFonts w:ascii="Wingdings" w:cs="Wingdings" w:eastAsia="Wingdings" w:hAnsi="Wingdings"/>
          <w:sz w:val="14"/>
          <w:szCs w:val="14"/>
          <w:b w:val="1"/>
          <w:bCs w:val="1"/>
          <w:color w:val="auto"/>
        </w:rPr>
      </w:pPr>
      <w:r>
        <w:rPr>
          <w:rFonts w:ascii="Arial" w:cs="Arial" w:eastAsia="Arial" w:hAnsi="Arial"/>
          <w:sz w:val="14"/>
          <w:szCs w:val="14"/>
          <w:color w:val="auto"/>
        </w:rPr>
        <w:t>Oversees political contributions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left="696"/>
        <w:spacing w:after="0"/>
        <w:rPr>
          <w:sz w:val="20"/>
          <w:szCs w:val="20"/>
          <w:color w:val="auto"/>
        </w:rPr>
      </w:pPr>
      <w:r>
        <w:rPr>
          <w:rFonts w:ascii="Arial" w:cs="Arial" w:eastAsia="Arial" w:hAnsi="Arial"/>
          <w:sz w:val="14"/>
          <w:szCs w:val="14"/>
          <w:b w:val="1"/>
          <w:bCs w:val="1"/>
          <w:color w:val="FFFFFF"/>
        </w:rPr>
        <w:t>INVESTMENT</w:t>
      </w:r>
    </w:p>
    <w:p>
      <w:pPr>
        <w:spacing w:after="0" w:line="298" w:lineRule="exact"/>
        <w:rPr>
          <w:sz w:val="20"/>
          <w:szCs w:val="20"/>
          <w:color w:val="auto"/>
        </w:rPr>
      </w:pPr>
    </w:p>
    <w:p>
      <w:pPr>
        <w:ind w:left="176" w:right="100" w:hanging="176"/>
        <w:spacing w:after="0" w:line="285" w:lineRule="auto"/>
        <w:tabs>
          <w:tab w:leader="none" w:pos="176" w:val="left"/>
        </w:tabs>
        <w:numPr>
          <w:ilvl w:val="0"/>
          <w:numId w:val="52"/>
        </w:numPr>
        <w:rPr>
          <w:rFonts w:ascii="Wingdings" w:cs="Wingdings" w:eastAsia="Wingdings" w:hAnsi="Wingdings"/>
          <w:sz w:val="14"/>
          <w:szCs w:val="14"/>
          <w:b w:val="1"/>
          <w:bCs w:val="1"/>
          <w:color w:val="auto"/>
        </w:rPr>
      </w:pPr>
      <w:r>
        <w:rPr>
          <w:rFonts w:ascii="Arial" w:cs="Arial" w:eastAsia="Arial" w:hAnsi="Arial"/>
          <w:sz w:val="14"/>
          <w:szCs w:val="14"/>
          <w:color w:val="auto"/>
        </w:rPr>
        <w:t>Oversees risks associated with capital allocation.</w:t>
      </w:r>
    </w:p>
    <w:p>
      <w:pPr>
        <w:spacing w:after="0" w:line="9" w:lineRule="exact"/>
        <w:rPr>
          <w:rFonts w:ascii="Wingdings" w:cs="Wingdings" w:eastAsia="Wingdings" w:hAnsi="Wingdings"/>
          <w:sz w:val="14"/>
          <w:szCs w:val="14"/>
          <w:b w:val="1"/>
          <w:bCs w:val="1"/>
          <w:color w:val="auto"/>
        </w:rPr>
      </w:pPr>
    </w:p>
    <w:p>
      <w:pPr>
        <w:ind w:left="176" w:right="100" w:hanging="176"/>
        <w:spacing w:after="0" w:line="256" w:lineRule="auto"/>
        <w:tabs>
          <w:tab w:leader="none" w:pos="176" w:val="left"/>
        </w:tabs>
        <w:numPr>
          <w:ilvl w:val="0"/>
          <w:numId w:val="52"/>
        </w:numPr>
        <w:rPr>
          <w:rFonts w:ascii="Wingdings" w:cs="Wingdings" w:eastAsia="Wingdings" w:hAnsi="Wingdings"/>
          <w:sz w:val="14"/>
          <w:szCs w:val="14"/>
          <w:b w:val="1"/>
          <w:bCs w:val="1"/>
          <w:color w:val="auto"/>
        </w:rPr>
      </w:pPr>
      <w:r>
        <w:rPr>
          <w:rFonts w:ascii="Arial" w:cs="Arial" w:eastAsia="Arial" w:hAnsi="Arial"/>
          <w:sz w:val="14"/>
          <w:szCs w:val="14"/>
          <w:color w:val="auto"/>
        </w:rPr>
        <w:t>Oversees risks associated with real estate investments, developments and redevelopments.</w:t>
      </w:r>
    </w:p>
    <w:p>
      <w:pPr>
        <w:spacing w:after="0" w:line="637" w:lineRule="exact"/>
        <w:rPr>
          <w:sz w:val="20"/>
          <w:szCs w:val="20"/>
          <w:color w:val="auto"/>
        </w:rPr>
      </w:pPr>
    </w:p>
    <w:p>
      <w:pPr>
        <w:sectPr>
          <w:pgSz w:w="11900" w:h="16838" w:orient="portrait"/>
          <w:cols w:equalWidth="0" w:num="4">
            <w:col w:w="2460" w:space="576"/>
            <w:col w:w="2284" w:space="580"/>
            <w:col w:w="2300" w:space="564"/>
            <w:col w:w="2256"/>
          </w:cols>
          <w:pgMar w:left="320" w:top="482" w:right="559" w:bottom="1440" w:gutter="0" w:footer="0" w:header="0"/>
          <w:type w:val="continuous"/>
        </w:sectPr>
      </w:pP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6A6E6F"/>
        </w:rPr>
        <w:t>Management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153670</wp:posOffset>
            </wp:positionV>
            <wp:extent cx="7020560" cy="12382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20560" cy="1238250"/>
                    </a:xfrm>
                    <a:prstGeom prst="rect">
                      <a:avLst/>
                    </a:prstGeom>
                    <a:noFill/>
                  </pic:spPr>
                </pic:pic>
              </a:graphicData>
            </a:graphic>
          </wp:anchor>
        </w:drawing>
      </w:r>
    </w:p>
    <w:p>
      <w:pPr>
        <w:spacing w:after="0" w:line="375"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FFFFFF"/>
        </w:rPr>
        <w:t>EXECUTIVE</w:t>
      </w:r>
    </w:p>
    <w:p>
      <w:pPr>
        <w:spacing w:after="0" w:line="225" w:lineRule="exact"/>
        <w:rPr>
          <w:sz w:val="20"/>
          <w:szCs w:val="20"/>
          <w:color w:val="auto"/>
        </w:rPr>
      </w:pPr>
    </w:p>
    <w:p>
      <w:pPr>
        <w:ind w:left="440" w:right="360" w:hanging="162"/>
        <w:spacing w:after="0" w:line="285" w:lineRule="auto"/>
        <w:tabs>
          <w:tab w:leader="none" w:pos="440" w:val="left"/>
        </w:tabs>
        <w:numPr>
          <w:ilvl w:val="0"/>
          <w:numId w:val="53"/>
        </w:numPr>
        <w:rPr>
          <w:rFonts w:ascii="Wingdings" w:cs="Wingdings" w:eastAsia="Wingdings" w:hAnsi="Wingdings"/>
          <w:sz w:val="14"/>
          <w:szCs w:val="14"/>
          <w:b w:val="1"/>
          <w:bCs w:val="1"/>
          <w:color w:val="auto"/>
        </w:rPr>
      </w:pPr>
      <w:r>
        <w:rPr>
          <w:rFonts w:ascii="Arial" w:cs="Arial" w:eastAsia="Arial" w:hAnsi="Arial"/>
          <w:sz w:val="14"/>
          <w:szCs w:val="14"/>
          <w:color w:val="auto"/>
        </w:rPr>
        <w:t>Currently consists of our President and Chief Executive Officer; Executive Vice President and Chief Financial Officer; East Region President and Chief Operating Officer; and West Region President and Chief Investment Officer.</w:t>
      </w:r>
    </w:p>
    <w:p>
      <w:pPr>
        <w:spacing w:after="0" w:line="9" w:lineRule="exact"/>
        <w:rPr>
          <w:rFonts w:ascii="Wingdings" w:cs="Wingdings" w:eastAsia="Wingdings" w:hAnsi="Wingdings"/>
          <w:sz w:val="14"/>
          <w:szCs w:val="14"/>
          <w:b w:val="1"/>
          <w:bCs w:val="1"/>
          <w:color w:val="auto"/>
        </w:rPr>
      </w:pPr>
    </w:p>
    <w:p>
      <w:pPr>
        <w:ind w:left="440" w:hanging="162"/>
        <w:spacing w:after="0"/>
        <w:tabs>
          <w:tab w:leader="none" w:pos="440" w:val="left"/>
        </w:tabs>
        <w:numPr>
          <w:ilvl w:val="0"/>
          <w:numId w:val="53"/>
        </w:numPr>
        <w:rPr>
          <w:rFonts w:ascii="Wingdings" w:cs="Wingdings" w:eastAsia="Wingdings" w:hAnsi="Wingdings"/>
          <w:sz w:val="14"/>
          <w:szCs w:val="14"/>
          <w:b w:val="1"/>
          <w:bCs w:val="1"/>
          <w:color w:val="auto"/>
        </w:rPr>
      </w:pPr>
      <w:r>
        <w:rPr>
          <w:rFonts w:ascii="Arial" w:cs="Arial" w:eastAsia="Arial" w:hAnsi="Arial"/>
          <w:sz w:val="14"/>
          <w:szCs w:val="14"/>
          <w:color w:val="auto"/>
        </w:rPr>
        <w:t>Receives frequent reporting from each of the management committees listed below, which evaluates and works to mitigate specific areas of risk.</w:t>
      </w:r>
    </w:p>
    <w:p>
      <w:pPr>
        <w:spacing w:after="0" w:line="68" w:lineRule="exact"/>
        <w:rPr>
          <w:rFonts w:ascii="Wingdings" w:cs="Wingdings" w:eastAsia="Wingdings" w:hAnsi="Wingdings"/>
          <w:sz w:val="14"/>
          <w:szCs w:val="14"/>
          <w:b w:val="1"/>
          <w:bCs w:val="1"/>
          <w:color w:val="auto"/>
        </w:rPr>
      </w:pPr>
    </w:p>
    <w:p>
      <w:pPr>
        <w:ind w:left="440" w:hanging="162"/>
        <w:spacing w:after="0" w:line="271" w:lineRule="auto"/>
        <w:tabs>
          <w:tab w:leader="none" w:pos="440" w:val="left"/>
        </w:tabs>
        <w:numPr>
          <w:ilvl w:val="0"/>
          <w:numId w:val="53"/>
        </w:numPr>
        <w:rPr>
          <w:rFonts w:ascii="Wingdings" w:cs="Wingdings" w:eastAsia="Wingdings" w:hAnsi="Wingdings"/>
          <w:sz w:val="14"/>
          <w:szCs w:val="14"/>
          <w:b w:val="1"/>
          <w:bCs w:val="1"/>
          <w:color w:val="auto"/>
        </w:rPr>
      </w:pPr>
      <w:r>
        <w:rPr>
          <w:rFonts w:ascii="Arial" w:cs="Arial" w:eastAsia="Arial" w:hAnsi="Arial"/>
          <w:sz w:val="14"/>
          <w:szCs w:val="14"/>
          <w:color w:val="auto"/>
        </w:rPr>
        <w:t>Provides quarterly updates to the full Board and/or appropriate Board committee, either directly or through the below committees, concerning the strategic, operational and emerging risks to the Company’s ability to achieve its goals, objectives and initiatives, along with updates regarding the mitigation activities underway to address the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422275</wp:posOffset>
            </wp:positionV>
            <wp:extent cx="7020560" cy="492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20560" cy="492760"/>
                    </a:xfrm>
                    <a:prstGeom prst="rect">
                      <a:avLst/>
                    </a:prstGeom>
                    <a:noFill/>
                  </pic:spPr>
                </pic:pic>
              </a:graphicData>
            </a:graphic>
          </wp:anchor>
        </w:drawing>
      </w:r>
    </w:p>
    <w:p>
      <w:pPr>
        <w:sectPr>
          <w:pgSz w:w="11900" w:h="16838" w:orient="portrait"/>
          <w:cols w:equalWidth="0" w:num="1">
            <w:col w:w="11020"/>
          </w:cols>
          <w:pgMar w:left="320" w:top="482"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FFFFFF"/>
        </w:rPr>
        <w:t>REAL ESTATE</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Oversees real estate portfolio and investment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345440</wp:posOffset>
            </wp:positionV>
            <wp:extent cx="2682875" cy="436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82875" cy="43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FFFFFF"/>
        </w:rPr>
        <w:t>MANAGEMENT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Oversees corporate enterprise and operational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345440</wp:posOffset>
            </wp:positionV>
            <wp:extent cx="4148455" cy="13239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48455" cy="13239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120"/>
          </w:cols>
          <w:pgMar w:left="320" w:top="482" w:right="559" w:bottom="1440" w:gutter="0" w:footer="0" w:header="0"/>
          <w:type w:val="continuous"/>
        </w:sectPr>
      </w:pPr>
    </w:p>
    <w:p>
      <w:pPr>
        <w:spacing w:after="0" w:line="364" w:lineRule="exact"/>
        <w:rPr>
          <w:sz w:val="20"/>
          <w:szCs w:val="20"/>
          <w:color w:val="auto"/>
        </w:rPr>
      </w:pPr>
    </w:p>
    <w:tbl>
      <w:tblPr>
        <w:tblLayout w:type="fixed"/>
        <w:tblInd w:w="130" w:type="dxa"/>
        <w:tblCellMar>
          <w:top w:w="0" w:type="dxa"/>
          <w:left w:w="0" w:type="dxa"/>
          <w:bottom w:w="0" w:type="dxa"/>
          <w:right w:w="0" w:type="dxa"/>
        </w:tblCellMar>
      </w:tblPr>
      <w:tr>
        <w:trPr>
          <w:trHeight w:val="79"/>
        </w:trPr>
        <w:tc>
          <w:tcPr>
            <w:tcW w:w="80" w:type="dxa"/>
            <w:vAlign w:val="bottom"/>
            <w:tcBorders>
              <w:left w:val="single" w:sz="8" w:color="6A6E6F"/>
            </w:tcBorders>
            <w:shd w:val="clear" w:color="auto" w:fill="6A6E6F"/>
          </w:tcPr>
          <w:p>
            <w:pPr>
              <w:spacing w:after="0"/>
              <w:rPr>
                <w:sz w:val="6"/>
                <w:szCs w:val="6"/>
                <w:color w:val="auto"/>
              </w:rPr>
            </w:pPr>
          </w:p>
        </w:tc>
        <w:tc>
          <w:tcPr>
            <w:tcW w:w="1780" w:type="dxa"/>
            <w:vAlign w:val="bottom"/>
            <w:tcBorders>
              <w:right w:val="single" w:sz="8" w:color="6A6E6F"/>
            </w:tcBorders>
            <w:shd w:val="clear" w:color="auto" w:fill="6A6E6F"/>
          </w:tcPr>
          <w:p>
            <w:pPr>
              <w:spacing w:after="0"/>
              <w:rPr>
                <w:sz w:val="6"/>
                <w:szCs w:val="6"/>
                <w:color w:val="auto"/>
              </w:rPr>
            </w:pPr>
          </w:p>
        </w:tc>
        <w:tc>
          <w:tcPr>
            <w:tcW w:w="420" w:type="dxa"/>
            <w:vAlign w:val="bottom"/>
            <w:tcBorders>
              <w:right w:val="single" w:sz="8" w:color="6A6E6F"/>
            </w:tcBorders>
          </w:tcPr>
          <w:p>
            <w:pPr>
              <w:spacing w:after="0"/>
              <w:rPr>
                <w:sz w:val="6"/>
                <w:szCs w:val="6"/>
                <w:color w:val="auto"/>
              </w:rPr>
            </w:pPr>
          </w:p>
        </w:tc>
        <w:tc>
          <w:tcPr>
            <w:tcW w:w="1900" w:type="dxa"/>
            <w:vAlign w:val="bottom"/>
            <w:tcBorders>
              <w:right w:val="single" w:sz="8" w:color="6A6E6F"/>
            </w:tcBorders>
            <w:shd w:val="clear" w:color="auto" w:fill="6A6E6F"/>
          </w:tcPr>
          <w:p>
            <w:pPr>
              <w:spacing w:after="0"/>
              <w:rPr>
                <w:sz w:val="6"/>
                <w:szCs w:val="6"/>
                <w:color w:val="auto"/>
              </w:rPr>
            </w:pPr>
          </w:p>
        </w:tc>
      </w:tr>
      <w:tr>
        <w:trPr>
          <w:trHeight w:val="250"/>
        </w:trPr>
        <w:tc>
          <w:tcPr>
            <w:tcW w:w="80" w:type="dxa"/>
            <w:vAlign w:val="bottom"/>
            <w:tcBorders>
              <w:left w:val="single" w:sz="8" w:color="6A6E6F"/>
            </w:tcBorders>
            <w:shd w:val="clear" w:color="auto" w:fill="6A6E6F"/>
          </w:tcPr>
          <w:p>
            <w:pPr>
              <w:spacing w:after="0"/>
              <w:rPr>
                <w:sz w:val="21"/>
                <w:szCs w:val="21"/>
                <w:color w:val="auto"/>
              </w:rPr>
            </w:pPr>
          </w:p>
        </w:tc>
        <w:tc>
          <w:tcPr>
            <w:tcW w:w="1780" w:type="dxa"/>
            <w:vAlign w:val="bottom"/>
            <w:tcBorders>
              <w:right w:val="single" w:sz="8" w:color="6A6E6F"/>
            </w:tcBorders>
          </w:tcPr>
          <w:p>
            <w:pPr>
              <w:ind w:left="540"/>
              <w:spacing w:after="0"/>
              <w:rPr>
                <w:sz w:val="20"/>
                <w:szCs w:val="20"/>
                <w:color w:val="auto"/>
              </w:rPr>
            </w:pPr>
            <w:r>
              <w:rPr>
                <w:rFonts w:ascii="Arial" w:cs="Arial" w:eastAsia="Arial" w:hAnsi="Arial"/>
                <w:sz w:val="14"/>
                <w:szCs w:val="14"/>
                <w:b w:val="1"/>
                <w:bCs w:val="1"/>
                <w:color w:val="FFFFFF"/>
              </w:rPr>
              <w:t>BUSINESS</w:t>
            </w:r>
          </w:p>
        </w:tc>
        <w:tc>
          <w:tcPr>
            <w:tcW w:w="420" w:type="dxa"/>
            <w:vAlign w:val="bottom"/>
            <w:tcBorders>
              <w:right w:val="single" w:sz="8" w:color="6A6E6F"/>
            </w:tcBorders>
          </w:tcPr>
          <w:p>
            <w:pPr>
              <w:spacing w:after="0"/>
              <w:rPr>
                <w:sz w:val="21"/>
                <w:szCs w:val="21"/>
                <w:color w:val="auto"/>
              </w:rPr>
            </w:pPr>
          </w:p>
        </w:tc>
        <w:tc>
          <w:tcPr>
            <w:tcW w:w="1900" w:type="dxa"/>
            <w:vAlign w:val="bottom"/>
            <w:tcBorders>
              <w:right w:val="single" w:sz="8" w:color="6A6E6F"/>
            </w:tcBorders>
          </w:tcPr>
          <w:p>
            <w:pPr>
              <w:ind w:left="520"/>
              <w:spacing w:after="0"/>
              <w:rPr>
                <w:sz w:val="20"/>
                <w:szCs w:val="20"/>
                <w:color w:val="auto"/>
              </w:rPr>
            </w:pPr>
            <w:r>
              <w:rPr>
                <w:rFonts w:ascii="Arial" w:cs="Arial" w:eastAsia="Arial" w:hAnsi="Arial"/>
                <w:sz w:val="14"/>
                <w:szCs w:val="14"/>
                <w:b w:val="1"/>
                <w:bCs w:val="1"/>
                <w:color w:val="FFFFFF"/>
              </w:rPr>
              <w:t>CORPORATE</w:t>
            </w:r>
          </w:p>
        </w:tc>
      </w:tr>
      <w:tr>
        <w:trPr>
          <w:trHeight w:val="196"/>
        </w:trPr>
        <w:tc>
          <w:tcPr>
            <w:tcW w:w="80" w:type="dxa"/>
            <w:vAlign w:val="bottom"/>
            <w:tcBorders>
              <w:left w:val="single" w:sz="8" w:color="6A6E6F"/>
            </w:tcBorders>
            <w:shd w:val="clear" w:color="auto" w:fill="6A6E6F"/>
          </w:tcPr>
          <w:p>
            <w:pPr>
              <w:spacing w:after="0"/>
              <w:rPr>
                <w:sz w:val="17"/>
                <w:szCs w:val="17"/>
                <w:color w:val="auto"/>
              </w:rPr>
            </w:pPr>
          </w:p>
        </w:tc>
        <w:tc>
          <w:tcPr>
            <w:tcW w:w="1780" w:type="dxa"/>
            <w:vAlign w:val="bottom"/>
            <w:tcBorders>
              <w:right w:val="single" w:sz="8" w:color="6A6E6F"/>
            </w:tcBorders>
          </w:tcPr>
          <w:p>
            <w:pPr>
              <w:ind w:left="460"/>
              <w:spacing w:after="0"/>
              <w:rPr>
                <w:sz w:val="20"/>
                <w:szCs w:val="20"/>
                <w:color w:val="auto"/>
              </w:rPr>
            </w:pPr>
            <w:r>
              <w:rPr>
                <w:rFonts w:ascii="Arial" w:cs="Arial" w:eastAsia="Arial" w:hAnsi="Arial"/>
                <w:sz w:val="14"/>
                <w:szCs w:val="14"/>
                <w:b w:val="1"/>
                <w:bCs w:val="1"/>
                <w:color w:val="FFFFFF"/>
              </w:rPr>
              <w:t>CONTINUITY</w:t>
            </w:r>
          </w:p>
        </w:tc>
        <w:tc>
          <w:tcPr>
            <w:tcW w:w="420" w:type="dxa"/>
            <w:vAlign w:val="bottom"/>
            <w:tcBorders>
              <w:right w:val="single" w:sz="8" w:color="6A6E6F"/>
            </w:tcBorders>
          </w:tcPr>
          <w:p>
            <w:pPr>
              <w:spacing w:after="0"/>
              <w:rPr>
                <w:sz w:val="17"/>
                <w:szCs w:val="17"/>
                <w:color w:val="auto"/>
              </w:rPr>
            </w:pPr>
          </w:p>
        </w:tc>
        <w:tc>
          <w:tcPr>
            <w:tcW w:w="1900" w:type="dxa"/>
            <w:vAlign w:val="bottom"/>
            <w:tcBorders>
              <w:right w:val="single" w:sz="8" w:color="6A6E6F"/>
            </w:tcBorders>
          </w:tcPr>
          <w:p>
            <w:pPr>
              <w:ind w:left="360"/>
              <w:spacing w:after="0"/>
              <w:rPr>
                <w:sz w:val="20"/>
                <w:szCs w:val="20"/>
                <w:color w:val="auto"/>
              </w:rPr>
            </w:pPr>
            <w:r>
              <w:rPr>
                <w:rFonts w:ascii="Arial" w:cs="Arial" w:eastAsia="Arial" w:hAnsi="Arial"/>
                <w:sz w:val="14"/>
                <w:szCs w:val="14"/>
                <w:b w:val="1"/>
                <w:bCs w:val="1"/>
                <w:color w:val="FFFFFF"/>
              </w:rPr>
              <w:t>RESPONSIBILITY</w:t>
            </w:r>
          </w:p>
        </w:tc>
      </w:tr>
      <w:tr>
        <w:trPr>
          <w:trHeight w:val="123"/>
        </w:trPr>
        <w:tc>
          <w:tcPr>
            <w:tcW w:w="80" w:type="dxa"/>
            <w:vAlign w:val="bottom"/>
            <w:tcBorders>
              <w:left w:val="single" w:sz="8" w:color="6A6E6F"/>
            </w:tcBorders>
            <w:shd w:val="clear" w:color="auto" w:fill="6A6E6F"/>
          </w:tcPr>
          <w:p>
            <w:pPr>
              <w:spacing w:after="0"/>
              <w:rPr>
                <w:sz w:val="10"/>
                <w:szCs w:val="10"/>
                <w:color w:val="auto"/>
              </w:rPr>
            </w:pPr>
          </w:p>
        </w:tc>
        <w:tc>
          <w:tcPr>
            <w:tcW w:w="1780" w:type="dxa"/>
            <w:vAlign w:val="bottom"/>
            <w:tcBorders>
              <w:right w:val="single" w:sz="8" w:color="6A6E6F"/>
            </w:tcBorders>
          </w:tcPr>
          <w:p>
            <w:pPr>
              <w:spacing w:after="0"/>
              <w:rPr>
                <w:sz w:val="10"/>
                <w:szCs w:val="10"/>
                <w:color w:val="auto"/>
              </w:rPr>
            </w:pPr>
          </w:p>
        </w:tc>
        <w:tc>
          <w:tcPr>
            <w:tcW w:w="420" w:type="dxa"/>
            <w:vAlign w:val="bottom"/>
            <w:tcBorders>
              <w:right w:val="single" w:sz="8" w:color="6A6E6F"/>
            </w:tcBorders>
          </w:tcPr>
          <w:p>
            <w:pPr>
              <w:spacing w:after="0"/>
              <w:rPr>
                <w:sz w:val="10"/>
                <w:szCs w:val="10"/>
                <w:color w:val="auto"/>
              </w:rPr>
            </w:pPr>
          </w:p>
        </w:tc>
        <w:tc>
          <w:tcPr>
            <w:tcW w:w="1900" w:type="dxa"/>
            <w:vAlign w:val="bottom"/>
            <w:tcBorders>
              <w:right w:val="single" w:sz="8" w:color="6A6E6F"/>
            </w:tcBorders>
          </w:tcPr>
          <w:p>
            <w:pPr>
              <w:spacing w:after="0"/>
              <w:rPr>
                <w:sz w:val="10"/>
                <w:szCs w:val="10"/>
                <w:color w:val="auto"/>
              </w:rPr>
            </w:pPr>
          </w:p>
        </w:tc>
      </w:tr>
      <w:tr>
        <w:trPr>
          <w:trHeight w:val="193"/>
        </w:trPr>
        <w:tc>
          <w:tcPr>
            <w:tcW w:w="80" w:type="dxa"/>
            <w:vAlign w:val="bottom"/>
            <w:tcBorders>
              <w:left w:val="single" w:sz="8" w:color="6A6E6F"/>
            </w:tcBorders>
          </w:tcPr>
          <w:p>
            <w:pPr>
              <w:spacing w:after="0"/>
              <w:rPr>
                <w:sz w:val="16"/>
                <w:szCs w:val="16"/>
                <w:color w:val="auto"/>
              </w:rPr>
            </w:pPr>
          </w:p>
        </w:tc>
        <w:tc>
          <w:tcPr>
            <w:tcW w:w="178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Develops and executes</w:t>
            </w:r>
          </w:p>
        </w:tc>
        <w:tc>
          <w:tcPr>
            <w:tcW w:w="420" w:type="dxa"/>
            <w:vAlign w:val="bottom"/>
            <w:tcBorders>
              <w:right w:val="single" w:sz="8" w:color="6A6E6F"/>
            </w:tcBorders>
          </w:tcPr>
          <w:p>
            <w:pPr>
              <w:spacing w:after="0"/>
              <w:rPr>
                <w:sz w:val="16"/>
                <w:szCs w:val="16"/>
                <w:color w:val="auto"/>
              </w:rPr>
            </w:pPr>
          </w:p>
        </w:tc>
        <w:tc>
          <w:tcPr>
            <w:tcW w:w="190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Assesses risks relating to</w:t>
            </w:r>
          </w:p>
        </w:tc>
      </w:tr>
      <w:tr>
        <w:trPr>
          <w:trHeight w:val="162"/>
        </w:trPr>
        <w:tc>
          <w:tcPr>
            <w:tcW w:w="80" w:type="dxa"/>
            <w:vAlign w:val="bottom"/>
            <w:tcBorders>
              <w:left w:val="single" w:sz="8" w:color="6A6E6F"/>
            </w:tcBorders>
          </w:tcPr>
          <w:p>
            <w:pPr>
              <w:spacing w:after="0"/>
              <w:rPr>
                <w:sz w:val="14"/>
                <w:szCs w:val="14"/>
                <w:color w:val="auto"/>
              </w:rPr>
            </w:pPr>
          </w:p>
        </w:tc>
        <w:tc>
          <w:tcPr>
            <w:tcW w:w="178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strategies to assess risk</w:t>
            </w:r>
          </w:p>
        </w:tc>
        <w:tc>
          <w:tcPr>
            <w:tcW w:w="420" w:type="dxa"/>
            <w:vAlign w:val="bottom"/>
            <w:tcBorders>
              <w:right w:val="single" w:sz="8" w:color="6A6E6F"/>
            </w:tcBorders>
          </w:tcPr>
          <w:p>
            <w:pPr>
              <w:spacing w:after="0"/>
              <w:rPr>
                <w:sz w:val="14"/>
                <w:szCs w:val="14"/>
                <w:color w:val="auto"/>
              </w:rPr>
            </w:pPr>
          </w:p>
        </w:tc>
        <w:tc>
          <w:tcPr>
            <w:tcW w:w="190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business and asset</w:t>
            </w:r>
          </w:p>
        </w:tc>
      </w:tr>
      <w:tr>
        <w:trPr>
          <w:trHeight w:val="162"/>
        </w:trPr>
        <w:tc>
          <w:tcPr>
            <w:tcW w:w="80" w:type="dxa"/>
            <w:vAlign w:val="bottom"/>
            <w:tcBorders>
              <w:left w:val="single" w:sz="8" w:color="6A6E6F"/>
            </w:tcBorders>
          </w:tcPr>
          <w:p>
            <w:pPr>
              <w:spacing w:after="0"/>
              <w:rPr>
                <w:sz w:val="14"/>
                <w:szCs w:val="14"/>
                <w:color w:val="auto"/>
              </w:rPr>
            </w:pPr>
          </w:p>
        </w:tc>
        <w:tc>
          <w:tcPr>
            <w:tcW w:w="178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and to recover</w:t>
            </w:r>
          </w:p>
        </w:tc>
        <w:tc>
          <w:tcPr>
            <w:tcW w:w="420" w:type="dxa"/>
            <w:vAlign w:val="bottom"/>
            <w:tcBorders>
              <w:right w:val="single" w:sz="8" w:color="6A6E6F"/>
            </w:tcBorders>
          </w:tcPr>
          <w:p>
            <w:pPr>
              <w:spacing w:after="0"/>
              <w:rPr>
                <w:sz w:val="14"/>
                <w:szCs w:val="14"/>
                <w:color w:val="auto"/>
              </w:rPr>
            </w:pPr>
          </w:p>
        </w:tc>
        <w:tc>
          <w:tcPr>
            <w:tcW w:w="190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resiliency and</w:t>
            </w:r>
          </w:p>
        </w:tc>
      </w:tr>
      <w:tr>
        <w:trPr>
          <w:trHeight w:val="162"/>
        </w:trPr>
        <w:tc>
          <w:tcPr>
            <w:tcW w:w="80" w:type="dxa"/>
            <w:vAlign w:val="bottom"/>
            <w:tcBorders>
              <w:left w:val="single" w:sz="8" w:color="6A6E6F"/>
            </w:tcBorders>
          </w:tcPr>
          <w:p>
            <w:pPr>
              <w:spacing w:after="0"/>
              <w:rPr>
                <w:sz w:val="14"/>
                <w:szCs w:val="14"/>
                <w:color w:val="auto"/>
              </w:rPr>
            </w:pPr>
          </w:p>
        </w:tc>
        <w:tc>
          <w:tcPr>
            <w:tcW w:w="178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operations, data and full</w:t>
            </w:r>
          </w:p>
        </w:tc>
        <w:tc>
          <w:tcPr>
            <w:tcW w:w="420" w:type="dxa"/>
            <w:vAlign w:val="bottom"/>
            <w:tcBorders>
              <w:right w:val="single" w:sz="8" w:color="6A6E6F"/>
            </w:tcBorders>
          </w:tcPr>
          <w:p>
            <w:pPr>
              <w:spacing w:after="0"/>
              <w:rPr>
                <w:sz w:val="14"/>
                <w:szCs w:val="14"/>
                <w:color w:val="auto"/>
              </w:rPr>
            </w:pPr>
          </w:p>
        </w:tc>
        <w:tc>
          <w:tcPr>
            <w:tcW w:w="190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sustainability and leads</w:t>
            </w:r>
          </w:p>
        </w:tc>
      </w:tr>
      <w:tr>
        <w:trPr>
          <w:trHeight w:val="162"/>
        </w:trPr>
        <w:tc>
          <w:tcPr>
            <w:tcW w:w="80" w:type="dxa"/>
            <w:vAlign w:val="bottom"/>
            <w:tcBorders>
              <w:left w:val="single" w:sz="8" w:color="6A6E6F"/>
            </w:tcBorders>
          </w:tcPr>
          <w:p>
            <w:pPr>
              <w:spacing w:after="0"/>
              <w:rPr>
                <w:sz w:val="14"/>
                <w:szCs w:val="14"/>
                <w:color w:val="auto"/>
              </w:rPr>
            </w:pPr>
          </w:p>
        </w:tc>
        <w:tc>
          <w:tcPr>
            <w:tcW w:w="178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functionality after any</w:t>
            </w:r>
          </w:p>
        </w:tc>
        <w:tc>
          <w:tcPr>
            <w:tcW w:w="420" w:type="dxa"/>
            <w:vAlign w:val="bottom"/>
            <w:tcBorders>
              <w:right w:val="single" w:sz="8" w:color="6A6E6F"/>
            </w:tcBorders>
          </w:tcPr>
          <w:p>
            <w:pPr>
              <w:spacing w:after="0"/>
              <w:rPr>
                <w:sz w:val="14"/>
                <w:szCs w:val="14"/>
                <w:color w:val="auto"/>
              </w:rPr>
            </w:pPr>
          </w:p>
        </w:tc>
        <w:tc>
          <w:tcPr>
            <w:tcW w:w="190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the initiatives of the</w:t>
            </w:r>
          </w:p>
        </w:tc>
      </w:tr>
      <w:tr>
        <w:trPr>
          <w:trHeight w:val="162"/>
        </w:trPr>
        <w:tc>
          <w:tcPr>
            <w:tcW w:w="80" w:type="dxa"/>
            <w:vAlign w:val="bottom"/>
            <w:tcBorders>
              <w:left w:val="single" w:sz="8" w:color="6A6E6F"/>
            </w:tcBorders>
          </w:tcPr>
          <w:p>
            <w:pPr>
              <w:spacing w:after="0"/>
              <w:rPr>
                <w:sz w:val="14"/>
                <w:szCs w:val="14"/>
                <w:color w:val="auto"/>
              </w:rPr>
            </w:pPr>
          </w:p>
        </w:tc>
        <w:tc>
          <w:tcPr>
            <w:tcW w:w="178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extended unplanned</w:t>
            </w:r>
          </w:p>
        </w:tc>
        <w:tc>
          <w:tcPr>
            <w:tcW w:w="420" w:type="dxa"/>
            <w:vAlign w:val="bottom"/>
            <w:tcBorders>
              <w:right w:val="single" w:sz="8" w:color="6A6E6F"/>
            </w:tcBorders>
          </w:tcPr>
          <w:p>
            <w:pPr>
              <w:spacing w:after="0"/>
              <w:rPr>
                <w:sz w:val="14"/>
                <w:szCs w:val="14"/>
                <w:color w:val="auto"/>
              </w:rPr>
            </w:pPr>
          </w:p>
        </w:tc>
        <w:tc>
          <w:tcPr>
            <w:tcW w:w="190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Company’s corporate</w:t>
            </w:r>
          </w:p>
        </w:tc>
      </w:tr>
      <w:tr>
        <w:trPr>
          <w:trHeight w:val="190"/>
        </w:trPr>
        <w:tc>
          <w:tcPr>
            <w:tcW w:w="80" w:type="dxa"/>
            <w:vAlign w:val="bottom"/>
            <w:tcBorders>
              <w:left w:val="single" w:sz="8" w:color="6A6E6F"/>
            </w:tcBorders>
          </w:tcPr>
          <w:p>
            <w:pPr>
              <w:spacing w:after="0"/>
              <w:rPr>
                <w:sz w:val="16"/>
                <w:szCs w:val="16"/>
                <w:color w:val="auto"/>
              </w:rPr>
            </w:pPr>
          </w:p>
        </w:tc>
        <w:tc>
          <w:tcPr>
            <w:tcW w:w="178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business interruption.</w:t>
            </w:r>
          </w:p>
        </w:tc>
        <w:tc>
          <w:tcPr>
            <w:tcW w:w="420" w:type="dxa"/>
            <w:vAlign w:val="bottom"/>
            <w:tcBorders>
              <w:right w:val="single" w:sz="8" w:color="6A6E6F"/>
            </w:tcBorders>
          </w:tcPr>
          <w:p>
            <w:pPr>
              <w:spacing w:after="0"/>
              <w:rPr>
                <w:sz w:val="16"/>
                <w:szCs w:val="16"/>
                <w:color w:val="auto"/>
              </w:rPr>
            </w:pPr>
          </w:p>
        </w:tc>
        <w:tc>
          <w:tcPr>
            <w:tcW w:w="1900" w:type="dxa"/>
            <w:vAlign w:val="bottom"/>
            <w:tcBorders>
              <w:right w:val="single" w:sz="8" w:color="6A6E6F"/>
            </w:tcBorders>
          </w:tcPr>
          <w:p>
            <w:pPr>
              <w:ind w:left="80"/>
              <w:spacing w:after="0"/>
              <w:rPr>
                <w:sz w:val="20"/>
                <w:szCs w:val="20"/>
                <w:color w:val="auto"/>
              </w:rPr>
            </w:pPr>
            <w:r>
              <w:rPr>
                <w:rFonts w:ascii="Arial" w:cs="Arial" w:eastAsia="Arial" w:hAnsi="Arial"/>
                <w:sz w:val="14"/>
                <w:szCs w:val="14"/>
                <w:color w:val="auto"/>
              </w:rPr>
              <w:t>responsibility program.</w:t>
            </w:r>
          </w:p>
        </w:tc>
      </w:tr>
      <w:tr>
        <w:trPr>
          <w:trHeight w:val="210"/>
        </w:trPr>
        <w:tc>
          <w:tcPr>
            <w:tcW w:w="80" w:type="dxa"/>
            <w:vAlign w:val="bottom"/>
            <w:tcBorders>
              <w:left w:val="single" w:sz="8" w:color="6A6E6F"/>
              <w:bottom w:val="single" w:sz="8" w:color="6A6E6F"/>
            </w:tcBorders>
          </w:tcPr>
          <w:p>
            <w:pPr>
              <w:spacing w:after="0"/>
              <w:rPr>
                <w:sz w:val="18"/>
                <w:szCs w:val="18"/>
                <w:color w:val="auto"/>
              </w:rPr>
            </w:pPr>
          </w:p>
        </w:tc>
        <w:tc>
          <w:tcPr>
            <w:tcW w:w="1780" w:type="dxa"/>
            <w:vAlign w:val="bottom"/>
            <w:tcBorders>
              <w:bottom w:val="single" w:sz="8" w:color="6A6E6F"/>
              <w:right w:val="single" w:sz="8" w:color="6A6E6F"/>
            </w:tcBorders>
          </w:tcPr>
          <w:p>
            <w:pPr>
              <w:spacing w:after="0"/>
              <w:rPr>
                <w:sz w:val="18"/>
                <w:szCs w:val="18"/>
                <w:color w:val="auto"/>
              </w:rPr>
            </w:pPr>
          </w:p>
        </w:tc>
        <w:tc>
          <w:tcPr>
            <w:tcW w:w="420" w:type="dxa"/>
            <w:vAlign w:val="bottom"/>
            <w:tcBorders>
              <w:right w:val="single" w:sz="8" w:color="6A6E6F"/>
            </w:tcBorders>
          </w:tcPr>
          <w:p>
            <w:pPr>
              <w:spacing w:after="0"/>
              <w:rPr>
                <w:sz w:val="18"/>
                <w:szCs w:val="18"/>
                <w:color w:val="auto"/>
              </w:rPr>
            </w:pPr>
          </w:p>
        </w:tc>
        <w:tc>
          <w:tcPr>
            <w:tcW w:w="1900" w:type="dxa"/>
            <w:vAlign w:val="bottom"/>
            <w:tcBorders>
              <w:bottom w:val="single" w:sz="8" w:color="6A6E6F"/>
              <w:right w:val="single" w:sz="8" w:color="6A6E6F"/>
            </w:tcBorders>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FFFFFF"/>
        </w:rPr>
        <w:t>CYBER RISK</w:t>
      </w:r>
    </w:p>
    <w:p>
      <w:pPr>
        <w:spacing w:after="0" w:line="244"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Assesses and mitigates the risks posed by AI and cybersecurity incidents and cyber-attacks impacting the Company’s data and information systems.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COMPLIANCE</w:t>
      </w:r>
    </w:p>
    <w:p>
      <w:pPr>
        <w:spacing w:after="0" w:line="244"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Assesses and mitigates risk associated with the Company’s ethics and compliance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FFFFFF"/>
        </w:rPr>
        <w:t>BUSINESS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FFFFFF"/>
        </w:rPr>
        <w:t>CONTINUITY</w:t>
      </w:r>
    </w:p>
    <w:p>
      <w:pPr>
        <w:spacing w:after="0" w:line="176"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Assesses and mitigates risk associated with the Company’s financial controls and disclosures.</w:t>
      </w:r>
    </w:p>
    <w:p>
      <w:pPr>
        <w:spacing w:after="0" w:line="580" w:lineRule="exact"/>
        <w:rPr>
          <w:sz w:val="20"/>
          <w:szCs w:val="20"/>
          <w:color w:val="auto"/>
        </w:rPr>
      </w:pPr>
    </w:p>
    <w:p>
      <w:pPr>
        <w:sectPr>
          <w:pgSz w:w="11900" w:h="16838" w:orient="portrait"/>
          <w:cols w:equalWidth="0" w:num="4">
            <w:col w:w="4300" w:space="500"/>
            <w:col w:w="1620" w:space="700"/>
            <w:col w:w="1580" w:space="720"/>
            <w:col w:w="1600"/>
          </w:cols>
          <w:pgMar w:left="320" w:top="482" w:right="559" w:bottom="1440" w:gutter="0" w:footer="0" w:header="0"/>
          <w:type w:val="continuous"/>
        </w:sectPr>
      </w:pPr>
    </w:p>
    <w:p>
      <w:pPr>
        <w:spacing w:after="0" w:line="65"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20</w:t>
      </w:r>
      <w:r>
        <w:rPr>
          <w:rFonts w:ascii="Arial" w:cs="Arial" w:eastAsia="Arial" w:hAnsi="Arial"/>
          <w:sz w:val="12"/>
          <w:szCs w:val="12"/>
          <w:color w:val="auto"/>
        </w:rPr>
        <w:t xml:space="preserve"> </w:t>
      </w:r>
      <w:r>
        <w:rPr>
          <w:rFonts w:ascii="Arial" w:cs="Arial" w:eastAsia="Arial" w:hAnsi="Arial"/>
          <w:sz w:val="16"/>
          <w:szCs w:val="16"/>
          <w:color w:val="6A6E6F"/>
        </w:rPr>
        <w:t>|</w:t>
      </w:r>
      <w:r>
        <w:rPr>
          <w:rFonts w:ascii="Arial" w:cs="Arial" w:eastAsia="Arial" w:hAnsi="Arial"/>
          <w:sz w:val="12"/>
          <w:szCs w:val="12"/>
          <w:color w:val="6A6E6F"/>
        </w:rPr>
        <w:t> REGENCY CENTERS </w:t>
      </w:r>
      <w:r>
        <w:rPr>
          <w:rFonts w:ascii="Arial" w:cs="Arial" w:eastAsia="Arial" w:hAnsi="Arial"/>
          <w:sz w:val="16"/>
          <w:szCs w:val="16"/>
          <w:color w:val="6A6E6F"/>
        </w:rPr>
        <w:t>|</w:t>
      </w:r>
      <w:r>
        <w:rPr>
          <w:rFonts w:ascii="Arial" w:cs="Arial" w:eastAsia="Arial" w:hAnsi="Arial"/>
          <w:sz w:val="12"/>
          <w:szCs w:val="12"/>
          <w:color w:val="6A6E6F"/>
        </w:rPr>
        <w:t> 2026 PROXY STATEMENT</w:t>
      </w:r>
    </w:p>
    <w:p>
      <w:pPr>
        <w:sectPr>
          <w:pgSz w:w="11900" w:h="16838" w:orient="portrait"/>
          <w:cols w:equalWidth="0" w:num="1">
            <w:col w:w="11020"/>
          </w:cols>
          <w:pgMar w:left="320" w:top="482" w:right="5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Corporate Governance </w:t>
      </w:r>
      <w:r>
        <w:rPr>
          <w:rFonts w:ascii="Arial" w:cs="Arial" w:eastAsia="Arial" w:hAnsi="Arial"/>
          <w:sz w:val="19"/>
          <w:szCs w:val="19"/>
          <w:b w:val="1"/>
          <w:bCs w:val="1"/>
          <w:color w:val="E56D3D"/>
        </w:rPr>
        <w: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Standing Committees</w:t>
      </w:r>
    </w:p>
    <w:p>
      <w:pPr>
        <w:spacing w:after="0" w:line="112"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Our Board of Directors has established four standing committees: an Audit Committee, a Compensation Committee, a Nominating and Governance Committee and an Investment Committee, each as described below. Members of these committees are elected annually by our Board of Directors. The charters for each of these committees are available on our website at www.regencycenters.com.</w:t>
      </w:r>
    </w:p>
    <w:p>
      <w:pPr>
        <w:sectPr>
          <w:pgSz w:w="11900" w:h="16838" w:orient="portrait"/>
          <w:cols w:equalWidth="0" w:num="1">
            <w:col w:w="11140"/>
          </w:cols>
          <w:pgMar w:left="320" w:top="482" w:right="439" w:bottom="1440" w:gutter="0" w:footer="0" w:header="0"/>
        </w:sectPr>
      </w:pP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Audit Committee</w:t>
      </w:r>
    </w:p>
    <w:p>
      <w:pPr>
        <w:spacing w:after="0" w:line="198" w:lineRule="exact"/>
        <w:rPr>
          <w:sz w:val="20"/>
          <w:szCs w:val="20"/>
          <w:color w:val="auto"/>
        </w:rPr>
      </w:pPr>
    </w:p>
    <w:p>
      <w:pPr>
        <w:ind w:left="120"/>
        <w:spacing w:after="0"/>
        <w:tabs>
          <w:tab w:leader="none" w:pos="1880" w:val="left"/>
        </w:tabs>
        <w:rPr>
          <w:sz w:val="20"/>
          <w:szCs w:val="20"/>
          <w:color w:val="auto"/>
        </w:rPr>
      </w:pPr>
      <w:r>
        <w:rPr>
          <w:rFonts w:ascii="Arial" w:cs="Arial" w:eastAsia="Arial" w:hAnsi="Arial"/>
          <w:sz w:val="14"/>
          <w:szCs w:val="14"/>
          <w:color w:val="FFFFFF"/>
        </w:rPr>
        <w:t> </w:t>
      </w:r>
      <w:r>
        <w:rPr>
          <w:sz w:val="20"/>
          <w:szCs w:val="20"/>
          <w:color w:val="auto"/>
        </w:rPr>
        <w:tab/>
      </w:r>
      <w:r>
        <w:rPr>
          <w:rFonts w:ascii="Arial" w:cs="Arial" w:eastAsia="Arial" w:hAnsi="Arial"/>
          <w:sz w:val="14"/>
          <w:szCs w:val="14"/>
          <w:color w:val="FFFFFF"/>
        </w:rPr>
        <w:t>MEMBERS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Karin M. Klein, CHAIR</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Deirdre J. Evens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Thomas W. Furphy</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Peter D. Linneman</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Mark J. Parrell</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James H. Simmons, III</w:t>
      </w:r>
      <w:r>
        <w:rPr>
          <w:rFonts w:ascii="Arial" w:cs="Arial" w:eastAsia="Arial" w:hAnsi="Arial"/>
          <w:sz w:val="21"/>
          <w:szCs w:val="21"/>
          <w:b w:val="1"/>
          <w:bCs w:val="1"/>
          <w:color w:val="auto"/>
          <w:vertAlign w:val="superscript"/>
        </w:rPr>
        <w:t>(1)</w:t>
      </w:r>
    </w:p>
    <w:p>
      <w:pPr>
        <w:spacing w:after="0" w:line="53" w:lineRule="exact"/>
        <w:rPr>
          <w:sz w:val="20"/>
          <w:szCs w:val="20"/>
          <w:color w:val="auto"/>
        </w:rPr>
      </w:pPr>
    </w:p>
    <w:p>
      <w:pPr>
        <w:ind w:left="640" w:right="40"/>
        <w:spacing w:after="0" w:line="249" w:lineRule="auto"/>
        <w:rPr>
          <w:sz w:val="20"/>
          <w:szCs w:val="20"/>
          <w:color w:val="auto"/>
        </w:rPr>
      </w:pPr>
      <w:r>
        <w:rPr>
          <w:rFonts w:ascii="Arial" w:cs="Arial" w:eastAsia="Arial" w:hAnsi="Arial"/>
          <w:sz w:val="14"/>
          <w:szCs w:val="14"/>
          <w:color w:val="auto"/>
        </w:rPr>
        <w:t>The Board has determined that each member of the Audit Committee is independent as defined under the applicable Nasdaq Stock Market listing requirements and Rule 10A-3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The committee met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five times in 2025</w:t>
      </w:r>
    </w:p>
    <w:p>
      <w:pPr>
        <w:spacing w:after="0" w:line="338" w:lineRule="exact"/>
        <w:rPr>
          <w:sz w:val="20"/>
          <w:szCs w:val="20"/>
          <w:color w:val="auto"/>
        </w:rPr>
      </w:pPr>
    </w:p>
    <w:p>
      <w:pPr>
        <w:ind w:left="640"/>
        <w:spacing w:after="0" w:line="258" w:lineRule="auto"/>
        <w:rPr>
          <w:sz w:val="20"/>
          <w:szCs w:val="20"/>
          <w:color w:val="auto"/>
        </w:rPr>
      </w:pPr>
      <w:r>
        <w:rPr>
          <w:rFonts w:ascii="Arial" w:cs="Arial" w:eastAsia="Arial" w:hAnsi="Arial"/>
          <w:sz w:val="14"/>
          <w:szCs w:val="14"/>
          <w:color w:val="auto"/>
        </w:rPr>
        <w:t>Our Board has determined that each member of the Audit Committee qualifies as an “Audit Committee financial expert” as defined by the rules of the SEC.</w:t>
      </w:r>
    </w:p>
    <w:p>
      <w:pPr>
        <w:spacing w:after="0" w:line="250" w:lineRule="exact"/>
        <w:rPr>
          <w:sz w:val="20"/>
          <w:szCs w:val="20"/>
          <w:color w:val="auto"/>
        </w:rPr>
      </w:pPr>
    </w:p>
    <w:p>
      <w:pPr>
        <w:ind w:left="640"/>
        <w:spacing w:after="0" w:line="263" w:lineRule="auto"/>
        <w:rPr>
          <w:sz w:val="20"/>
          <w:szCs w:val="20"/>
          <w:color w:val="auto"/>
        </w:rPr>
      </w:pPr>
      <w:r>
        <w:rPr>
          <w:rFonts w:ascii="Arial" w:cs="Arial" w:eastAsia="Arial" w:hAnsi="Arial"/>
          <w:sz w:val="14"/>
          <w:szCs w:val="14"/>
          <w:color w:val="auto"/>
        </w:rPr>
        <w:t>In accordance with our CGGs, no member of the Audit Committee serves on the Audit Committee of more than three public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2297"/>
        <w:spacing w:after="0"/>
        <w:rPr>
          <w:sz w:val="20"/>
          <w:szCs w:val="20"/>
          <w:color w:val="auto"/>
        </w:rPr>
      </w:pPr>
      <w:r>
        <w:rPr>
          <w:rFonts w:ascii="Arial" w:cs="Arial" w:eastAsia="Arial" w:hAnsi="Arial"/>
          <w:sz w:val="14"/>
          <w:szCs w:val="14"/>
          <w:color w:val="FFFFFF"/>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-164465</wp:posOffset>
            </wp:positionV>
            <wp:extent cx="6960870" cy="42945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60870" cy="4294505"/>
                    </a:xfrm>
                    <a:prstGeom prst="rect">
                      <a:avLst/>
                    </a:prstGeom>
                    <a:noFill/>
                  </pic:spPr>
                </pic:pic>
              </a:graphicData>
            </a:graphic>
          </wp:anchor>
        </w:drawing>
      </w:r>
    </w:p>
    <w:p>
      <w:pPr>
        <w:spacing w:after="0" w:line="160" w:lineRule="exact"/>
        <w:rPr>
          <w:sz w:val="20"/>
          <w:szCs w:val="20"/>
          <w:color w:val="auto"/>
        </w:rPr>
      </w:pPr>
    </w:p>
    <w:p>
      <w:pPr>
        <w:ind w:left="217" w:hanging="217"/>
        <w:spacing w:after="0"/>
        <w:tabs>
          <w:tab w:leader="none" w:pos="217" w:val="left"/>
        </w:tabs>
        <w:numPr>
          <w:ilvl w:val="0"/>
          <w:numId w:val="54"/>
        </w:numPr>
        <w:rPr>
          <w:rFonts w:ascii="Wingdings" w:cs="Wingdings" w:eastAsia="Wingdings" w:hAnsi="Wingdings"/>
          <w:sz w:val="18"/>
          <w:szCs w:val="18"/>
          <w:b w:val="1"/>
          <w:bCs w:val="1"/>
          <w:color w:val="auto"/>
        </w:rPr>
      </w:pPr>
      <w:r>
        <w:rPr>
          <w:rFonts w:ascii="Arial" w:cs="Arial" w:eastAsia="Arial" w:hAnsi="Arial"/>
          <w:sz w:val="18"/>
          <w:szCs w:val="18"/>
          <w:color w:val="auto"/>
        </w:rPr>
        <w:t>Assists the Board in its oversight of:</w:t>
      </w:r>
    </w:p>
    <w:p>
      <w:pPr>
        <w:spacing w:after="0" w:line="36" w:lineRule="exact"/>
        <w:rPr>
          <w:rFonts w:ascii="Wingdings" w:cs="Wingdings" w:eastAsia="Wingdings" w:hAnsi="Wingdings"/>
          <w:sz w:val="18"/>
          <w:szCs w:val="18"/>
          <w:b w:val="1"/>
          <w:bCs w:val="1"/>
          <w:color w:val="auto"/>
        </w:rPr>
      </w:pPr>
    </w:p>
    <w:p>
      <w:pPr>
        <w:ind w:left="397" w:hanging="217"/>
        <w:spacing w:after="0"/>
        <w:tabs>
          <w:tab w:leader="none" w:pos="397" w:val="left"/>
        </w:tabs>
        <w:numPr>
          <w:ilvl w:val="1"/>
          <w:numId w:val="54"/>
        </w:numPr>
        <w:rPr>
          <w:rFonts w:ascii="Wingdings" w:cs="Wingdings" w:eastAsia="Wingdings" w:hAnsi="Wingdings"/>
          <w:sz w:val="18"/>
          <w:szCs w:val="18"/>
          <w:b w:val="1"/>
          <w:bCs w:val="1"/>
          <w:color w:val="auto"/>
        </w:rPr>
      </w:pPr>
      <w:r>
        <w:rPr>
          <w:rFonts w:ascii="Arial" w:cs="Arial" w:eastAsia="Arial" w:hAnsi="Arial"/>
          <w:sz w:val="18"/>
          <w:szCs w:val="18"/>
          <w:color w:val="auto"/>
        </w:rPr>
        <w:t>the integrity of our financial statements</w:t>
      </w:r>
    </w:p>
    <w:p>
      <w:pPr>
        <w:spacing w:after="0" w:line="13" w:lineRule="exact"/>
        <w:rPr>
          <w:rFonts w:ascii="Wingdings" w:cs="Wingdings" w:eastAsia="Wingdings" w:hAnsi="Wingdings"/>
          <w:sz w:val="18"/>
          <w:szCs w:val="18"/>
          <w:b w:val="1"/>
          <w:bCs w:val="1"/>
          <w:color w:val="auto"/>
        </w:rPr>
      </w:pPr>
    </w:p>
    <w:p>
      <w:pPr>
        <w:ind w:left="397" w:hanging="217"/>
        <w:spacing w:after="0" w:line="234" w:lineRule="auto"/>
        <w:tabs>
          <w:tab w:leader="none" w:pos="397" w:val="left"/>
        </w:tabs>
        <w:numPr>
          <w:ilvl w:val="1"/>
          <w:numId w:val="54"/>
        </w:numPr>
        <w:rPr>
          <w:rFonts w:ascii="Wingdings" w:cs="Wingdings" w:eastAsia="Wingdings" w:hAnsi="Wingdings"/>
          <w:sz w:val="18"/>
          <w:szCs w:val="18"/>
          <w:b w:val="1"/>
          <w:bCs w:val="1"/>
          <w:color w:val="auto"/>
        </w:rPr>
      </w:pPr>
      <w:r>
        <w:rPr>
          <w:rFonts w:ascii="Arial" w:cs="Arial" w:eastAsia="Arial" w:hAnsi="Arial"/>
          <w:sz w:val="18"/>
          <w:szCs w:val="18"/>
          <w:color w:val="auto"/>
        </w:rPr>
        <w:t>our accounting and reporting processes and controls</w:t>
      </w:r>
    </w:p>
    <w:p>
      <w:pPr>
        <w:ind w:left="397" w:hanging="217"/>
        <w:spacing w:after="0" w:line="234" w:lineRule="auto"/>
        <w:tabs>
          <w:tab w:leader="none" w:pos="397" w:val="left"/>
        </w:tabs>
        <w:numPr>
          <w:ilvl w:val="1"/>
          <w:numId w:val="54"/>
        </w:numPr>
        <w:rPr>
          <w:rFonts w:ascii="Wingdings" w:cs="Wingdings" w:eastAsia="Wingdings" w:hAnsi="Wingdings"/>
          <w:sz w:val="18"/>
          <w:szCs w:val="18"/>
          <w:b w:val="1"/>
          <w:bCs w:val="1"/>
          <w:color w:val="auto"/>
        </w:rPr>
      </w:pPr>
      <w:r>
        <w:rPr>
          <w:rFonts w:ascii="Arial" w:cs="Arial" w:eastAsia="Arial" w:hAnsi="Arial"/>
          <w:sz w:val="18"/>
          <w:szCs w:val="18"/>
          <w:color w:val="auto"/>
        </w:rPr>
        <w:t>REIT and other tax compliance</w:t>
      </w:r>
    </w:p>
    <w:p>
      <w:pPr>
        <w:ind w:left="397" w:hanging="217"/>
        <w:spacing w:after="0" w:line="234" w:lineRule="auto"/>
        <w:tabs>
          <w:tab w:leader="none" w:pos="397" w:val="left"/>
        </w:tabs>
        <w:numPr>
          <w:ilvl w:val="1"/>
          <w:numId w:val="54"/>
        </w:numPr>
        <w:rPr>
          <w:rFonts w:ascii="Wingdings" w:cs="Wingdings" w:eastAsia="Wingdings" w:hAnsi="Wingdings"/>
          <w:sz w:val="18"/>
          <w:szCs w:val="18"/>
          <w:b w:val="1"/>
          <w:bCs w:val="1"/>
          <w:color w:val="auto"/>
        </w:rPr>
      </w:pPr>
      <w:r>
        <w:rPr>
          <w:rFonts w:ascii="Arial" w:cs="Arial" w:eastAsia="Arial" w:hAnsi="Arial"/>
          <w:sz w:val="18"/>
          <w:szCs w:val="18"/>
          <w:color w:val="auto"/>
        </w:rPr>
        <w:t>derivatives and hedging transactions</w:t>
      </w:r>
    </w:p>
    <w:p>
      <w:pPr>
        <w:ind w:left="397" w:hanging="217"/>
        <w:spacing w:after="0" w:line="234" w:lineRule="auto"/>
        <w:tabs>
          <w:tab w:leader="none" w:pos="397" w:val="left"/>
        </w:tabs>
        <w:numPr>
          <w:ilvl w:val="1"/>
          <w:numId w:val="54"/>
        </w:numPr>
        <w:rPr>
          <w:rFonts w:ascii="Wingdings" w:cs="Wingdings" w:eastAsia="Wingdings" w:hAnsi="Wingdings"/>
          <w:sz w:val="18"/>
          <w:szCs w:val="18"/>
          <w:b w:val="1"/>
          <w:bCs w:val="1"/>
          <w:color w:val="auto"/>
        </w:rPr>
      </w:pPr>
      <w:r>
        <w:rPr>
          <w:rFonts w:ascii="Arial" w:cs="Arial" w:eastAsia="Arial" w:hAnsi="Arial"/>
          <w:sz w:val="18"/>
          <w:szCs w:val="18"/>
          <w:color w:val="auto"/>
        </w:rPr>
        <w:t>our internal audit functions, and</w:t>
      </w:r>
    </w:p>
    <w:p>
      <w:pPr>
        <w:ind w:left="397" w:hanging="217"/>
        <w:spacing w:after="0"/>
        <w:tabs>
          <w:tab w:leader="none" w:pos="397" w:val="left"/>
        </w:tabs>
        <w:numPr>
          <w:ilvl w:val="1"/>
          <w:numId w:val="54"/>
        </w:numPr>
        <w:rPr>
          <w:rFonts w:ascii="Wingdings" w:cs="Wingdings" w:eastAsia="Wingdings" w:hAnsi="Wingdings"/>
          <w:sz w:val="18"/>
          <w:szCs w:val="18"/>
          <w:b w:val="1"/>
          <w:bCs w:val="1"/>
          <w:color w:val="auto"/>
        </w:rPr>
      </w:pPr>
      <w:r>
        <w:rPr>
          <w:rFonts w:ascii="Arial" w:cs="Arial" w:eastAsia="Arial" w:hAnsi="Arial"/>
          <w:sz w:val="18"/>
          <w:szCs w:val="18"/>
          <w:color w:val="auto"/>
        </w:rPr>
        <w:t>our insurance programs</w:t>
      </w:r>
    </w:p>
    <w:p>
      <w:pPr>
        <w:spacing w:after="0" w:line="99" w:lineRule="exact"/>
        <w:rPr>
          <w:rFonts w:ascii="Wingdings" w:cs="Wingdings" w:eastAsia="Wingdings" w:hAnsi="Wingdings"/>
          <w:sz w:val="18"/>
          <w:szCs w:val="18"/>
          <w:b w:val="1"/>
          <w:bCs w:val="1"/>
          <w:color w:val="auto"/>
        </w:rPr>
      </w:pPr>
    </w:p>
    <w:p>
      <w:pPr>
        <w:ind w:left="217" w:hanging="217"/>
        <w:spacing w:after="0" w:line="271" w:lineRule="auto"/>
        <w:tabs>
          <w:tab w:leader="none" w:pos="217" w:val="left"/>
        </w:tabs>
        <w:numPr>
          <w:ilvl w:val="0"/>
          <w:numId w:val="54"/>
        </w:numPr>
        <w:rPr>
          <w:rFonts w:ascii="Wingdings" w:cs="Wingdings" w:eastAsia="Wingdings" w:hAnsi="Wingdings"/>
          <w:sz w:val="18"/>
          <w:szCs w:val="18"/>
          <w:b w:val="1"/>
          <w:bCs w:val="1"/>
          <w:color w:val="auto"/>
        </w:rPr>
      </w:pPr>
      <w:r>
        <w:rPr>
          <w:rFonts w:ascii="Arial" w:cs="Arial" w:eastAsia="Arial" w:hAnsi="Arial"/>
          <w:sz w:val="18"/>
          <w:szCs w:val="18"/>
          <w:color w:val="auto"/>
        </w:rPr>
        <w:t>Reviews the independence and performance of our independent registered public accounting firm</w:t>
      </w:r>
    </w:p>
    <w:p>
      <w:pPr>
        <w:spacing w:after="0" w:line="59" w:lineRule="exact"/>
        <w:rPr>
          <w:rFonts w:ascii="Wingdings" w:cs="Wingdings" w:eastAsia="Wingdings" w:hAnsi="Wingdings"/>
          <w:sz w:val="18"/>
          <w:szCs w:val="18"/>
          <w:b w:val="1"/>
          <w:bCs w:val="1"/>
          <w:color w:val="auto"/>
        </w:rPr>
      </w:pPr>
    </w:p>
    <w:p>
      <w:pPr>
        <w:ind w:left="217" w:right="140" w:hanging="217"/>
        <w:spacing w:after="0" w:line="271" w:lineRule="auto"/>
        <w:tabs>
          <w:tab w:leader="none" w:pos="217" w:val="left"/>
        </w:tabs>
        <w:numPr>
          <w:ilvl w:val="0"/>
          <w:numId w:val="54"/>
        </w:numPr>
        <w:rPr>
          <w:rFonts w:ascii="Wingdings" w:cs="Wingdings" w:eastAsia="Wingdings" w:hAnsi="Wingdings"/>
          <w:sz w:val="18"/>
          <w:szCs w:val="18"/>
          <w:b w:val="1"/>
          <w:bCs w:val="1"/>
          <w:color w:val="auto"/>
        </w:rPr>
      </w:pPr>
      <w:r>
        <w:rPr>
          <w:rFonts w:ascii="Arial" w:cs="Arial" w:eastAsia="Arial" w:hAnsi="Arial"/>
          <w:sz w:val="18"/>
          <w:szCs w:val="18"/>
          <w:color w:val="auto"/>
        </w:rPr>
        <w:t>Responsible to select, evaluate, terminate and replace, as applicable, our independent registered public accounting firm</w:t>
      </w:r>
    </w:p>
    <w:p>
      <w:pPr>
        <w:spacing w:after="0" w:line="59" w:lineRule="exact"/>
        <w:rPr>
          <w:rFonts w:ascii="Wingdings" w:cs="Wingdings" w:eastAsia="Wingdings" w:hAnsi="Wingdings"/>
          <w:sz w:val="18"/>
          <w:szCs w:val="18"/>
          <w:b w:val="1"/>
          <w:bCs w:val="1"/>
          <w:color w:val="auto"/>
        </w:rPr>
      </w:pPr>
    </w:p>
    <w:p>
      <w:pPr>
        <w:ind w:left="217" w:right="260" w:hanging="217"/>
        <w:spacing w:after="0" w:line="271" w:lineRule="auto"/>
        <w:tabs>
          <w:tab w:leader="none" w:pos="217" w:val="left"/>
        </w:tabs>
        <w:numPr>
          <w:ilvl w:val="0"/>
          <w:numId w:val="54"/>
        </w:numPr>
        <w:rPr>
          <w:rFonts w:ascii="Wingdings" w:cs="Wingdings" w:eastAsia="Wingdings" w:hAnsi="Wingdings"/>
          <w:sz w:val="18"/>
          <w:szCs w:val="18"/>
          <w:b w:val="1"/>
          <w:bCs w:val="1"/>
          <w:color w:val="auto"/>
        </w:rPr>
      </w:pPr>
      <w:r>
        <w:rPr>
          <w:rFonts w:ascii="Arial" w:cs="Arial" w:eastAsia="Arial" w:hAnsi="Arial"/>
          <w:sz w:val="18"/>
          <w:szCs w:val="18"/>
          <w:color w:val="auto"/>
        </w:rPr>
        <w:t>Approves the Audit Committee Report as shown on page 52. The report further details the Audit Committee’s responsibilities, and</w:t>
      </w:r>
    </w:p>
    <w:p>
      <w:pPr>
        <w:spacing w:after="0" w:line="59" w:lineRule="exact"/>
        <w:rPr>
          <w:rFonts w:ascii="Wingdings" w:cs="Wingdings" w:eastAsia="Wingdings" w:hAnsi="Wingdings"/>
          <w:sz w:val="18"/>
          <w:szCs w:val="18"/>
          <w:b w:val="1"/>
          <w:bCs w:val="1"/>
          <w:color w:val="auto"/>
        </w:rPr>
      </w:pPr>
    </w:p>
    <w:p>
      <w:pPr>
        <w:ind w:left="217" w:hanging="217"/>
        <w:spacing w:after="0"/>
        <w:tabs>
          <w:tab w:leader="none" w:pos="217" w:val="left"/>
        </w:tabs>
        <w:numPr>
          <w:ilvl w:val="0"/>
          <w:numId w:val="54"/>
        </w:numPr>
        <w:rPr>
          <w:rFonts w:ascii="Wingdings" w:cs="Wingdings" w:eastAsia="Wingdings" w:hAnsi="Wingdings"/>
          <w:sz w:val="18"/>
          <w:szCs w:val="18"/>
          <w:b w:val="1"/>
          <w:bCs w:val="1"/>
          <w:color w:val="auto"/>
        </w:rPr>
      </w:pPr>
      <w:r>
        <w:rPr>
          <w:rFonts w:ascii="Arial" w:cs="Arial" w:eastAsia="Arial" w:hAnsi="Arial"/>
          <w:sz w:val="18"/>
          <w:szCs w:val="18"/>
          <w:color w:val="auto"/>
        </w:rPr>
        <w:t>Oversees the Company’s cybersecurity program (see below) and AI risk</w:t>
      </w:r>
    </w:p>
    <w:p>
      <w:pPr>
        <w:spacing w:after="0" w:line="333" w:lineRule="exact"/>
        <w:rPr>
          <w:sz w:val="20"/>
          <w:szCs w:val="20"/>
          <w:color w:val="auto"/>
        </w:rPr>
      </w:pPr>
    </w:p>
    <w:p>
      <w:pPr>
        <w:ind w:left="1517"/>
        <w:spacing w:after="0"/>
        <w:rPr>
          <w:sz w:val="20"/>
          <w:szCs w:val="20"/>
          <w:color w:val="auto"/>
        </w:rPr>
      </w:pPr>
      <w:r>
        <w:rPr>
          <w:rFonts w:ascii="Arial" w:cs="Arial" w:eastAsia="Arial" w:hAnsi="Arial"/>
          <w:sz w:val="18"/>
          <w:szCs w:val="18"/>
          <w:b w:val="1"/>
          <w:bCs w:val="1"/>
          <w:color w:val="E56D3D"/>
        </w:rPr>
        <w:t>Cybersecurity Governance Highlights</w:t>
      </w:r>
    </w:p>
    <w:p>
      <w:pPr>
        <w:spacing w:after="0" w:line="154" w:lineRule="exact"/>
        <w:rPr>
          <w:sz w:val="20"/>
          <w:szCs w:val="20"/>
          <w:color w:val="auto"/>
        </w:rPr>
      </w:pPr>
    </w:p>
    <w:p>
      <w:pPr>
        <w:ind w:left="437" w:right="40" w:hanging="221"/>
        <w:spacing w:after="0" w:line="285" w:lineRule="auto"/>
        <w:tabs>
          <w:tab w:leader="none" w:pos="437" w:val="left"/>
        </w:tabs>
        <w:numPr>
          <w:ilvl w:val="0"/>
          <w:numId w:val="55"/>
        </w:numPr>
        <w:rPr>
          <w:rFonts w:ascii="MS PGothic" w:cs="MS PGothic" w:eastAsia="MS PGothic" w:hAnsi="MS PGothic"/>
          <w:sz w:val="14"/>
          <w:szCs w:val="14"/>
          <w:color w:val="auto"/>
        </w:rPr>
      </w:pPr>
      <w:r>
        <w:rPr>
          <w:rFonts w:ascii="Arial" w:cs="Arial" w:eastAsia="Arial" w:hAnsi="Arial"/>
          <w:sz w:val="14"/>
          <w:szCs w:val="14"/>
          <w:color w:val="auto"/>
        </w:rPr>
        <w:t>Management’s Cyber Risk Committee reports to the Board’s Audit Committee regularly, including reports on any significant cyber breaches (no such breach in the past five years)</w:t>
      </w:r>
    </w:p>
    <w:p>
      <w:pPr>
        <w:spacing w:after="0" w:line="63" w:lineRule="exact"/>
        <w:rPr>
          <w:rFonts w:ascii="MS PGothic" w:cs="MS PGothic" w:eastAsia="MS PGothic" w:hAnsi="MS PGothic"/>
          <w:sz w:val="14"/>
          <w:szCs w:val="14"/>
          <w:color w:val="auto"/>
        </w:rPr>
      </w:pPr>
    </w:p>
    <w:p>
      <w:pPr>
        <w:ind w:left="437" w:hanging="221"/>
        <w:spacing w:after="0"/>
        <w:tabs>
          <w:tab w:leader="none" w:pos="437" w:val="left"/>
        </w:tabs>
        <w:numPr>
          <w:ilvl w:val="0"/>
          <w:numId w:val="55"/>
        </w:numPr>
        <w:rPr>
          <w:rFonts w:ascii="MS PGothic" w:cs="MS PGothic" w:eastAsia="MS PGothic" w:hAnsi="MS PGothic"/>
          <w:sz w:val="14"/>
          <w:szCs w:val="14"/>
          <w:color w:val="auto"/>
        </w:rPr>
      </w:pPr>
      <w:r>
        <w:rPr>
          <w:rFonts w:ascii="Arial" w:cs="Arial" w:eastAsia="Arial" w:hAnsi="Arial"/>
          <w:sz w:val="14"/>
          <w:szCs w:val="14"/>
          <w:color w:val="auto"/>
        </w:rPr>
        <w:t>References NIST cybersecurity framework to address risk gaps</w:t>
      </w:r>
    </w:p>
    <w:p>
      <w:pPr>
        <w:spacing w:after="0" w:line="136" w:lineRule="exact"/>
        <w:rPr>
          <w:rFonts w:ascii="MS PGothic" w:cs="MS PGothic" w:eastAsia="MS PGothic" w:hAnsi="MS PGothic"/>
          <w:sz w:val="14"/>
          <w:szCs w:val="14"/>
          <w:color w:val="auto"/>
        </w:rPr>
      </w:pPr>
    </w:p>
    <w:p>
      <w:pPr>
        <w:ind w:left="437" w:hanging="221"/>
        <w:spacing w:after="0"/>
        <w:tabs>
          <w:tab w:leader="none" w:pos="437" w:val="left"/>
        </w:tabs>
        <w:numPr>
          <w:ilvl w:val="0"/>
          <w:numId w:val="55"/>
        </w:numPr>
        <w:rPr>
          <w:rFonts w:ascii="MS PGothic" w:cs="MS PGothic" w:eastAsia="MS PGothic" w:hAnsi="MS PGothic"/>
          <w:sz w:val="14"/>
          <w:szCs w:val="14"/>
          <w:color w:val="auto"/>
        </w:rPr>
      </w:pPr>
      <w:r>
        <w:rPr>
          <w:rFonts w:ascii="Arial" w:cs="Arial" w:eastAsia="Arial" w:hAnsi="Arial"/>
          <w:sz w:val="14"/>
          <w:szCs w:val="14"/>
          <w:color w:val="auto"/>
        </w:rPr>
        <w:t>Robust monitoring of internal and external threats</w:t>
      </w:r>
    </w:p>
    <w:p>
      <w:pPr>
        <w:spacing w:after="0" w:line="136" w:lineRule="exact"/>
        <w:rPr>
          <w:rFonts w:ascii="MS PGothic" w:cs="MS PGothic" w:eastAsia="MS PGothic" w:hAnsi="MS PGothic"/>
          <w:sz w:val="14"/>
          <w:szCs w:val="14"/>
          <w:color w:val="auto"/>
        </w:rPr>
      </w:pPr>
    </w:p>
    <w:p>
      <w:pPr>
        <w:ind w:left="437" w:hanging="221"/>
        <w:spacing w:after="0"/>
        <w:tabs>
          <w:tab w:leader="none" w:pos="437" w:val="left"/>
        </w:tabs>
        <w:numPr>
          <w:ilvl w:val="0"/>
          <w:numId w:val="55"/>
        </w:numPr>
        <w:rPr>
          <w:rFonts w:ascii="MS PGothic" w:cs="MS PGothic" w:eastAsia="MS PGothic" w:hAnsi="MS PGothic"/>
          <w:sz w:val="14"/>
          <w:szCs w:val="14"/>
          <w:color w:val="auto"/>
        </w:rPr>
      </w:pPr>
      <w:r>
        <w:rPr>
          <w:rFonts w:ascii="Arial" w:cs="Arial" w:eastAsia="Arial" w:hAnsi="Arial"/>
          <w:sz w:val="14"/>
          <w:szCs w:val="14"/>
          <w:color w:val="auto"/>
        </w:rPr>
        <w:t>Validation and testing, including third-party cyber assessments and penetration tests</w:t>
      </w:r>
    </w:p>
    <w:p>
      <w:pPr>
        <w:spacing w:after="0" w:line="136" w:lineRule="exact"/>
        <w:rPr>
          <w:rFonts w:ascii="MS PGothic" w:cs="MS PGothic" w:eastAsia="MS PGothic" w:hAnsi="MS PGothic"/>
          <w:sz w:val="14"/>
          <w:szCs w:val="14"/>
          <w:color w:val="auto"/>
        </w:rPr>
      </w:pPr>
    </w:p>
    <w:p>
      <w:pPr>
        <w:ind w:left="437" w:hanging="221"/>
        <w:spacing w:after="0"/>
        <w:tabs>
          <w:tab w:leader="none" w:pos="437" w:val="left"/>
        </w:tabs>
        <w:numPr>
          <w:ilvl w:val="0"/>
          <w:numId w:val="55"/>
        </w:numPr>
        <w:rPr>
          <w:rFonts w:ascii="MS PGothic" w:cs="MS PGothic" w:eastAsia="MS PGothic" w:hAnsi="MS PGothic"/>
          <w:sz w:val="14"/>
          <w:szCs w:val="14"/>
          <w:color w:val="auto"/>
        </w:rPr>
      </w:pPr>
      <w:r>
        <w:rPr>
          <w:rFonts w:ascii="Arial" w:cs="Arial" w:eastAsia="Arial" w:hAnsi="Arial"/>
          <w:sz w:val="14"/>
          <w:szCs w:val="14"/>
          <w:color w:val="auto"/>
        </w:rPr>
        <w:t>Review the security protocols of our key vendors</w:t>
      </w:r>
    </w:p>
    <w:p>
      <w:pPr>
        <w:spacing w:after="0" w:line="136" w:lineRule="exact"/>
        <w:rPr>
          <w:rFonts w:ascii="MS PGothic" w:cs="MS PGothic" w:eastAsia="MS PGothic" w:hAnsi="MS PGothic"/>
          <w:sz w:val="14"/>
          <w:szCs w:val="14"/>
          <w:color w:val="auto"/>
        </w:rPr>
      </w:pPr>
    </w:p>
    <w:p>
      <w:pPr>
        <w:ind w:left="437" w:hanging="221"/>
        <w:spacing w:after="0"/>
        <w:tabs>
          <w:tab w:leader="none" w:pos="437" w:val="left"/>
        </w:tabs>
        <w:numPr>
          <w:ilvl w:val="0"/>
          <w:numId w:val="55"/>
        </w:numPr>
        <w:rPr>
          <w:rFonts w:ascii="MS PGothic" w:cs="MS PGothic" w:eastAsia="MS PGothic" w:hAnsi="MS PGothic"/>
          <w:sz w:val="14"/>
          <w:szCs w:val="14"/>
          <w:color w:val="auto"/>
        </w:rPr>
      </w:pPr>
      <w:r>
        <w:rPr>
          <w:rFonts w:ascii="Arial" w:cs="Arial" w:eastAsia="Arial" w:hAnsi="Arial"/>
          <w:sz w:val="14"/>
          <w:szCs w:val="14"/>
          <w:color w:val="auto"/>
        </w:rPr>
        <w:t>Cyber insurance procured by the Company</w:t>
      </w:r>
    </w:p>
    <w:p>
      <w:pPr>
        <w:spacing w:after="0" w:line="136" w:lineRule="exact"/>
        <w:rPr>
          <w:rFonts w:ascii="MS PGothic" w:cs="MS PGothic" w:eastAsia="MS PGothic" w:hAnsi="MS PGothic"/>
          <w:sz w:val="14"/>
          <w:szCs w:val="14"/>
          <w:color w:val="auto"/>
        </w:rPr>
      </w:pPr>
    </w:p>
    <w:p>
      <w:pPr>
        <w:ind w:left="437" w:hanging="221"/>
        <w:spacing w:after="0"/>
        <w:tabs>
          <w:tab w:leader="none" w:pos="437" w:val="left"/>
        </w:tabs>
        <w:numPr>
          <w:ilvl w:val="0"/>
          <w:numId w:val="55"/>
        </w:numPr>
        <w:rPr>
          <w:rFonts w:ascii="MS PGothic" w:cs="MS PGothic" w:eastAsia="MS PGothic" w:hAnsi="MS PGothic"/>
          <w:sz w:val="14"/>
          <w:szCs w:val="14"/>
          <w:color w:val="auto"/>
        </w:rPr>
      </w:pPr>
      <w:r>
        <w:rPr>
          <w:rFonts w:ascii="Arial" w:cs="Arial" w:eastAsia="Arial" w:hAnsi="Arial"/>
          <w:sz w:val="14"/>
          <w:szCs w:val="14"/>
          <w:color w:val="auto"/>
        </w:rPr>
        <w:t>Cybersecurity Risk Management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right"/>
        <w:ind w:right="240"/>
        <w:spacing w:after="0"/>
        <w:rPr>
          <w:sz w:val="20"/>
          <w:szCs w:val="20"/>
          <w:color w:val="auto"/>
        </w:rPr>
      </w:pPr>
      <w:r>
        <w:rPr>
          <w:rFonts w:ascii="Arial" w:cs="Arial" w:eastAsia="Arial" w:hAnsi="Arial"/>
          <w:sz w:val="6"/>
          <w:szCs w:val="6"/>
          <w:color w:val="FFFFFF"/>
        </w:rPr>
        <w:t> </w:t>
      </w:r>
    </w:p>
    <w:p>
      <w:pPr>
        <w:spacing w:after="0" w:line="196" w:lineRule="exact"/>
        <w:rPr>
          <w:sz w:val="20"/>
          <w:szCs w:val="20"/>
          <w:color w:val="auto"/>
        </w:rPr>
      </w:pPr>
    </w:p>
    <w:p>
      <w:pPr>
        <w:spacing w:after="0"/>
        <w:rPr>
          <w:sz w:val="20"/>
          <w:szCs w:val="20"/>
          <w:color w:val="auto"/>
        </w:rPr>
      </w:pPr>
      <w:r>
        <w:rPr>
          <w:rFonts w:ascii="Arial" w:cs="Arial" w:eastAsia="Arial" w:hAnsi="Arial"/>
          <w:sz w:val="6"/>
          <w:szCs w:val="6"/>
          <w:color w:val="auto"/>
        </w:rPr>
        <w:t> </w:t>
      </w:r>
    </w:p>
    <w:p>
      <w:pPr>
        <w:spacing w:after="0" w:line="6358" w:lineRule="exact"/>
        <w:rPr>
          <w:sz w:val="20"/>
          <w:szCs w:val="20"/>
          <w:color w:val="auto"/>
        </w:rPr>
      </w:pPr>
    </w:p>
    <w:p>
      <w:pPr>
        <w:sectPr>
          <w:pgSz w:w="11900" w:h="16838" w:orient="portrait"/>
          <w:cols w:equalWidth="0" w:num="3">
            <w:col w:w="3880" w:space="623"/>
            <w:col w:w="6197" w:space="140"/>
            <w:col w:w="300"/>
          </w:cols>
          <w:pgMar w:left="320" w:top="482" w:right="439" w:bottom="1440" w:gutter="0" w:footer="0" w:header="0"/>
          <w:type w:val="continuous"/>
        </w:sectPr>
      </w:pPr>
    </w:p>
    <w:p>
      <w:pPr>
        <w:spacing w:after="0" w:line="1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w:t>
      </w:r>
    </w:p>
    <w:p>
      <w:pPr>
        <w:ind w:left="180"/>
        <w:spacing w:after="0" w:line="187" w:lineRule="auto"/>
        <w:tabs>
          <w:tab w:leader="none" w:pos="1860" w:val="left"/>
        </w:tabs>
        <w:rPr>
          <w:sz w:val="20"/>
          <w:szCs w:val="20"/>
          <w:color w:val="auto"/>
        </w:rPr>
      </w:pPr>
      <w:r>
        <w:rPr>
          <w:rFonts w:ascii="Arial" w:cs="Arial" w:eastAsia="Arial" w:hAnsi="Arial"/>
          <w:sz w:val="29"/>
          <w:szCs w:val="29"/>
          <w:b w:val="1"/>
          <w:bCs w:val="1"/>
          <w:color w:val="6A6E6F"/>
          <w:vertAlign w:val="subscript"/>
        </w:rPr>
        <w:t> </w:t>
      </w:r>
      <w:r>
        <w:rPr>
          <w:sz w:val="20"/>
          <w:szCs w:val="20"/>
          <w:color w:val="auto"/>
        </w:rPr>
        <w:tab/>
      </w:r>
      <w:r>
        <w:rPr>
          <w:rFonts w:ascii="Arial" w:cs="Arial" w:eastAsia="Arial" w:hAnsi="Arial"/>
          <w:sz w:val="14"/>
          <w:szCs w:val="14"/>
          <w:color w:val="FFFFFF"/>
        </w:rPr>
        <w:t>MEMBERS</w:t>
      </w:r>
    </w:p>
    <w:p>
      <w:pPr>
        <w:spacing w:after="0" w:line="36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Deirdre J. Evens, CHAIR</w:t>
      </w:r>
      <w:r>
        <w:rPr>
          <w:rFonts w:ascii="Arial" w:cs="Arial" w:eastAsia="Arial" w:hAnsi="Arial"/>
          <w:sz w:val="21"/>
          <w:szCs w:val="21"/>
          <w:b w:val="1"/>
          <w:bCs w:val="1"/>
          <w:color w:val="auto"/>
          <w:vertAlign w:val="superscript"/>
        </w:rPr>
        <w:t>(2)</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Gary E. Anderson</w:t>
      </w:r>
    </w:p>
    <w:p>
      <w:pPr>
        <w:spacing w:after="0" w:line="6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C. Ronald Blankenship</w:t>
      </w:r>
      <w:r>
        <w:rPr>
          <w:rFonts w:ascii="Arial" w:cs="Arial" w:eastAsia="Arial" w:hAnsi="Arial"/>
          <w:sz w:val="21"/>
          <w:szCs w:val="21"/>
          <w:b w:val="1"/>
          <w:bCs w:val="1"/>
          <w:color w:val="auto"/>
          <w:vertAlign w:val="superscript"/>
        </w:rPr>
        <w:t>(3)</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Kristin A. Campbell</w:t>
      </w:r>
    </w:p>
    <w:p>
      <w:pPr>
        <w:spacing w:after="0" w:line="68" w:lineRule="exact"/>
        <w:rPr>
          <w:sz w:val="20"/>
          <w:szCs w:val="20"/>
          <w:color w:val="auto"/>
        </w:rPr>
      </w:pPr>
    </w:p>
    <w:p>
      <w:pPr>
        <w:ind w:left="620"/>
        <w:spacing w:after="0" w:line="252" w:lineRule="auto"/>
        <w:rPr>
          <w:sz w:val="20"/>
          <w:szCs w:val="20"/>
          <w:color w:val="auto"/>
        </w:rPr>
      </w:pPr>
      <w:r>
        <w:rPr>
          <w:rFonts w:ascii="Arial" w:cs="Arial" w:eastAsia="Arial" w:hAnsi="Arial"/>
          <w:sz w:val="14"/>
          <w:szCs w:val="14"/>
          <w:color w:val="auto"/>
        </w:rPr>
        <w:t>The Board has determined that each member of the Compensation Committee is independent as defined under the applicable Nasdaq Stock Market listing requirements and Rule 10A-3 under the Securities Exchange Act of 1934, as amended.</w:t>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The committee met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five times in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FFFFFF"/>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-147320</wp:posOffset>
            </wp:positionV>
            <wp:extent cx="6960870" cy="22199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60870" cy="2219960"/>
                    </a:xfrm>
                    <a:prstGeom prst="rect">
                      <a:avLst/>
                    </a:prstGeom>
                    <a:noFill/>
                  </pic:spPr>
                </pic:pic>
              </a:graphicData>
            </a:graphic>
          </wp:anchor>
        </w:drawing>
      </w:r>
    </w:p>
    <w:p>
      <w:pPr>
        <w:spacing w:after="0" w:line="228" w:lineRule="exact"/>
        <w:rPr>
          <w:sz w:val="20"/>
          <w:szCs w:val="20"/>
          <w:color w:val="auto"/>
        </w:rPr>
      </w:pPr>
    </w:p>
    <w:p>
      <w:pPr>
        <w:ind w:left="221" w:hanging="221"/>
        <w:spacing w:after="0"/>
        <w:tabs>
          <w:tab w:leader="none" w:pos="221" w:val="left"/>
        </w:tabs>
        <w:numPr>
          <w:ilvl w:val="0"/>
          <w:numId w:val="56"/>
        </w:numPr>
        <w:rPr>
          <w:rFonts w:ascii="Wingdings" w:cs="Wingdings" w:eastAsia="Wingdings" w:hAnsi="Wingdings"/>
          <w:sz w:val="18"/>
          <w:szCs w:val="18"/>
          <w:b w:val="1"/>
          <w:bCs w:val="1"/>
          <w:color w:val="auto"/>
        </w:rPr>
      </w:pPr>
      <w:r>
        <w:rPr>
          <w:rFonts w:ascii="Arial" w:cs="Arial" w:eastAsia="Arial" w:hAnsi="Arial"/>
          <w:sz w:val="18"/>
          <w:szCs w:val="18"/>
          <w:color w:val="auto"/>
        </w:rPr>
        <w:t>Establishes and oversees our executive compensation and benefits programs</w:t>
      </w:r>
    </w:p>
    <w:p>
      <w:pPr>
        <w:spacing w:after="0" w:line="117" w:lineRule="exact"/>
        <w:rPr>
          <w:rFonts w:ascii="Wingdings" w:cs="Wingdings" w:eastAsia="Wingdings" w:hAnsi="Wingdings"/>
          <w:sz w:val="18"/>
          <w:szCs w:val="18"/>
          <w:b w:val="1"/>
          <w:bCs w:val="1"/>
          <w:color w:val="auto"/>
        </w:rPr>
      </w:pPr>
    </w:p>
    <w:p>
      <w:pPr>
        <w:ind w:left="221" w:right="420" w:hanging="221"/>
        <w:spacing w:after="0" w:line="271" w:lineRule="auto"/>
        <w:tabs>
          <w:tab w:leader="none" w:pos="221" w:val="left"/>
        </w:tabs>
        <w:numPr>
          <w:ilvl w:val="0"/>
          <w:numId w:val="56"/>
        </w:numPr>
        <w:rPr>
          <w:rFonts w:ascii="Wingdings" w:cs="Wingdings" w:eastAsia="Wingdings" w:hAnsi="Wingdings"/>
          <w:sz w:val="18"/>
          <w:szCs w:val="18"/>
          <w:b w:val="1"/>
          <w:bCs w:val="1"/>
          <w:color w:val="auto"/>
        </w:rPr>
      </w:pPr>
      <w:r>
        <w:rPr>
          <w:rFonts w:ascii="Arial" w:cs="Arial" w:eastAsia="Arial" w:hAnsi="Arial"/>
          <w:sz w:val="18"/>
          <w:szCs w:val="18"/>
          <w:color w:val="auto"/>
        </w:rPr>
        <w:t>Reviews and recommends to the Board the compensation of our non-employee directors, Executive Chairman and CEO</w:t>
      </w:r>
    </w:p>
    <w:p>
      <w:pPr>
        <w:spacing w:after="0" w:line="59" w:lineRule="exact"/>
        <w:rPr>
          <w:rFonts w:ascii="Wingdings" w:cs="Wingdings" w:eastAsia="Wingdings" w:hAnsi="Wingdings"/>
          <w:sz w:val="18"/>
          <w:szCs w:val="18"/>
          <w:b w:val="1"/>
          <w:bCs w:val="1"/>
          <w:color w:val="auto"/>
        </w:rPr>
      </w:pPr>
    </w:p>
    <w:p>
      <w:pPr>
        <w:ind w:left="221" w:hanging="221"/>
        <w:spacing w:after="0"/>
        <w:tabs>
          <w:tab w:leader="none" w:pos="221" w:val="left"/>
        </w:tabs>
        <w:numPr>
          <w:ilvl w:val="0"/>
          <w:numId w:val="56"/>
        </w:numPr>
        <w:rPr>
          <w:rFonts w:ascii="Wingdings" w:cs="Wingdings" w:eastAsia="Wingdings" w:hAnsi="Wingdings"/>
          <w:sz w:val="18"/>
          <w:szCs w:val="18"/>
          <w:b w:val="1"/>
          <w:bCs w:val="1"/>
          <w:color w:val="auto"/>
        </w:rPr>
      </w:pPr>
      <w:r>
        <w:rPr>
          <w:rFonts w:ascii="Arial" w:cs="Arial" w:eastAsia="Arial" w:hAnsi="Arial"/>
          <w:sz w:val="18"/>
          <w:szCs w:val="18"/>
          <w:color w:val="auto"/>
        </w:rPr>
        <w:t>Reviews and approves compensation of other named executive officers</w:t>
      </w:r>
    </w:p>
    <w:p>
      <w:pPr>
        <w:spacing w:after="0" w:line="117" w:lineRule="exact"/>
        <w:rPr>
          <w:rFonts w:ascii="Wingdings" w:cs="Wingdings" w:eastAsia="Wingdings" w:hAnsi="Wingdings"/>
          <w:sz w:val="18"/>
          <w:szCs w:val="18"/>
          <w:b w:val="1"/>
          <w:bCs w:val="1"/>
          <w:color w:val="auto"/>
        </w:rPr>
      </w:pPr>
    </w:p>
    <w:p>
      <w:pPr>
        <w:ind w:left="221" w:right="380" w:hanging="221"/>
        <w:spacing w:after="0" w:line="271" w:lineRule="auto"/>
        <w:tabs>
          <w:tab w:leader="none" w:pos="221" w:val="left"/>
        </w:tabs>
        <w:numPr>
          <w:ilvl w:val="0"/>
          <w:numId w:val="56"/>
        </w:numPr>
        <w:rPr>
          <w:rFonts w:ascii="Wingdings" w:cs="Wingdings" w:eastAsia="Wingdings" w:hAnsi="Wingdings"/>
          <w:sz w:val="18"/>
          <w:szCs w:val="18"/>
          <w:b w:val="1"/>
          <w:bCs w:val="1"/>
          <w:color w:val="auto"/>
        </w:rPr>
      </w:pPr>
      <w:r>
        <w:rPr>
          <w:rFonts w:ascii="Arial" w:cs="Arial" w:eastAsia="Arial" w:hAnsi="Arial"/>
          <w:sz w:val="18"/>
          <w:szCs w:val="18"/>
          <w:color w:val="auto"/>
        </w:rPr>
        <w:t>Sets the criteria for awards under incentive compensation plans and determines whether such criteria has been met, and</w:t>
      </w:r>
    </w:p>
    <w:p>
      <w:pPr>
        <w:spacing w:after="0" w:line="59" w:lineRule="exact"/>
        <w:rPr>
          <w:rFonts w:ascii="Wingdings" w:cs="Wingdings" w:eastAsia="Wingdings" w:hAnsi="Wingdings"/>
          <w:sz w:val="18"/>
          <w:szCs w:val="18"/>
          <w:b w:val="1"/>
          <w:bCs w:val="1"/>
          <w:color w:val="auto"/>
        </w:rPr>
      </w:pPr>
    </w:p>
    <w:p>
      <w:pPr>
        <w:ind w:left="221" w:hanging="221"/>
        <w:spacing w:after="0"/>
        <w:tabs>
          <w:tab w:leader="none" w:pos="221" w:val="left"/>
        </w:tabs>
        <w:numPr>
          <w:ilvl w:val="0"/>
          <w:numId w:val="56"/>
        </w:numPr>
        <w:rPr>
          <w:rFonts w:ascii="Wingdings" w:cs="Wingdings" w:eastAsia="Wingdings" w:hAnsi="Wingdings"/>
          <w:sz w:val="18"/>
          <w:szCs w:val="18"/>
          <w:b w:val="1"/>
          <w:bCs w:val="1"/>
          <w:color w:val="auto"/>
        </w:rPr>
      </w:pPr>
      <w:r>
        <w:rPr>
          <w:rFonts w:ascii="Arial" w:cs="Arial" w:eastAsia="Arial" w:hAnsi="Arial"/>
          <w:sz w:val="18"/>
          <w:szCs w:val="18"/>
          <w:color w:val="auto"/>
        </w:rPr>
        <w:t>Oversees matters relating to the Company’s long-term incentive plans</w:t>
      </w:r>
    </w:p>
    <w:p>
      <w:pPr>
        <w:spacing w:after="0" w:line="200" w:lineRule="exact"/>
        <w:rPr>
          <w:sz w:val="20"/>
          <w:szCs w:val="20"/>
          <w:color w:val="auto"/>
        </w:rPr>
      </w:pPr>
    </w:p>
    <w:p>
      <w:pPr>
        <w:spacing w:after="0" w:line="210" w:lineRule="exact"/>
        <w:rPr>
          <w:sz w:val="20"/>
          <w:szCs w:val="20"/>
          <w:color w:val="auto"/>
        </w:rPr>
      </w:pPr>
    </w:p>
    <w:p>
      <w:pPr>
        <w:ind w:left="1"/>
        <w:spacing w:after="0"/>
        <w:rPr>
          <w:sz w:val="20"/>
          <w:szCs w:val="20"/>
          <w:color w:val="auto"/>
        </w:rPr>
      </w:pPr>
      <w:r>
        <w:rPr>
          <w:rFonts w:ascii="Arial" w:cs="Arial" w:eastAsia="Arial" w:hAnsi="Arial"/>
          <w:sz w:val="14"/>
          <w:szCs w:val="14"/>
          <w:color w:val="auto"/>
        </w:rPr>
        <w:t>Note: The committee has retained Semler Brossy as its independent compensation consultant.</w:t>
      </w:r>
    </w:p>
    <w:p>
      <w:pPr>
        <w:spacing w:after="0" w:line="308" w:lineRule="exact"/>
        <w:rPr>
          <w:sz w:val="20"/>
          <w:szCs w:val="20"/>
          <w:color w:val="auto"/>
        </w:rPr>
      </w:pPr>
    </w:p>
    <w:p>
      <w:pPr>
        <w:sectPr>
          <w:pgSz w:w="11900" w:h="16838" w:orient="portrait"/>
          <w:cols w:equalWidth="0" w:num="2">
            <w:col w:w="3840" w:space="339"/>
            <w:col w:w="6961"/>
          </w:cols>
          <w:pgMar w:left="320" w:top="482" w:right="439" w:bottom="1440" w:gutter="0" w:footer="0" w:header="0"/>
          <w:type w:val="continuous"/>
        </w:sectPr>
      </w:pPr>
    </w:p>
    <w:p>
      <w:pPr>
        <w:spacing w:after="0" w:line="270" w:lineRule="exact"/>
        <w:rPr>
          <w:sz w:val="20"/>
          <w:szCs w:val="20"/>
          <w:color w:val="auto"/>
        </w:rPr>
      </w:pPr>
    </w:p>
    <w:p>
      <w:pPr>
        <w:ind w:left="320" w:hanging="204"/>
        <w:spacing w:after="0"/>
        <w:tabs>
          <w:tab w:leader="none" w:pos="3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Mr. Simmons will serve on the committee until the 2026 Annual Meeting, after which he will become a member of the Compensation Committee.</w:t>
      </w:r>
    </w:p>
    <w:p>
      <w:pPr>
        <w:spacing w:after="0" w:line="11" w:lineRule="exact"/>
        <w:rPr>
          <w:rFonts w:ascii="Arial" w:cs="Arial" w:eastAsia="Arial" w:hAnsi="Arial"/>
          <w:sz w:val="13"/>
          <w:szCs w:val="13"/>
          <w:color w:val="auto"/>
        </w:rPr>
      </w:pPr>
    </w:p>
    <w:p>
      <w:pPr>
        <w:ind w:left="320" w:hanging="204"/>
        <w:spacing w:after="0"/>
        <w:tabs>
          <w:tab w:leader="none" w:pos="3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Mr. Anderson will assume the role of committee chair after the 2026 Annual Meeting. Ms. Evens will continue to serve as chair until such time.</w:t>
      </w:r>
    </w:p>
    <w:p>
      <w:pPr>
        <w:ind w:left="320" w:hanging="204"/>
        <w:spacing w:after="0"/>
        <w:tabs>
          <w:tab w:leader="none" w:pos="3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Mr. Blankenship will serve on the committee until he retires from the Board after the 2026 Annual Meeting.</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3"/>
          <w:szCs w:val="13"/>
          <w:color w:val="6A6E6F"/>
        </w:rPr>
        <w:t>REGENCY CENTERS </w:t>
      </w:r>
      <w:r>
        <w:rPr>
          <w:rFonts w:ascii="Arial" w:cs="Arial" w:eastAsia="Arial" w:hAnsi="Arial"/>
          <w:sz w:val="17"/>
          <w:szCs w:val="17"/>
          <w:color w:val="6A6E6F"/>
        </w:rPr>
        <w:t>|</w:t>
      </w:r>
      <w:r>
        <w:rPr>
          <w:rFonts w:ascii="Arial" w:cs="Arial" w:eastAsia="Arial" w:hAnsi="Arial"/>
          <w:sz w:val="13"/>
          <w:szCs w:val="13"/>
          <w:color w:val="6A6E6F"/>
        </w:rPr>
        <w:t> 2026 PROXY STATEMENT </w:t>
      </w:r>
      <w:r>
        <w:rPr>
          <w:rFonts w:ascii="Arial" w:cs="Arial" w:eastAsia="Arial" w:hAnsi="Arial"/>
          <w:sz w:val="17"/>
          <w:szCs w:val="17"/>
          <w:color w:val="6A6E6F"/>
        </w:rPr>
        <w:t>|</w:t>
      </w:r>
      <w:r>
        <w:rPr>
          <w:rFonts w:ascii="Arial" w:cs="Arial" w:eastAsia="Arial" w:hAnsi="Arial"/>
          <w:sz w:val="13"/>
          <w:szCs w:val="13"/>
          <w:color w:val="000000"/>
        </w:rPr>
        <w:t xml:space="preserve"> </w:t>
      </w:r>
      <w:r>
        <w:rPr>
          <w:rFonts w:ascii="Arial" w:cs="Arial" w:eastAsia="Arial" w:hAnsi="Arial"/>
          <w:sz w:val="13"/>
          <w:szCs w:val="13"/>
          <w:b w:val="1"/>
          <w:bCs w:val="1"/>
          <w:color w:val="000000"/>
        </w:rPr>
        <w:t>21</w:t>
      </w:r>
    </w:p>
    <w:p>
      <w:pPr>
        <w:sectPr>
          <w:pgSz w:w="11900" w:h="16838" w:orient="portrait"/>
          <w:cols w:equalWidth="0" w:num="1">
            <w:col w:w="11140"/>
          </w:cols>
          <w:pgMar w:left="320" w:top="482"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Corporate Governance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70485</wp:posOffset>
            </wp:positionV>
            <wp:extent cx="6866255" cy="265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66255" cy="265430"/>
                    </a:xfrm>
                    <a:prstGeom prst="rect">
                      <a:avLst/>
                    </a:prstGeom>
                    <a:noFill/>
                  </pic:spPr>
                </pic:pic>
              </a:graphicData>
            </a:graphic>
          </wp:anchor>
        </w:drawing>
      </w:r>
    </w:p>
    <w:p>
      <w:pPr>
        <w:sectPr>
          <w:pgSz w:w="11900" w:h="16838" w:orient="portrait"/>
          <w:cols w:equalWidth="0" w:num="1">
            <w:col w:w="11060"/>
          </w:cols>
          <w:pgMar w:left="320" w:top="482" w:right="519" w:bottom="1440" w:gutter="0" w:footer="0" w:header="0"/>
        </w:sectPr>
      </w:pPr>
    </w:p>
    <w:p>
      <w:pPr>
        <w:spacing w:after="0" w:line="183" w:lineRule="exact"/>
        <w:rPr>
          <w:sz w:val="20"/>
          <w:szCs w:val="20"/>
          <w:color w:val="auto"/>
        </w:rPr>
      </w:pPr>
    </w:p>
    <w:p>
      <w:pPr>
        <w:ind w:left="1880"/>
        <w:spacing w:after="0"/>
        <w:rPr>
          <w:sz w:val="20"/>
          <w:szCs w:val="20"/>
          <w:color w:val="auto"/>
        </w:rPr>
      </w:pPr>
      <w:r>
        <w:rPr>
          <w:rFonts w:ascii="Arial" w:cs="Arial" w:eastAsia="Arial" w:hAnsi="Arial"/>
          <w:sz w:val="14"/>
          <w:szCs w:val="14"/>
          <w:color w:val="FFFFFF"/>
        </w:rPr>
        <w:t>MEMBERS</w:t>
      </w:r>
    </w:p>
    <w:p>
      <w:pPr>
        <w:spacing w:after="0" w:line="33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Kristin A. Campbell, CHAIR</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Bryce Blair</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Karin M. Klein</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Peter D. Linneman</w:t>
      </w:r>
    </w:p>
    <w:p>
      <w:pPr>
        <w:spacing w:after="0" w:line="244" w:lineRule="exact"/>
        <w:rPr>
          <w:sz w:val="20"/>
          <w:szCs w:val="20"/>
          <w:color w:val="auto"/>
        </w:rPr>
      </w:pPr>
    </w:p>
    <w:p>
      <w:pPr>
        <w:ind w:left="620"/>
        <w:spacing w:after="0" w:line="252" w:lineRule="auto"/>
        <w:rPr>
          <w:sz w:val="20"/>
          <w:szCs w:val="20"/>
          <w:color w:val="auto"/>
        </w:rPr>
      </w:pPr>
      <w:r>
        <w:rPr>
          <w:rFonts w:ascii="Arial" w:cs="Arial" w:eastAsia="Arial" w:hAnsi="Arial"/>
          <w:sz w:val="14"/>
          <w:szCs w:val="14"/>
          <w:color w:val="auto"/>
        </w:rPr>
        <w:t>The Board has determined that each member of the Nominating and Governance Committee is independent within the meaning of the Company’s independence standards and applicable listing standards of the Nasdaq Stock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The committee met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five times in 2025</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2627"/>
        <w:spacing w:after="0"/>
        <w:rPr>
          <w:sz w:val="20"/>
          <w:szCs w:val="20"/>
          <w:color w:val="auto"/>
        </w:rPr>
      </w:pPr>
      <w:r>
        <w:rPr>
          <w:rFonts w:ascii="Arial" w:cs="Arial" w:eastAsia="Arial" w:hAnsi="Arial"/>
          <w:sz w:val="14"/>
          <w:szCs w:val="14"/>
          <w:color w:val="FFFFFF"/>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66675</wp:posOffset>
            </wp:positionV>
            <wp:extent cx="7003415" cy="2520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03415" cy="2520315"/>
                    </a:xfrm>
                    <a:prstGeom prst="rect">
                      <a:avLst/>
                    </a:prstGeom>
                    <a:noFill/>
                  </pic:spPr>
                </pic:pic>
              </a:graphicData>
            </a:graphic>
          </wp:anchor>
        </w:drawing>
      </w:r>
    </w:p>
    <w:p>
      <w:pPr>
        <w:spacing w:after="0" w:line="228" w:lineRule="exact"/>
        <w:rPr>
          <w:sz w:val="20"/>
          <w:szCs w:val="20"/>
          <w:color w:val="auto"/>
        </w:rPr>
      </w:pPr>
    </w:p>
    <w:p>
      <w:pPr>
        <w:ind w:left="227" w:right="160" w:hanging="227"/>
        <w:spacing w:after="0" w:line="271" w:lineRule="auto"/>
        <w:tabs>
          <w:tab w:leader="none" w:pos="227" w:val="left"/>
        </w:tabs>
        <w:numPr>
          <w:ilvl w:val="0"/>
          <w:numId w:val="58"/>
        </w:numPr>
        <w:rPr>
          <w:rFonts w:ascii="Wingdings" w:cs="Wingdings" w:eastAsia="Wingdings" w:hAnsi="Wingdings"/>
          <w:sz w:val="18"/>
          <w:szCs w:val="18"/>
          <w:b w:val="1"/>
          <w:bCs w:val="1"/>
          <w:color w:val="auto"/>
        </w:rPr>
      </w:pPr>
      <w:r>
        <w:rPr>
          <w:rFonts w:ascii="Arial" w:cs="Arial" w:eastAsia="Arial" w:hAnsi="Arial"/>
          <w:sz w:val="18"/>
          <w:szCs w:val="18"/>
          <w:color w:val="auto"/>
        </w:rPr>
        <w:t>Establishes sound corporate governance in compliance with applicable regulatory requirements and best practices</w:t>
      </w:r>
    </w:p>
    <w:p>
      <w:pPr>
        <w:spacing w:after="0" w:line="59" w:lineRule="exact"/>
        <w:rPr>
          <w:rFonts w:ascii="Wingdings" w:cs="Wingdings" w:eastAsia="Wingdings" w:hAnsi="Wingdings"/>
          <w:sz w:val="18"/>
          <w:szCs w:val="18"/>
          <w:b w:val="1"/>
          <w:bCs w:val="1"/>
          <w:color w:val="auto"/>
        </w:rPr>
      </w:pPr>
    </w:p>
    <w:p>
      <w:pPr>
        <w:ind w:left="227" w:right="160" w:hanging="227"/>
        <w:spacing w:after="0" w:line="271" w:lineRule="auto"/>
        <w:tabs>
          <w:tab w:leader="none" w:pos="227" w:val="left"/>
        </w:tabs>
        <w:numPr>
          <w:ilvl w:val="0"/>
          <w:numId w:val="58"/>
        </w:numPr>
        <w:rPr>
          <w:rFonts w:ascii="Wingdings" w:cs="Wingdings" w:eastAsia="Wingdings" w:hAnsi="Wingdings"/>
          <w:sz w:val="18"/>
          <w:szCs w:val="18"/>
          <w:b w:val="1"/>
          <w:bCs w:val="1"/>
          <w:color w:val="auto"/>
        </w:rPr>
      </w:pPr>
      <w:r>
        <w:rPr>
          <w:rFonts w:ascii="Arial" w:cs="Arial" w:eastAsia="Arial" w:hAnsi="Arial"/>
          <w:sz w:val="18"/>
          <w:szCs w:val="18"/>
          <w:color w:val="auto"/>
        </w:rPr>
        <w:t>Oversees the Company’s programs, objectives and initiatives related to corporate responsibility</w:t>
      </w:r>
    </w:p>
    <w:p>
      <w:pPr>
        <w:spacing w:after="0" w:line="59" w:lineRule="exact"/>
        <w:rPr>
          <w:rFonts w:ascii="Wingdings" w:cs="Wingdings" w:eastAsia="Wingdings" w:hAnsi="Wingdings"/>
          <w:sz w:val="18"/>
          <w:szCs w:val="18"/>
          <w:b w:val="1"/>
          <w:bCs w:val="1"/>
          <w:color w:val="auto"/>
        </w:rPr>
      </w:pPr>
    </w:p>
    <w:p>
      <w:pPr>
        <w:ind w:left="227" w:right="840" w:hanging="227"/>
        <w:spacing w:after="0" w:line="271" w:lineRule="auto"/>
        <w:tabs>
          <w:tab w:leader="none" w:pos="227" w:val="left"/>
        </w:tabs>
        <w:numPr>
          <w:ilvl w:val="0"/>
          <w:numId w:val="58"/>
        </w:numPr>
        <w:rPr>
          <w:rFonts w:ascii="Wingdings" w:cs="Wingdings" w:eastAsia="Wingdings" w:hAnsi="Wingdings"/>
          <w:sz w:val="18"/>
          <w:szCs w:val="18"/>
          <w:b w:val="1"/>
          <w:bCs w:val="1"/>
          <w:color w:val="auto"/>
        </w:rPr>
      </w:pPr>
      <w:r>
        <w:rPr>
          <w:rFonts w:ascii="Arial" w:cs="Arial" w:eastAsia="Arial" w:hAnsi="Arial"/>
          <w:sz w:val="18"/>
          <w:szCs w:val="18"/>
          <w:color w:val="auto"/>
        </w:rPr>
        <w:t>Assists our Board in succession planning and by establishing criteria and qualifications for potential Board members</w:t>
      </w:r>
    </w:p>
    <w:p>
      <w:pPr>
        <w:spacing w:after="0" w:line="59" w:lineRule="exact"/>
        <w:rPr>
          <w:rFonts w:ascii="Wingdings" w:cs="Wingdings" w:eastAsia="Wingdings" w:hAnsi="Wingdings"/>
          <w:sz w:val="18"/>
          <w:szCs w:val="18"/>
          <w:b w:val="1"/>
          <w:bCs w:val="1"/>
          <w:color w:val="auto"/>
        </w:rPr>
      </w:pPr>
    </w:p>
    <w:p>
      <w:pPr>
        <w:ind w:left="227" w:hanging="227"/>
        <w:spacing w:after="0" w:line="271" w:lineRule="auto"/>
        <w:tabs>
          <w:tab w:leader="none" w:pos="227" w:val="left"/>
        </w:tabs>
        <w:numPr>
          <w:ilvl w:val="0"/>
          <w:numId w:val="58"/>
        </w:numPr>
        <w:rPr>
          <w:rFonts w:ascii="Wingdings" w:cs="Wingdings" w:eastAsia="Wingdings" w:hAnsi="Wingdings"/>
          <w:sz w:val="18"/>
          <w:szCs w:val="18"/>
          <w:b w:val="1"/>
          <w:bCs w:val="1"/>
          <w:color w:val="auto"/>
        </w:rPr>
      </w:pPr>
      <w:r>
        <w:rPr>
          <w:rFonts w:ascii="Arial" w:cs="Arial" w:eastAsia="Arial" w:hAnsi="Arial"/>
          <w:sz w:val="18"/>
          <w:szCs w:val="18"/>
          <w:color w:val="auto"/>
        </w:rPr>
        <w:t>Identifies and recruits high quality individuals to become members of our Board and recommends director nominees to the Board</w:t>
      </w:r>
    </w:p>
    <w:p>
      <w:pPr>
        <w:spacing w:after="0" w:line="59" w:lineRule="exact"/>
        <w:rPr>
          <w:rFonts w:ascii="Wingdings" w:cs="Wingdings" w:eastAsia="Wingdings" w:hAnsi="Wingdings"/>
          <w:sz w:val="18"/>
          <w:szCs w:val="18"/>
          <w:b w:val="1"/>
          <w:bCs w:val="1"/>
          <w:color w:val="auto"/>
        </w:rPr>
      </w:pPr>
    </w:p>
    <w:p>
      <w:pPr>
        <w:ind w:left="227" w:hanging="227"/>
        <w:spacing w:after="0"/>
        <w:tabs>
          <w:tab w:leader="none" w:pos="227" w:val="left"/>
        </w:tabs>
        <w:numPr>
          <w:ilvl w:val="0"/>
          <w:numId w:val="58"/>
        </w:numPr>
        <w:rPr>
          <w:rFonts w:ascii="Wingdings" w:cs="Wingdings" w:eastAsia="Wingdings" w:hAnsi="Wingdings"/>
          <w:sz w:val="18"/>
          <w:szCs w:val="18"/>
          <w:b w:val="1"/>
          <w:bCs w:val="1"/>
          <w:color w:val="auto"/>
        </w:rPr>
      </w:pPr>
      <w:r>
        <w:rPr>
          <w:rFonts w:ascii="Arial" w:cs="Arial" w:eastAsia="Arial" w:hAnsi="Arial"/>
          <w:sz w:val="18"/>
          <w:szCs w:val="18"/>
          <w:color w:val="auto"/>
        </w:rPr>
        <w:t>Leads the Board in its annual assessment of the Board’s performance</w:t>
      </w:r>
    </w:p>
    <w:p>
      <w:pPr>
        <w:spacing w:after="0" w:line="117" w:lineRule="exact"/>
        <w:rPr>
          <w:rFonts w:ascii="Wingdings" w:cs="Wingdings" w:eastAsia="Wingdings" w:hAnsi="Wingdings"/>
          <w:sz w:val="18"/>
          <w:szCs w:val="18"/>
          <w:b w:val="1"/>
          <w:bCs w:val="1"/>
          <w:color w:val="auto"/>
        </w:rPr>
      </w:pPr>
    </w:p>
    <w:p>
      <w:pPr>
        <w:ind w:left="227" w:hanging="227"/>
        <w:spacing w:after="0" w:line="271" w:lineRule="auto"/>
        <w:tabs>
          <w:tab w:leader="none" w:pos="227" w:val="left"/>
        </w:tabs>
        <w:numPr>
          <w:ilvl w:val="0"/>
          <w:numId w:val="58"/>
        </w:numPr>
        <w:rPr>
          <w:rFonts w:ascii="Wingdings" w:cs="Wingdings" w:eastAsia="Wingdings" w:hAnsi="Wingdings"/>
          <w:sz w:val="18"/>
          <w:szCs w:val="18"/>
          <w:b w:val="1"/>
          <w:bCs w:val="1"/>
          <w:color w:val="auto"/>
        </w:rPr>
      </w:pPr>
      <w:r>
        <w:rPr>
          <w:rFonts w:ascii="Arial" w:cs="Arial" w:eastAsia="Arial" w:hAnsi="Arial"/>
          <w:sz w:val="18"/>
          <w:szCs w:val="18"/>
          <w:color w:val="auto"/>
        </w:rPr>
        <w:t>Reviews committee membership and recommends nominees for each committee of the Board</w:t>
      </w:r>
    </w:p>
    <w:p>
      <w:pPr>
        <w:spacing w:after="0" w:line="59" w:lineRule="exact"/>
        <w:rPr>
          <w:rFonts w:ascii="Wingdings" w:cs="Wingdings" w:eastAsia="Wingdings" w:hAnsi="Wingdings"/>
          <w:sz w:val="18"/>
          <w:szCs w:val="18"/>
          <w:b w:val="1"/>
          <w:bCs w:val="1"/>
          <w:color w:val="auto"/>
        </w:rPr>
      </w:pPr>
    </w:p>
    <w:p>
      <w:pPr>
        <w:ind w:left="227" w:hanging="227"/>
        <w:spacing w:after="0"/>
        <w:tabs>
          <w:tab w:leader="none" w:pos="227" w:val="left"/>
        </w:tabs>
        <w:numPr>
          <w:ilvl w:val="0"/>
          <w:numId w:val="58"/>
        </w:numPr>
        <w:rPr>
          <w:rFonts w:ascii="Wingdings" w:cs="Wingdings" w:eastAsia="Wingdings" w:hAnsi="Wingdings"/>
          <w:sz w:val="18"/>
          <w:szCs w:val="18"/>
          <w:b w:val="1"/>
          <w:bCs w:val="1"/>
          <w:color w:val="auto"/>
        </w:rPr>
      </w:pPr>
      <w:r>
        <w:rPr>
          <w:rFonts w:ascii="Arial" w:cs="Arial" w:eastAsia="Arial" w:hAnsi="Arial"/>
          <w:sz w:val="18"/>
          <w:szCs w:val="18"/>
          <w:color w:val="auto"/>
        </w:rPr>
        <w:t>Oversees the Company’s ethics and compliance program, and</w:t>
      </w:r>
    </w:p>
    <w:p>
      <w:pPr>
        <w:spacing w:after="0" w:line="117" w:lineRule="exact"/>
        <w:rPr>
          <w:rFonts w:ascii="Wingdings" w:cs="Wingdings" w:eastAsia="Wingdings" w:hAnsi="Wingdings"/>
          <w:sz w:val="18"/>
          <w:szCs w:val="18"/>
          <w:b w:val="1"/>
          <w:bCs w:val="1"/>
          <w:color w:val="auto"/>
        </w:rPr>
      </w:pPr>
    </w:p>
    <w:p>
      <w:pPr>
        <w:ind w:left="227" w:hanging="227"/>
        <w:spacing w:after="0"/>
        <w:tabs>
          <w:tab w:leader="none" w:pos="227" w:val="left"/>
        </w:tabs>
        <w:numPr>
          <w:ilvl w:val="0"/>
          <w:numId w:val="58"/>
        </w:numPr>
        <w:rPr>
          <w:rFonts w:ascii="Wingdings" w:cs="Wingdings" w:eastAsia="Wingdings" w:hAnsi="Wingdings"/>
          <w:sz w:val="18"/>
          <w:szCs w:val="18"/>
          <w:b w:val="1"/>
          <w:bCs w:val="1"/>
          <w:color w:val="auto"/>
        </w:rPr>
      </w:pPr>
      <w:r>
        <w:rPr>
          <w:rFonts w:ascii="Arial" w:cs="Arial" w:eastAsia="Arial" w:hAnsi="Arial"/>
          <w:sz w:val="18"/>
          <w:szCs w:val="18"/>
          <w:color w:val="auto"/>
        </w:rPr>
        <w:t>Oversees the Company’s political activities, including any political spending</w:t>
      </w:r>
    </w:p>
    <w:p>
      <w:pPr>
        <w:spacing w:after="0" w:line="200" w:lineRule="exact"/>
        <w:rPr>
          <w:sz w:val="20"/>
          <w:szCs w:val="20"/>
          <w:color w:val="auto"/>
        </w:rPr>
      </w:pPr>
    </w:p>
    <w:p>
      <w:pPr>
        <w:sectPr>
          <w:pgSz w:w="11900" w:h="16838" w:orient="portrait"/>
          <w:cols w:equalWidth="0" w:num="2">
            <w:col w:w="3800" w:space="393"/>
            <w:col w:w="6867"/>
          </w:cols>
          <w:pgMar w:left="320" w:top="482" w:right="51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Investment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70485</wp:posOffset>
            </wp:positionV>
            <wp:extent cx="681482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14820" cy="214630"/>
                    </a:xfrm>
                    <a:prstGeom prst="rect">
                      <a:avLst/>
                    </a:prstGeom>
                    <a:noFill/>
                  </pic:spPr>
                </pic:pic>
              </a:graphicData>
            </a:graphic>
          </wp:anchor>
        </w:drawing>
      </w:r>
    </w:p>
    <w:p>
      <w:pPr>
        <w:sectPr>
          <w:pgSz w:w="11900" w:h="16838" w:orient="portrait"/>
          <w:cols w:equalWidth="0" w:num="1">
            <w:col w:w="11060"/>
          </w:cols>
          <w:pgMar w:left="320" w:top="482" w:right="519" w:bottom="1440" w:gutter="0" w:footer="0" w:header="0"/>
          <w:type w:val="continuous"/>
        </w:sectPr>
      </w:pP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4"/>
          <w:szCs w:val="14"/>
          <w:color w:val="FFFFFF"/>
        </w:rPr>
        <w:t>MEMBERS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Bryce Blair, CHAIR</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Gary E. Anderson</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 Ronald Blankenship</w:t>
      </w:r>
      <w:r>
        <w:rPr>
          <w:rFonts w:ascii="Arial" w:cs="Arial" w:eastAsia="Arial" w:hAnsi="Arial"/>
          <w:sz w:val="21"/>
          <w:szCs w:val="21"/>
          <w:b w:val="1"/>
          <w:bCs w:val="1"/>
          <w:color w:val="auto"/>
          <w:vertAlign w:val="superscript"/>
        </w:rPr>
        <w:t>(1)</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Thomas W. Furphy</w:t>
      </w:r>
    </w:p>
    <w:p>
      <w:pPr>
        <w:spacing w:after="0" w:line="68"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Lisa Palmer</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Mark J. Parrell</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James H. Simmons, III</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Martin E. Stein, Jr.</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The committee met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five times in 2025</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601"/>
        <w:spacing w:after="0"/>
        <w:rPr>
          <w:sz w:val="20"/>
          <w:szCs w:val="20"/>
          <w:color w:val="auto"/>
        </w:rPr>
      </w:pPr>
      <w:r>
        <w:rPr>
          <w:rFonts w:ascii="Arial" w:cs="Arial" w:eastAsia="Arial" w:hAnsi="Arial"/>
          <w:sz w:val="14"/>
          <w:szCs w:val="14"/>
          <w:color w:val="FFFFFF"/>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66675</wp:posOffset>
            </wp:positionV>
            <wp:extent cx="6960870" cy="18859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60870" cy="1885950"/>
                    </a:xfrm>
                    <a:prstGeom prst="rect">
                      <a:avLst/>
                    </a:prstGeom>
                    <a:noFill/>
                  </pic:spPr>
                </pic:pic>
              </a:graphicData>
            </a:graphic>
          </wp:anchor>
        </w:drawing>
      </w:r>
    </w:p>
    <w:p>
      <w:pPr>
        <w:spacing w:after="0" w:line="214" w:lineRule="exact"/>
        <w:rPr>
          <w:sz w:val="20"/>
          <w:szCs w:val="20"/>
          <w:color w:val="auto"/>
        </w:rPr>
      </w:pPr>
    </w:p>
    <w:p>
      <w:pPr>
        <w:ind w:left="221" w:right="300" w:hanging="221"/>
        <w:spacing w:after="0" w:line="271" w:lineRule="auto"/>
        <w:tabs>
          <w:tab w:leader="none" w:pos="221" w:val="left"/>
        </w:tabs>
        <w:numPr>
          <w:ilvl w:val="0"/>
          <w:numId w:val="59"/>
        </w:numPr>
        <w:rPr>
          <w:rFonts w:ascii="Wingdings" w:cs="Wingdings" w:eastAsia="Wingdings" w:hAnsi="Wingdings"/>
          <w:sz w:val="18"/>
          <w:szCs w:val="18"/>
          <w:b w:val="1"/>
          <w:bCs w:val="1"/>
          <w:color w:val="auto"/>
        </w:rPr>
      </w:pPr>
      <w:r>
        <w:rPr>
          <w:rFonts w:ascii="Arial" w:cs="Arial" w:eastAsia="Arial" w:hAnsi="Arial"/>
          <w:sz w:val="18"/>
          <w:szCs w:val="18"/>
          <w:color w:val="auto"/>
        </w:rPr>
        <w:t>Oversees and approves strategy relating to capital allocation and investment for acquisitions, redevelopments and new developments</w:t>
      </w:r>
    </w:p>
    <w:p>
      <w:pPr>
        <w:spacing w:after="0" w:line="59" w:lineRule="exact"/>
        <w:rPr>
          <w:rFonts w:ascii="Wingdings" w:cs="Wingdings" w:eastAsia="Wingdings" w:hAnsi="Wingdings"/>
          <w:sz w:val="18"/>
          <w:szCs w:val="18"/>
          <w:b w:val="1"/>
          <w:bCs w:val="1"/>
          <w:color w:val="auto"/>
        </w:rPr>
      </w:pPr>
    </w:p>
    <w:p>
      <w:pPr>
        <w:ind w:left="221" w:right="160" w:hanging="221"/>
        <w:spacing w:after="0" w:line="271" w:lineRule="auto"/>
        <w:tabs>
          <w:tab w:leader="none" w:pos="221" w:val="left"/>
        </w:tabs>
        <w:numPr>
          <w:ilvl w:val="0"/>
          <w:numId w:val="59"/>
        </w:numPr>
        <w:rPr>
          <w:rFonts w:ascii="Wingdings" w:cs="Wingdings" w:eastAsia="Wingdings" w:hAnsi="Wingdings"/>
          <w:sz w:val="18"/>
          <w:szCs w:val="18"/>
          <w:b w:val="1"/>
          <w:bCs w:val="1"/>
          <w:color w:val="auto"/>
        </w:rPr>
      </w:pPr>
      <w:r>
        <w:rPr>
          <w:rFonts w:ascii="Arial" w:cs="Arial" w:eastAsia="Arial" w:hAnsi="Arial"/>
          <w:sz w:val="18"/>
          <w:szCs w:val="18"/>
          <w:color w:val="auto"/>
        </w:rPr>
        <w:t>Approves investment guidelines for management, as well as any changes to such guidelines</w:t>
      </w:r>
    </w:p>
    <w:p>
      <w:pPr>
        <w:spacing w:after="0" w:line="59" w:lineRule="exact"/>
        <w:rPr>
          <w:rFonts w:ascii="Wingdings" w:cs="Wingdings" w:eastAsia="Wingdings" w:hAnsi="Wingdings"/>
          <w:sz w:val="18"/>
          <w:szCs w:val="18"/>
          <w:b w:val="1"/>
          <w:bCs w:val="1"/>
          <w:color w:val="auto"/>
        </w:rPr>
      </w:pPr>
    </w:p>
    <w:p>
      <w:pPr>
        <w:ind w:left="221" w:hanging="221"/>
        <w:spacing w:after="0"/>
        <w:tabs>
          <w:tab w:leader="none" w:pos="221" w:val="left"/>
        </w:tabs>
        <w:numPr>
          <w:ilvl w:val="0"/>
          <w:numId w:val="59"/>
        </w:numPr>
        <w:rPr>
          <w:rFonts w:ascii="Wingdings" w:cs="Wingdings" w:eastAsia="Wingdings" w:hAnsi="Wingdings"/>
          <w:sz w:val="18"/>
          <w:szCs w:val="18"/>
          <w:b w:val="1"/>
          <w:bCs w:val="1"/>
          <w:color w:val="auto"/>
        </w:rPr>
      </w:pPr>
      <w:r>
        <w:rPr>
          <w:rFonts w:ascii="Arial" w:cs="Arial" w:eastAsia="Arial" w:hAnsi="Arial"/>
          <w:sz w:val="18"/>
          <w:szCs w:val="18"/>
          <w:color w:val="auto"/>
        </w:rPr>
        <w:t>Oversees development, acquisition and disposition strategy and programs, and</w:t>
      </w:r>
    </w:p>
    <w:p>
      <w:pPr>
        <w:spacing w:after="0" w:line="117" w:lineRule="exact"/>
        <w:rPr>
          <w:rFonts w:ascii="Wingdings" w:cs="Wingdings" w:eastAsia="Wingdings" w:hAnsi="Wingdings"/>
          <w:sz w:val="18"/>
          <w:szCs w:val="18"/>
          <w:b w:val="1"/>
          <w:bCs w:val="1"/>
          <w:color w:val="auto"/>
        </w:rPr>
      </w:pPr>
    </w:p>
    <w:p>
      <w:pPr>
        <w:ind w:left="221" w:right="120" w:hanging="221"/>
        <w:spacing w:after="0" w:line="271" w:lineRule="auto"/>
        <w:tabs>
          <w:tab w:leader="none" w:pos="221" w:val="left"/>
        </w:tabs>
        <w:numPr>
          <w:ilvl w:val="0"/>
          <w:numId w:val="59"/>
        </w:numPr>
        <w:rPr>
          <w:rFonts w:ascii="Wingdings" w:cs="Wingdings" w:eastAsia="Wingdings" w:hAnsi="Wingdings"/>
          <w:sz w:val="18"/>
          <w:szCs w:val="18"/>
          <w:b w:val="1"/>
          <w:bCs w:val="1"/>
          <w:color w:val="auto"/>
        </w:rPr>
      </w:pPr>
      <w:r>
        <w:rPr>
          <w:rFonts w:ascii="Arial" w:cs="Arial" w:eastAsia="Arial" w:hAnsi="Arial"/>
          <w:sz w:val="18"/>
          <w:szCs w:val="18"/>
          <w:color w:val="auto"/>
        </w:rPr>
        <w:t>Reviews the financial performance of acquisitions, developments, redevelopments and other similar investments</w:t>
      </w:r>
    </w:p>
    <w:p>
      <w:pPr>
        <w:spacing w:after="0" w:line="835" w:lineRule="exact"/>
        <w:rPr>
          <w:sz w:val="20"/>
          <w:szCs w:val="20"/>
          <w:color w:val="auto"/>
        </w:rPr>
      </w:pPr>
    </w:p>
    <w:p>
      <w:pPr>
        <w:sectPr>
          <w:pgSz w:w="11900" w:h="16838" w:orient="portrait"/>
          <w:cols w:equalWidth="0" w:num="2">
            <w:col w:w="3459" w:space="720"/>
            <w:col w:w="6881"/>
          </w:cols>
          <w:pgMar w:left="320" w:top="482" w:right="519" w:bottom="1440" w:gutter="0" w:footer="0" w:header="0"/>
          <w:type w:val="continuous"/>
        </w:sectPr>
      </w:pPr>
    </w:p>
    <w:p>
      <w:pPr>
        <w:spacing w:after="0" w:line="14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(1) Mr. Blankenship will serve on the committee until he retires from the Board after the 2026 Annual Meeting.</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Executive Committee</w:t>
      </w:r>
    </w:p>
    <w:p>
      <w:pPr>
        <w:spacing w:after="0" w:line="72"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Under our CGGs, our Board has also established an Executive Committee, to be convened and meet when necessary or desirable to handle ministerial matters under applicable law and Nasdaq Stock Market listing requirements. The Executive Committee includes the Executive Chairman and any two other directors who qualify as independent and may be selected from time to time, as defined by the Nasdaq Stock Market listing requirements. If the Executive Chairman is unavailable, the President and Chief Executive Officer would serve in his place. This committee did not meet in 2025.</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Code of Business Conduct and Ethics</w:t>
      </w:r>
    </w:p>
    <w:p>
      <w:pPr>
        <w:spacing w:after="0" w:line="72"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Our Board, through delegation to its Nominating and Governance Committee, oversees the substance of and compliance with our code of business conduct and ethics for our directors, officers and employees. It is available on our website at https://investors.regencycenters.com.</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22</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060"/>
          </w:cols>
          <w:pgMar w:left="320" w:top="482" w:right="5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Related Party Transactions </w:t>
      </w:r>
      <w:r>
        <w:rPr>
          <w:rFonts w:ascii="Arial" w:cs="Arial" w:eastAsia="Arial" w:hAnsi="Arial"/>
          <w:sz w:val="19"/>
          <w:szCs w:val="19"/>
          <w:b w:val="1"/>
          <w:bCs w:val="1"/>
          <w:color w:val="E56D3D"/>
        </w:rPr>
        <w:t>|</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E56D3D"/>
        </w:rPr>
        <w:t>Related Party Transactions</w:t>
      </w:r>
    </w:p>
    <w:p>
      <w:pPr>
        <w:spacing w:after="0" w:line="251" w:lineRule="exact"/>
        <w:rPr>
          <w:sz w:val="20"/>
          <w:szCs w:val="20"/>
          <w:color w:val="auto"/>
        </w:rPr>
      </w:pPr>
    </w:p>
    <w:p>
      <w:pPr>
        <w:ind w:left="120" w:right="280"/>
        <w:spacing w:after="0" w:line="256" w:lineRule="auto"/>
        <w:rPr>
          <w:sz w:val="20"/>
          <w:szCs w:val="20"/>
          <w:color w:val="auto"/>
        </w:rPr>
      </w:pPr>
      <w:r>
        <w:rPr>
          <w:rFonts w:ascii="Arial" w:cs="Arial" w:eastAsia="Arial" w:hAnsi="Arial"/>
          <w:sz w:val="16"/>
          <w:szCs w:val="16"/>
          <w:color w:val="auto"/>
        </w:rPr>
        <w:t>Our Board has adopted written policies and procedures for the review and, if appropriate, approval of related party transactions by the Nominating and Governance Committee. Our policy defines a Related Party to include any director, executive officer or person owning more than five percent of the Company’s stock, any of their immediate family members and any entity with which any of the foregoing persons are employed or affiliated. A Related Party Transaction is defined as a transaction, arrangement or relationship in which the Company is a participant, if the amount involved exceeds $120,000 and a Related Party has or will have a direct or indirect material interest.</w:t>
      </w:r>
    </w:p>
    <w:p>
      <w:pPr>
        <w:spacing w:after="0" w:line="139"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6"/>
          <w:szCs w:val="16"/>
          <w:color w:val="auto"/>
        </w:rPr>
        <w:t>Related Party Transactions that are deemed immaterial under applicable disclosure requirements are generally deemed pre-approved under these written policies and procedures, including transactions with an entity with which a Regency director’s sole relationship is as a non-employee director and the total amount involved does not exceed 1% of the entity’s total annual revenues.</w:t>
      </w:r>
    </w:p>
    <w:p>
      <w:pPr>
        <w:spacing w:after="0" w:line="131"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Criteria for the Nominating and Governance Committee’s approval or ratification of a Related Party Transaction include, in addition to factors that the committee otherwise deems appropriate under the circumstances:</w:t>
      </w:r>
    </w:p>
    <w:p>
      <w:pPr>
        <w:spacing w:after="0" w:line="61" w:lineRule="exact"/>
        <w:rPr>
          <w:sz w:val="20"/>
          <w:szCs w:val="20"/>
          <w:color w:val="auto"/>
        </w:rPr>
      </w:pPr>
    </w:p>
    <w:p>
      <w:pPr>
        <w:ind w:left="660" w:hanging="220"/>
        <w:spacing w:after="0"/>
        <w:tabs>
          <w:tab w:leader="none" w:pos="660" w:val="left"/>
        </w:tabs>
        <w:numPr>
          <w:ilvl w:val="0"/>
          <w:numId w:val="60"/>
        </w:numPr>
        <w:rPr>
          <w:rFonts w:ascii="Wingdings" w:cs="Wingdings" w:eastAsia="Wingdings" w:hAnsi="Wingdings"/>
          <w:sz w:val="16"/>
          <w:szCs w:val="16"/>
          <w:b w:val="1"/>
          <w:bCs w:val="1"/>
          <w:color w:val="auto"/>
        </w:rPr>
      </w:pPr>
      <w:r>
        <w:rPr>
          <w:rFonts w:ascii="Arial" w:cs="Arial" w:eastAsia="Arial" w:hAnsi="Arial"/>
          <w:sz w:val="16"/>
          <w:szCs w:val="16"/>
          <w:color w:val="auto"/>
        </w:rPr>
        <w:t>whether the transaction is on terms no less favorable than terms generally available from an unaffiliated third party; and</w:t>
      </w:r>
    </w:p>
    <w:p>
      <w:pPr>
        <w:spacing w:after="0" w:line="126" w:lineRule="exact"/>
        <w:rPr>
          <w:rFonts w:ascii="Wingdings" w:cs="Wingdings" w:eastAsia="Wingdings" w:hAnsi="Wingdings"/>
          <w:sz w:val="16"/>
          <w:szCs w:val="16"/>
          <w:b w:val="1"/>
          <w:bCs w:val="1"/>
          <w:color w:val="auto"/>
        </w:rPr>
      </w:pPr>
    </w:p>
    <w:p>
      <w:pPr>
        <w:ind w:left="660" w:right="240" w:hanging="220"/>
        <w:spacing w:after="0" w:line="266" w:lineRule="auto"/>
        <w:tabs>
          <w:tab w:leader="none" w:pos="660" w:val="left"/>
        </w:tabs>
        <w:numPr>
          <w:ilvl w:val="0"/>
          <w:numId w:val="60"/>
        </w:numPr>
        <w:rPr>
          <w:rFonts w:ascii="Wingdings" w:cs="Wingdings" w:eastAsia="Wingdings" w:hAnsi="Wingdings"/>
          <w:sz w:val="16"/>
          <w:szCs w:val="16"/>
          <w:b w:val="1"/>
          <w:bCs w:val="1"/>
          <w:color w:val="auto"/>
        </w:rPr>
      </w:pPr>
      <w:r>
        <w:rPr>
          <w:rFonts w:ascii="Arial" w:cs="Arial" w:eastAsia="Arial" w:hAnsi="Arial"/>
          <w:sz w:val="16"/>
          <w:szCs w:val="16"/>
          <w:color w:val="auto"/>
        </w:rPr>
        <w:t>in the case of a non-employee director, whether the transaction would disqualify the director from (1) being deemed independent under Nasdaq Stock Market listing requirements or (2) from serving on the Audit Committee, Compensation Committee or Nominating and Governance Committee under Nasdaq Stock Market and other regulatory requirements.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2025 there were no related party transactions required to be disclosed under SEC rules.</w:t>
      </w:r>
    </w:p>
    <w:p>
      <w:pPr>
        <w:spacing w:after="0" w:line="149"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23</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Compensation of Directors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E56D3D"/>
        </w:rPr>
        <w:t>Compensation of Directors</w:t>
      </w:r>
    </w:p>
    <w:p>
      <w:pPr>
        <w:spacing w:after="0" w:line="211" w:lineRule="exact"/>
        <w:rPr>
          <w:sz w:val="20"/>
          <w:szCs w:val="20"/>
          <w:color w:val="auto"/>
        </w:rPr>
      </w:pPr>
    </w:p>
    <w:p>
      <w:pPr>
        <w:ind w:left="120" w:right="520"/>
        <w:spacing w:after="0" w:line="286" w:lineRule="auto"/>
        <w:rPr>
          <w:sz w:val="20"/>
          <w:szCs w:val="20"/>
          <w:color w:val="auto"/>
        </w:rPr>
      </w:pPr>
      <w:r>
        <w:rPr>
          <w:rFonts w:ascii="Arial" w:cs="Arial" w:eastAsia="Arial" w:hAnsi="Arial"/>
          <w:sz w:val="16"/>
          <w:szCs w:val="16"/>
          <w:color w:val="auto"/>
        </w:rPr>
        <w:t>Non-employee directors are compensated for their service on our Board as shown below. Directors who are employees of the Company receive no additional compensation for serving as directors.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Elements of 2025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8880" w:type="dxa"/>
            <w:vAlign w:val="bottom"/>
          </w:tcPr>
          <w:p>
            <w:pPr>
              <w:ind w:left="60"/>
              <w:spacing w:after="0"/>
              <w:rPr>
                <w:sz w:val="20"/>
                <w:szCs w:val="20"/>
                <w:color w:val="auto"/>
              </w:rPr>
            </w:pPr>
            <w:r>
              <w:rPr>
                <w:rFonts w:ascii="Arial" w:cs="Arial" w:eastAsia="Arial" w:hAnsi="Arial"/>
                <w:sz w:val="14"/>
                <w:szCs w:val="14"/>
                <w:color w:val="auto"/>
              </w:rPr>
              <w:t>Annual cash retainer:</w:t>
            </w:r>
          </w:p>
        </w:tc>
        <w:tc>
          <w:tcPr>
            <w:tcW w:w="2140" w:type="dxa"/>
            <w:vAlign w:val="bottom"/>
          </w:tcPr>
          <w:p>
            <w:pPr>
              <w:jc w:val="right"/>
              <w:ind w:right="48"/>
              <w:spacing w:after="0"/>
              <w:rPr>
                <w:sz w:val="20"/>
                <w:szCs w:val="20"/>
                <w:color w:val="auto"/>
              </w:rPr>
            </w:pPr>
            <w:r>
              <w:rPr>
                <w:rFonts w:ascii="Arial" w:cs="Arial" w:eastAsia="Arial" w:hAnsi="Arial"/>
                <w:sz w:val="14"/>
                <w:szCs w:val="14"/>
                <w:color w:val="auto"/>
              </w:rPr>
              <w:t>$75,000</w:t>
            </w:r>
          </w:p>
        </w:tc>
      </w:tr>
      <w:tr>
        <w:trPr>
          <w:trHeight w:val="22"/>
        </w:trPr>
        <w:tc>
          <w:tcPr>
            <w:tcW w:w="8880" w:type="dxa"/>
            <w:vAlign w:val="bottom"/>
            <w:tcBorders>
              <w:bottom w:val="single" w:sz="8" w:color="B2B2B2"/>
            </w:tcBorders>
          </w:tcPr>
          <w:p>
            <w:pPr>
              <w:spacing w:after="0" w:line="20" w:lineRule="exact"/>
              <w:rPr>
                <w:sz w:val="1"/>
                <w:szCs w:val="1"/>
                <w:color w:val="auto"/>
              </w:rPr>
            </w:pPr>
          </w:p>
        </w:tc>
        <w:tc>
          <w:tcPr>
            <w:tcW w:w="2140" w:type="dxa"/>
            <w:vAlign w:val="bottom"/>
            <w:tcBorders>
              <w:bottom w:val="single" w:sz="8" w:color="B2B2B2"/>
            </w:tcBorders>
          </w:tcPr>
          <w:p>
            <w:pPr>
              <w:spacing w:after="0" w:line="20" w:lineRule="exact"/>
              <w:rPr>
                <w:sz w:val="1"/>
                <w:szCs w:val="1"/>
                <w:color w:val="auto"/>
              </w:rPr>
            </w:pPr>
          </w:p>
        </w:tc>
      </w:tr>
      <w:tr>
        <w:trPr>
          <w:trHeight w:val="228"/>
        </w:trPr>
        <w:tc>
          <w:tcPr>
            <w:tcW w:w="8880" w:type="dxa"/>
            <w:vAlign w:val="bottom"/>
          </w:tcPr>
          <w:p>
            <w:pPr>
              <w:ind w:left="60"/>
              <w:spacing w:after="0"/>
              <w:rPr>
                <w:sz w:val="20"/>
                <w:szCs w:val="20"/>
                <w:color w:val="auto"/>
              </w:rPr>
            </w:pPr>
            <w:r>
              <w:rPr>
                <w:rFonts w:ascii="Arial" w:cs="Arial" w:eastAsia="Arial" w:hAnsi="Arial"/>
                <w:sz w:val="14"/>
                <w:szCs w:val="14"/>
                <w:color w:val="auto"/>
              </w:rPr>
              <w:t>Additional annual cash retainer for:</w:t>
            </w:r>
          </w:p>
        </w:tc>
        <w:tc>
          <w:tcPr>
            <w:tcW w:w="2140" w:type="dxa"/>
            <w:vAlign w:val="bottom"/>
          </w:tcPr>
          <w:p>
            <w:pPr>
              <w:spacing w:after="0"/>
              <w:rPr>
                <w:sz w:val="19"/>
                <w:szCs w:val="19"/>
                <w:color w:val="auto"/>
              </w:rPr>
            </w:pPr>
          </w:p>
        </w:tc>
      </w:tr>
      <w:tr>
        <w:trPr>
          <w:trHeight w:val="22"/>
        </w:trPr>
        <w:tc>
          <w:tcPr>
            <w:tcW w:w="8880" w:type="dxa"/>
            <w:vAlign w:val="bottom"/>
            <w:tcBorders>
              <w:bottom w:val="single" w:sz="8" w:color="B2B2B2"/>
            </w:tcBorders>
          </w:tcPr>
          <w:p>
            <w:pPr>
              <w:spacing w:after="0" w:line="20" w:lineRule="exact"/>
              <w:rPr>
                <w:sz w:val="1"/>
                <w:szCs w:val="1"/>
                <w:color w:val="auto"/>
              </w:rPr>
            </w:pPr>
          </w:p>
        </w:tc>
        <w:tc>
          <w:tcPr>
            <w:tcW w:w="2140" w:type="dxa"/>
            <w:vAlign w:val="bottom"/>
            <w:tcBorders>
              <w:bottom w:val="single" w:sz="8" w:color="B2B2B2"/>
            </w:tcBorders>
          </w:tcPr>
          <w:p>
            <w:pPr>
              <w:spacing w:after="0" w:line="20" w:lineRule="exact"/>
              <w:rPr>
                <w:sz w:val="1"/>
                <w:szCs w:val="1"/>
                <w:color w:val="auto"/>
              </w:rPr>
            </w:pPr>
          </w:p>
        </w:tc>
      </w:tr>
      <w:tr>
        <w:trPr>
          <w:trHeight w:val="233"/>
        </w:trPr>
        <w:tc>
          <w:tcPr>
            <w:tcW w:w="888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Lead Director</w:t>
            </w:r>
          </w:p>
        </w:tc>
        <w:tc>
          <w:tcPr>
            <w:tcW w:w="21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$35,000</w:t>
            </w:r>
          </w:p>
        </w:tc>
      </w:tr>
      <w:tr>
        <w:trPr>
          <w:trHeight w:val="237"/>
        </w:trPr>
        <w:tc>
          <w:tcPr>
            <w:tcW w:w="888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Chair of Audit Committee and Chair of Investment Committee</w:t>
            </w:r>
          </w:p>
        </w:tc>
        <w:tc>
          <w:tcPr>
            <w:tcW w:w="21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$20,000</w:t>
            </w:r>
          </w:p>
        </w:tc>
      </w:tr>
      <w:tr>
        <w:trPr>
          <w:trHeight w:val="237"/>
        </w:trPr>
        <w:tc>
          <w:tcPr>
            <w:tcW w:w="888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Chair of Compensation Committee and Chair of Nominating and Governance Committee</w:t>
            </w:r>
          </w:p>
        </w:tc>
        <w:tc>
          <w:tcPr>
            <w:tcW w:w="21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$15,000</w:t>
            </w:r>
          </w:p>
        </w:tc>
      </w:tr>
      <w:tr>
        <w:trPr>
          <w:trHeight w:val="237"/>
        </w:trPr>
        <w:tc>
          <w:tcPr>
            <w:tcW w:w="888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Members of Audit Committee and members of Investment Committee (except Chairs)</w:t>
            </w:r>
          </w:p>
        </w:tc>
        <w:tc>
          <w:tcPr>
            <w:tcW w:w="21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$15,000</w:t>
            </w:r>
          </w:p>
        </w:tc>
      </w:tr>
      <w:tr>
        <w:trPr>
          <w:trHeight w:val="236"/>
        </w:trPr>
        <w:tc>
          <w:tcPr>
            <w:tcW w:w="888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Members of Compensation Committee and members of Nominating and Governance Committee (except Chairs)</w:t>
            </w:r>
          </w:p>
        </w:tc>
        <w:tc>
          <w:tcPr>
            <w:tcW w:w="21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$10,000</w:t>
            </w:r>
          </w:p>
        </w:tc>
      </w:tr>
      <w:tr>
        <w:trPr>
          <w:trHeight w:val="237"/>
        </w:trPr>
        <w:tc>
          <w:tcPr>
            <w:tcW w:w="88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Annual restricted stock award</w:t>
            </w:r>
          </w:p>
        </w:tc>
        <w:tc>
          <w:tcPr>
            <w:tcW w:w="21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$125,000</w:t>
            </w:r>
          </w:p>
        </w:tc>
      </w:tr>
      <w:tr>
        <w:trPr>
          <w:trHeight w:val="233"/>
        </w:trPr>
        <w:tc>
          <w:tcPr>
            <w:tcW w:w="8880" w:type="dxa"/>
            <w:vAlign w:val="bottom"/>
          </w:tcPr>
          <w:p>
            <w:pPr>
              <w:ind w:left="60"/>
              <w:spacing w:after="0"/>
              <w:rPr>
                <w:sz w:val="20"/>
                <w:szCs w:val="20"/>
                <w:color w:val="auto"/>
              </w:rPr>
            </w:pPr>
            <w:r>
              <w:rPr>
                <w:rFonts w:ascii="Arial" w:cs="Arial" w:eastAsia="Arial" w:hAnsi="Arial"/>
                <w:sz w:val="14"/>
                <w:szCs w:val="14"/>
                <w:color w:val="auto"/>
              </w:rPr>
              <w:t>Additional restricted stock award for Lead Director</w:t>
            </w:r>
          </w:p>
        </w:tc>
        <w:tc>
          <w:tcPr>
            <w:tcW w:w="2140" w:type="dxa"/>
            <w:vAlign w:val="bottom"/>
          </w:tcPr>
          <w:p>
            <w:pPr>
              <w:jc w:val="right"/>
              <w:ind w:right="48"/>
              <w:spacing w:after="0"/>
              <w:rPr>
                <w:sz w:val="20"/>
                <w:szCs w:val="20"/>
                <w:color w:val="auto"/>
              </w:rPr>
            </w:pPr>
            <w:r>
              <w:rPr>
                <w:rFonts w:ascii="Arial" w:cs="Arial" w:eastAsia="Arial" w:hAnsi="Arial"/>
                <w:sz w:val="14"/>
                <w:szCs w:val="14"/>
                <w:color w:val="auto"/>
              </w:rPr>
              <w:t>$10,000</w:t>
            </w:r>
          </w:p>
        </w:tc>
      </w:tr>
      <w:tr>
        <w:trPr>
          <w:trHeight w:val="35"/>
        </w:trPr>
        <w:tc>
          <w:tcPr>
            <w:tcW w:w="8880" w:type="dxa"/>
            <w:vAlign w:val="bottom"/>
            <w:tcBorders>
              <w:bottom w:val="single" w:sz="8" w:color="E56D3D"/>
            </w:tcBorders>
          </w:tcPr>
          <w:p>
            <w:pPr>
              <w:spacing w:after="0"/>
              <w:rPr>
                <w:sz w:val="3"/>
                <w:szCs w:val="3"/>
                <w:color w:val="auto"/>
              </w:rPr>
            </w:pPr>
          </w:p>
        </w:tc>
        <w:tc>
          <w:tcPr>
            <w:tcW w:w="2140" w:type="dxa"/>
            <w:vAlign w:val="bottom"/>
            <w:tcBorders>
              <w:bottom w:val="single" w:sz="8" w:color="E56D3D"/>
            </w:tcBorders>
          </w:tcPr>
          <w:p>
            <w:pPr>
              <w:spacing w:after="0"/>
              <w:rPr>
                <w:sz w:val="3"/>
                <w:szCs w:val="3"/>
                <w:color w:val="auto"/>
              </w:rPr>
            </w:pPr>
          </w:p>
        </w:tc>
      </w:tr>
    </w:tbl>
    <w:p>
      <w:pPr>
        <w:spacing w:after="0" w:line="161"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We pay director retainers quarterly, in cash or, at the election of each director, in shares of our common stock issued under our Omnibus Incentive Plan, which are valued based on the average closing price of our common stock during the quarter in which the fees are earned. Directors may also defer their retainers and annual restricted stock awards, at their election, under our non-qualified deferred compensation plan. We grant director restricted stock awards immediately following each annual meeting of shareholders. Stock rights vest 100% on the first anniversary date of grant.</w:t>
      </w:r>
    </w:p>
    <w:p>
      <w:pPr>
        <w:spacing w:after="0" w:line="151"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Non-employee director compensation has not changed since 2022. After consultation and review by the Compensation Committee with Semler Brossy, the committee’s independent compensation consultant, in February of 2026 the Compensation Committee recommended to the board an increase in the annual equity retainers payable under our director compensation. No changes were recommended to the annual cash retainers. The annual equity retainer for each director, payable as restricted stock, was recommended to be increased to $170,000, and the additional annual equity retainer for the Lead Director, payable as restricted stock, was recommended to be increased to $15,000. The Board accepted and approved these recommendations effective January 1, 2026.</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NON-EMPLOYEE DIRECTOR COMPENSATION FOR 2025</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400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E56D3D"/>
              </w:rPr>
              <w:t>Name</w:t>
            </w:r>
          </w:p>
        </w:tc>
        <w:tc>
          <w:tcPr>
            <w:tcW w:w="464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E56D3D"/>
              </w:rPr>
              <w:t>Fees Earned or Paid in Cash</w:t>
            </w:r>
            <w:r>
              <w:rPr>
                <w:rFonts w:ascii="Arial" w:cs="Arial" w:eastAsia="Arial" w:hAnsi="Arial"/>
                <w:sz w:val="21"/>
                <w:szCs w:val="21"/>
                <w:b w:val="1"/>
                <w:bCs w:val="1"/>
                <w:color w:val="E56D3D"/>
                <w:vertAlign w:val="superscript"/>
              </w:rPr>
              <w:t>(1)</w:t>
            </w:r>
          </w:p>
        </w:tc>
        <w:tc>
          <w:tcPr>
            <w:tcW w:w="1500" w:type="dxa"/>
            <w:vAlign w:val="bottom"/>
            <w:tcBorders>
              <w:bottom w:val="single" w:sz="8" w:color="E56D3D"/>
            </w:tcBorders>
          </w:tcPr>
          <w:p>
            <w:pPr>
              <w:jc w:val="right"/>
              <w:ind w:right="108"/>
              <w:spacing w:after="0"/>
              <w:rPr>
                <w:sz w:val="20"/>
                <w:szCs w:val="20"/>
                <w:color w:val="auto"/>
              </w:rPr>
            </w:pPr>
            <w:r>
              <w:rPr>
                <w:rFonts w:ascii="Arial" w:cs="Arial" w:eastAsia="Arial" w:hAnsi="Arial"/>
                <w:sz w:val="14"/>
                <w:szCs w:val="14"/>
                <w:b w:val="1"/>
                <w:bCs w:val="1"/>
                <w:color w:val="E56D3D"/>
              </w:rPr>
              <w:t>Stock Awards</w:t>
            </w:r>
            <w:r>
              <w:rPr>
                <w:rFonts w:ascii="Arial" w:cs="Arial" w:eastAsia="Arial" w:hAnsi="Arial"/>
                <w:sz w:val="21"/>
                <w:szCs w:val="21"/>
                <w:b w:val="1"/>
                <w:bCs w:val="1"/>
                <w:color w:val="E56D3D"/>
                <w:vertAlign w:val="superscript"/>
              </w:rPr>
              <w:t>(2)(3)</w:t>
            </w:r>
          </w:p>
        </w:tc>
        <w:tc>
          <w:tcPr>
            <w:tcW w:w="880" w:type="dxa"/>
            <w:vAlign w:val="bottom"/>
            <w:tcBorders>
              <w:bottom w:val="single" w:sz="8" w:color="E56D3D"/>
            </w:tcBorders>
          </w:tcPr>
          <w:p>
            <w:pPr>
              <w:jc w:val="right"/>
              <w:ind w:right="28"/>
              <w:spacing w:after="0"/>
              <w:rPr>
                <w:sz w:val="20"/>
                <w:szCs w:val="20"/>
                <w:color w:val="auto"/>
              </w:rPr>
            </w:pPr>
            <w:r>
              <w:rPr>
                <w:rFonts w:ascii="Arial" w:cs="Arial" w:eastAsia="Arial" w:hAnsi="Arial"/>
                <w:sz w:val="14"/>
                <w:szCs w:val="14"/>
                <w:b w:val="1"/>
                <w:bCs w:val="1"/>
                <w:color w:val="E56D3D"/>
              </w:rPr>
              <w:t>Total</w:t>
            </w:r>
          </w:p>
        </w:tc>
      </w:tr>
      <w:tr>
        <w:trPr>
          <w:trHeight w:val="233"/>
        </w:trPr>
        <w:tc>
          <w:tcPr>
            <w:tcW w:w="40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Gary E. Anderson</w:t>
            </w:r>
          </w:p>
        </w:tc>
        <w:tc>
          <w:tcPr>
            <w:tcW w:w="46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$100,000</w:t>
            </w:r>
          </w:p>
        </w:tc>
        <w:tc>
          <w:tcPr>
            <w:tcW w:w="150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$125,009</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$225,009</w:t>
            </w:r>
          </w:p>
        </w:tc>
      </w:tr>
      <w:tr>
        <w:trPr>
          <w:trHeight w:val="236"/>
        </w:trPr>
        <w:tc>
          <w:tcPr>
            <w:tcW w:w="40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Bryce Blair</w:t>
            </w:r>
          </w:p>
        </w:tc>
        <w:tc>
          <w:tcPr>
            <w:tcW w:w="46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$120,000</w:t>
            </w:r>
          </w:p>
        </w:tc>
        <w:tc>
          <w:tcPr>
            <w:tcW w:w="150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$125,009</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$245,009</w:t>
            </w:r>
          </w:p>
        </w:tc>
      </w:tr>
      <w:tr>
        <w:trPr>
          <w:trHeight w:val="237"/>
        </w:trPr>
        <w:tc>
          <w:tcPr>
            <w:tcW w:w="40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C. Ronald Blankenship</w:t>
            </w:r>
          </w:p>
        </w:tc>
        <w:tc>
          <w:tcPr>
            <w:tcW w:w="46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$136,745</w:t>
            </w:r>
          </w:p>
        </w:tc>
        <w:tc>
          <w:tcPr>
            <w:tcW w:w="150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$135,019</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$271,764</w:t>
            </w:r>
          </w:p>
        </w:tc>
      </w:tr>
      <w:tr>
        <w:trPr>
          <w:trHeight w:val="237"/>
        </w:trPr>
        <w:tc>
          <w:tcPr>
            <w:tcW w:w="40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Kristin A. Campbell</w:t>
            </w:r>
          </w:p>
        </w:tc>
        <w:tc>
          <w:tcPr>
            <w:tcW w:w="46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$104,766</w:t>
            </w:r>
          </w:p>
        </w:tc>
        <w:tc>
          <w:tcPr>
            <w:tcW w:w="150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$125,009</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$229,775</w:t>
            </w:r>
          </w:p>
        </w:tc>
      </w:tr>
      <w:tr>
        <w:trPr>
          <w:trHeight w:val="236"/>
        </w:trPr>
        <w:tc>
          <w:tcPr>
            <w:tcW w:w="40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Deirdre J. Evens</w:t>
            </w:r>
          </w:p>
        </w:tc>
        <w:tc>
          <w:tcPr>
            <w:tcW w:w="46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$115,000</w:t>
            </w:r>
          </w:p>
        </w:tc>
        <w:tc>
          <w:tcPr>
            <w:tcW w:w="150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$125,009</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$240,009</w:t>
            </w:r>
          </w:p>
        </w:tc>
      </w:tr>
      <w:tr>
        <w:trPr>
          <w:trHeight w:val="237"/>
        </w:trPr>
        <w:tc>
          <w:tcPr>
            <w:tcW w:w="40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Thomas W. Furphy</w:t>
            </w:r>
          </w:p>
        </w:tc>
        <w:tc>
          <w:tcPr>
            <w:tcW w:w="46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$105,000</w:t>
            </w:r>
          </w:p>
        </w:tc>
        <w:tc>
          <w:tcPr>
            <w:tcW w:w="150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$125,009</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$230,009</w:t>
            </w:r>
          </w:p>
        </w:tc>
      </w:tr>
      <w:tr>
        <w:trPr>
          <w:trHeight w:val="236"/>
        </w:trPr>
        <w:tc>
          <w:tcPr>
            <w:tcW w:w="40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Karin M. Klein</w:t>
            </w:r>
          </w:p>
        </w:tc>
        <w:tc>
          <w:tcPr>
            <w:tcW w:w="46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$120,000</w:t>
            </w:r>
          </w:p>
        </w:tc>
        <w:tc>
          <w:tcPr>
            <w:tcW w:w="150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$125,009</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$245,009</w:t>
            </w:r>
          </w:p>
        </w:tc>
      </w:tr>
      <w:tr>
        <w:trPr>
          <w:trHeight w:val="237"/>
        </w:trPr>
        <w:tc>
          <w:tcPr>
            <w:tcW w:w="40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Peter D. Linneman</w:t>
            </w:r>
          </w:p>
        </w:tc>
        <w:tc>
          <w:tcPr>
            <w:tcW w:w="46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$100,000</w:t>
            </w:r>
          </w:p>
        </w:tc>
        <w:tc>
          <w:tcPr>
            <w:tcW w:w="150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$125,009</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$225,009</w:t>
            </w:r>
          </w:p>
        </w:tc>
      </w:tr>
      <w:tr>
        <w:trPr>
          <w:trHeight w:val="240"/>
        </w:trPr>
        <w:tc>
          <w:tcPr>
            <w:tcW w:w="40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David P. O’Connor</w:t>
            </w:r>
            <w:r>
              <w:rPr>
                <w:rFonts w:ascii="Arial" w:cs="Arial" w:eastAsia="Arial" w:hAnsi="Arial"/>
                <w:sz w:val="21"/>
                <w:szCs w:val="21"/>
                <w:color w:val="auto"/>
                <w:vertAlign w:val="superscript"/>
              </w:rPr>
              <w:t>(4)</w:t>
            </w:r>
          </w:p>
        </w:tc>
        <w:tc>
          <w:tcPr>
            <w:tcW w:w="46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$52,734</w:t>
            </w:r>
          </w:p>
        </w:tc>
        <w:tc>
          <w:tcPr>
            <w:tcW w:w="150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$52,734</w:t>
            </w:r>
          </w:p>
        </w:tc>
      </w:tr>
      <w:tr>
        <w:trPr>
          <w:trHeight w:val="233"/>
        </w:trPr>
        <w:tc>
          <w:tcPr>
            <w:tcW w:w="4000" w:type="dxa"/>
            <w:vAlign w:val="bottom"/>
            <w:tcBorders>
              <w:bottom w:val="single" w:sz="8" w:color="E56D3D"/>
            </w:tcBorders>
          </w:tcPr>
          <w:p>
            <w:pPr>
              <w:ind w:left="60"/>
              <w:spacing w:after="0"/>
              <w:rPr>
                <w:sz w:val="20"/>
                <w:szCs w:val="20"/>
                <w:color w:val="auto"/>
              </w:rPr>
            </w:pPr>
            <w:r>
              <w:rPr>
                <w:rFonts w:ascii="Arial" w:cs="Arial" w:eastAsia="Arial" w:hAnsi="Arial"/>
                <w:sz w:val="14"/>
                <w:szCs w:val="14"/>
                <w:color w:val="auto"/>
              </w:rPr>
              <w:t>James H. Simmons, III</w:t>
            </w:r>
          </w:p>
        </w:tc>
        <w:tc>
          <w:tcPr>
            <w:tcW w:w="464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color w:val="auto"/>
              </w:rPr>
              <w:t>$105,000</w:t>
            </w:r>
          </w:p>
        </w:tc>
        <w:tc>
          <w:tcPr>
            <w:tcW w:w="1500" w:type="dxa"/>
            <w:vAlign w:val="bottom"/>
            <w:tcBorders>
              <w:bottom w:val="single" w:sz="8" w:color="E56D3D"/>
            </w:tcBorders>
          </w:tcPr>
          <w:p>
            <w:pPr>
              <w:jc w:val="right"/>
              <w:ind w:right="108"/>
              <w:spacing w:after="0"/>
              <w:rPr>
                <w:sz w:val="20"/>
                <w:szCs w:val="20"/>
                <w:color w:val="auto"/>
              </w:rPr>
            </w:pPr>
            <w:r>
              <w:rPr>
                <w:rFonts w:ascii="Arial" w:cs="Arial" w:eastAsia="Arial" w:hAnsi="Arial"/>
                <w:sz w:val="14"/>
                <w:szCs w:val="14"/>
                <w:color w:val="auto"/>
              </w:rPr>
              <w:t>$125,009</w:t>
            </w:r>
          </w:p>
        </w:tc>
        <w:tc>
          <w:tcPr>
            <w:tcW w:w="880" w:type="dxa"/>
            <w:vAlign w:val="bottom"/>
            <w:tcBorders>
              <w:bottom w:val="single" w:sz="8" w:color="E56D3D"/>
            </w:tcBorders>
          </w:tcPr>
          <w:p>
            <w:pPr>
              <w:jc w:val="right"/>
              <w:ind w:right="28"/>
              <w:spacing w:after="0"/>
              <w:rPr>
                <w:sz w:val="20"/>
                <w:szCs w:val="20"/>
                <w:color w:val="auto"/>
              </w:rPr>
            </w:pPr>
            <w:r>
              <w:rPr>
                <w:rFonts w:ascii="Arial" w:cs="Arial" w:eastAsia="Arial" w:hAnsi="Arial"/>
                <w:sz w:val="14"/>
                <w:szCs w:val="14"/>
                <w:color w:val="auto"/>
              </w:rPr>
              <w:t>$230,009</w:t>
            </w:r>
          </w:p>
        </w:tc>
      </w:tr>
    </w:tbl>
    <w:p>
      <w:pPr>
        <w:spacing w:after="0" w:line="9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(1) In 2025, the following directors elected to receive certain of their directors’ fees in the form of shares of our common stock in lieu of cash:</w:t>
      </w:r>
    </w:p>
    <w:p>
      <w:pPr>
        <w:spacing w:after="0" w:line="67" w:lineRule="exact"/>
        <w:rPr>
          <w:sz w:val="20"/>
          <w:szCs w:val="20"/>
          <w:color w:val="auto"/>
        </w:rPr>
      </w:pPr>
    </w:p>
    <w:tbl>
      <w:tblPr>
        <w:tblLayout w:type="fixed"/>
        <w:tblInd w:w="180" w:type="dxa"/>
        <w:tblCellMar>
          <w:top w:w="0" w:type="dxa"/>
          <w:left w:w="0" w:type="dxa"/>
          <w:bottom w:w="0" w:type="dxa"/>
          <w:right w:w="0" w:type="dxa"/>
        </w:tblCellMar>
      </w:tblPr>
      <w:tr>
        <w:trPr>
          <w:trHeight w:val="153"/>
        </w:trPr>
        <w:tc>
          <w:tcPr>
            <w:tcW w:w="140" w:type="dxa"/>
            <w:vAlign w:val="bottom"/>
          </w:tcPr>
          <w:p>
            <w:pPr>
              <w:spacing w:after="0"/>
              <w:rPr>
                <w:sz w:val="13"/>
                <w:szCs w:val="13"/>
                <w:color w:val="auto"/>
              </w:rPr>
            </w:pPr>
          </w:p>
        </w:tc>
        <w:tc>
          <w:tcPr>
            <w:tcW w:w="2580" w:type="dxa"/>
            <w:vAlign w:val="bottom"/>
            <w:tcBorders>
              <w:bottom w:val="single" w:sz="8" w:color="6A6E6F"/>
            </w:tcBorders>
          </w:tcPr>
          <w:p>
            <w:pPr>
              <w:spacing w:after="0"/>
              <w:rPr>
                <w:sz w:val="20"/>
                <w:szCs w:val="20"/>
                <w:color w:val="auto"/>
              </w:rPr>
            </w:pPr>
            <w:r>
              <w:rPr>
                <w:rFonts w:ascii="Arial" w:cs="Arial" w:eastAsia="Arial" w:hAnsi="Arial"/>
                <w:sz w:val="13"/>
                <w:szCs w:val="13"/>
                <w:b w:val="1"/>
                <w:bCs w:val="1"/>
                <w:color w:val="6A6E6F"/>
              </w:rPr>
              <w:t>Name</w:t>
            </w:r>
          </w:p>
        </w:tc>
        <w:tc>
          <w:tcPr>
            <w:tcW w:w="3820" w:type="dxa"/>
            <w:vAlign w:val="bottom"/>
            <w:tcBorders>
              <w:bottom w:val="single" w:sz="8" w:color="6A6E6F"/>
            </w:tcBorders>
          </w:tcPr>
          <w:p>
            <w:pPr>
              <w:jc w:val="right"/>
              <w:spacing w:after="0"/>
              <w:rPr>
                <w:sz w:val="20"/>
                <w:szCs w:val="20"/>
                <w:color w:val="auto"/>
              </w:rPr>
            </w:pPr>
            <w:r>
              <w:rPr>
                <w:rFonts w:ascii="Arial" w:cs="Arial" w:eastAsia="Arial" w:hAnsi="Arial"/>
                <w:sz w:val="13"/>
                <w:szCs w:val="13"/>
                <w:b w:val="1"/>
                <w:bCs w:val="1"/>
                <w:color w:val="6A6E6F"/>
              </w:rPr>
              <w:t>Number of Shares Issued In Lieu of Cash</w:t>
            </w:r>
          </w:p>
        </w:tc>
      </w:tr>
      <w:tr>
        <w:trPr>
          <w:trHeight w:val="223"/>
        </w:trPr>
        <w:tc>
          <w:tcPr>
            <w:tcW w:w="14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C. Ronald Blankenship</w:t>
            </w:r>
          </w:p>
        </w:tc>
        <w:tc>
          <w:tcPr>
            <w:tcW w:w="3820" w:type="dxa"/>
            <w:vAlign w:val="bottom"/>
          </w:tcPr>
          <w:p>
            <w:pPr>
              <w:jc w:val="right"/>
              <w:spacing w:after="0"/>
              <w:rPr>
                <w:sz w:val="20"/>
                <w:szCs w:val="20"/>
                <w:color w:val="auto"/>
              </w:rPr>
            </w:pPr>
            <w:r>
              <w:rPr>
                <w:rFonts w:ascii="Arial" w:cs="Arial" w:eastAsia="Arial" w:hAnsi="Arial"/>
                <w:sz w:val="13"/>
                <w:szCs w:val="13"/>
                <w:color w:val="auto"/>
              </w:rPr>
              <w:t>1,914</w:t>
            </w:r>
          </w:p>
        </w:tc>
      </w:tr>
      <w:tr>
        <w:trPr>
          <w:trHeight w:val="27"/>
        </w:trPr>
        <w:tc>
          <w:tcPr>
            <w:tcW w:w="140" w:type="dxa"/>
            <w:vAlign w:val="bottom"/>
          </w:tcPr>
          <w:p>
            <w:pPr>
              <w:spacing w:after="0"/>
              <w:rPr>
                <w:sz w:val="2"/>
                <w:szCs w:val="2"/>
                <w:color w:val="auto"/>
              </w:rPr>
            </w:pPr>
          </w:p>
        </w:tc>
        <w:tc>
          <w:tcPr>
            <w:tcW w:w="2580" w:type="dxa"/>
            <w:vAlign w:val="bottom"/>
            <w:tcBorders>
              <w:bottom w:val="single" w:sz="8" w:color="B2B2B2"/>
            </w:tcBorders>
          </w:tcPr>
          <w:p>
            <w:pPr>
              <w:spacing w:after="0"/>
              <w:rPr>
                <w:sz w:val="2"/>
                <w:szCs w:val="2"/>
                <w:color w:val="auto"/>
              </w:rPr>
            </w:pPr>
          </w:p>
        </w:tc>
        <w:tc>
          <w:tcPr>
            <w:tcW w:w="3820" w:type="dxa"/>
            <w:vAlign w:val="bottom"/>
            <w:tcBorders>
              <w:bottom w:val="single" w:sz="8" w:color="B2B2B2"/>
            </w:tcBorders>
          </w:tcPr>
          <w:p>
            <w:pPr>
              <w:spacing w:after="0"/>
              <w:rPr>
                <w:sz w:val="2"/>
                <w:szCs w:val="2"/>
                <w:color w:val="auto"/>
              </w:rPr>
            </w:pPr>
          </w:p>
        </w:tc>
      </w:tr>
      <w:tr>
        <w:trPr>
          <w:trHeight w:val="223"/>
        </w:trPr>
        <w:tc>
          <w:tcPr>
            <w:tcW w:w="14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Karin M. Klein</w:t>
            </w:r>
          </w:p>
        </w:tc>
        <w:tc>
          <w:tcPr>
            <w:tcW w:w="3820" w:type="dxa"/>
            <w:vAlign w:val="bottom"/>
          </w:tcPr>
          <w:p>
            <w:pPr>
              <w:jc w:val="right"/>
              <w:spacing w:after="0"/>
              <w:rPr>
                <w:sz w:val="20"/>
                <w:szCs w:val="20"/>
                <w:color w:val="auto"/>
              </w:rPr>
            </w:pPr>
            <w:r>
              <w:rPr>
                <w:rFonts w:ascii="Arial" w:cs="Arial" w:eastAsia="Arial" w:hAnsi="Arial"/>
                <w:sz w:val="13"/>
                <w:szCs w:val="13"/>
                <w:color w:val="auto"/>
              </w:rPr>
              <w:t>1,681</w:t>
            </w:r>
          </w:p>
        </w:tc>
      </w:tr>
      <w:tr>
        <w:trPr>
          <w:trHeight w:val="28"/>
        </w:trPr>
        <w:tc>
          <w:tcPr>
            <w:tcW w:w="140" w:type="dxa"/>
            <w:vAlign w:val="bottom"/>
          </w:tcPr>
          <w:p>
            <w:pPr>
              <w:spacing w:after="0"/>
              <w:rPr>
                <w:sz w:val="2"/>
                <w:szCs w:val="2"/>
                <w:color w:val="auto"/>
              </w:rPr>
            </w:pPr>
          </w:p>
        </w:tc>
        <w:tc>
          <w:tcPr>
            <w:tcW w:w="2580" w:type="dxa"/>
            <w:vAlign w:val="bottom"/>
            <w:tcBorders>
              <w:bottom w:val="single" w:sz="8" w:color="B2B2B2"/>
            </w:tcBorders>
          </w:tcPr>
          <w:p>
            <w:pPr>
              <w:spacing w:after="0"/>
              <w:rPr>
                <w:sz w:val="2"/>
                <w:szCs w:val="2"/>
                <w:color w:val="auto"/>
              </w:rPr>
            </w:pPr>
          </w:p>
        </w:tc>
        <w:tc>
          <w:tcPr>
            <w:tcW w:w="3820" w:type="dxa"/>
            <w:vAlign w:val="bottom"/>
            <w:tcBorders>
              <w:bottom w:val="single" w:sz="8" w:color="B2B2B2"/>
            </w:tcBorders>
          </w:tcPr>
          <w:p>
            <w:pPr>
              <w:spacing w:after="0"/>
              <w:rPr>
                <w:sz w:val="2"/>
                <w:szCs w:val="2"/>
                <w:color w:val="auto"/>
              </w:rPr>
            </w:pPr>
          </w:p>
        </w:tc>
      </w:tr>
      <w:tr>
        <w:trPr>
          <w:trHeight w:val="250"/>
        </w:trPr>
        <w:tc>
          <w:tcPr>
            <w:tcW w:w="2720" w:type="dxa"/>
            <w:vAlign w:val="bottom"/>
            <w:gridSpan w:val="2"/>
          </w:tcPr>
          <w:p>
            <w:pPr>
              <w:spacing w:after="0" w:line="250" w:lineRule="exact"/>
              <w:rPr>
                <w:sz w:val="20"/>
                <w:szCs w:val="20"/>
                <w:color w:val="auto"/>
              </w:rPr>
            </w:pPr>
            <w:r>
              <w:rPr>
                <w:rFonts w:ascii="Arial" w:cs="Arial" w:eastAsia="Arial" w:hAnsi="Arial"/>
                <w:sz w:val="25"/>
                <w:szCs w:val="25"/>
                <w:b w:val="1"/>
                <w:bCs w:val="1"/>
                <w:color w:val="6A6E6F"/>
                <w:vertAlign w:val="subscript"/>
              </w:rPr>
              <w:t xml:space="preserve"> </w:t>
            </w:r>
            <w:r>
              <w:rPr>
                <w:rFonts w:ascii="Arial" w:cs="Arial" w:eastAsia="Arial" w:hAnsi="Arial"/>
                <w:sz w:val="13"/>
                <w:szCs w:val="13"/>
                <w:color w:val="auto"/>
              </w:rPr>
              <w:t xml:space="preserve">  Peter D. Linneman</w:t>
            </w:r>
          </w:p>
        </w:tc>
        <w:tc>
          <w:tcPr>
            <w:tcW w:w="3820" w:type="dxa"/>
            <w:vAlign w:val="bottom"/>
          </w:tcPr>
          <w:p>
            <w:pPr>
              <w:jc w:val="right"/>
              <w:spacing w:after="0"/>
              <w:rPr>
                <w:sz w:val="20"/>
                <w:szCs w:val="20"/>
                <w:color w:val="auto"/>
              </w:rPr>
            </w:pPr>
            <w:r>
              <w:rPr>
                <w:rFonts w:ascii="Arial" w:cs="Arial" w:eastAsia="Arial" w:hAnsi="Arial"/>
                <w:sz w:val="13"/>
                <w:szCs w:val="13"/>
                <w:color w:val="auto"/>
              </w:rPr>
              <w:t>1,401</w:t>
            </w:r>
          </w:p>
        </w:tc>
      </w:tr>
      <w:tr>
        <w:trPr>
          <w:trHeight w:val="20"/>
        </w:trPr>
        <w:tc>
          <w:tcPr>
            <w:tcW w:w="140" w:type="dxa"/>
            <w:vAlign w:val="bottom"/>
          </w:tcPr>
          <w:p>
            <w:pPr>
              <w:spacing w:after="0" w:line="20" w:lineRule="exact"/>
              <w:rPr>
                <w:sz w:val="1"/>
                <w:szCs w:val="1"/>
                <w:color w:val="auto"/>
              </w:rPr>
            </w:pPr>
          </w:p>
        </w:tc>
        <w:tc>
          <w:tcPr>
            <w:tcW w:w="2580" w:type="dxa"/>
            <w:vAlign w:val="bottom"/>
            <w:shd w:val="clear" w:color="auto" w:fill="6A6E6F"/>
          </w:tcPr>
          <w:p>
            <w:pPr>
              <w:spacing w:after="0" w:line="20" w:lineRule="exact"/>
              <w:rPr>
                <w:sz w:val="1"/>
                <w:szCs w:val="1"/>
                <w:color w:val="auto"/>
              </w:rPr>
            </w:pPr>
          </w:p>
        </w:tc>
        <w:tc>
          <w:tcPr>
            <w:tcW w:w="3820" w:type="dxa"/>
            <w:vAlign w:val="bottom"/>
            <w:shd w:val="clear" w:color="auto" w:fill="6A6E6F"/>
          </w:tcPr>
          <w:p>
            <w:pPr>
              <w:spacing w:after="0" w:line="20" w:lineRule="exact"/>
              <w:rPr>
                <w:sz w:val="1"/>
                <w:szCs w:val="1"/>
                <w:color w:val="auto"/>
              </w:rPr>
            </w:pPr>
          </w:p>
        </w:tc>
      </w:tr>
    </w:tbl>
    <w:p>
      <w:pPr>
        <w:spacing w:after="0" w:line="9" w:lineRule="exact"/>
        <w:rPr>
          <w:sz w:val="20"/>
          <w:szCs w:val="20"/>
          <w:color w:val="auto"/>
        </w:rPr>
      </w:pPr>
    </w:p>
    <w:p>
      <w:pPr>
        <w:ind w:left="120" w:right="440" w:hanging="4"/>
        <w:spacing w:after="0" w:line="243" w:lineRule="auto"/>
        <w:tabs>
          <w:tab w:leader="none" w:pos="309"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The amounts in this column represent the aggregate grant date fair value computed in accordance with Financial Accounting Standards Board (“FASB”) Accounting Standards Codification (“ASC”) Topic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(“ASC Topic 718”) which for all directors was $72.01 per share on May 7, 2025.</w:t>
      </w:r>
    </w:p>
    <w:p>
      <w:pPr>
        <w:spacing w:after="0" w:line="7" w:lineRule="exact"/>
        <w:rPr>
          <w:rFonts w:ascii="Arial" w:cs="Arial" w:eastAsia="Arial" w:hAnsi="Arial"/>
          <w:sz w:val="13"/>
          <w:szCs w:val="13"/>
          <w:color w:val="auto"/>
        </w:rPr>
      </w:pPr>
    </w:p>
    <w:p>
      <w:pPr>
        <w:ind w:left="300" w:hanging="184"/>
        <w:spacing w:after="0"/>
        <w:tabs>
          <w:tab w:leader="none" w:pos="3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shares that may be acquired by directors through the vesting of restricted stock or stock rights awards or stock option exercises are reported under the Beneficial Ownership table on page</w:t>
      </w:r>
    </w:p>
    <w:p>
      <w:pPr>
        <w:spacing w:after="0" w:line="9" w:lineRule="exact"/>
        <w:rPr>
          <w:rFonts w:ascii="Arial" w:cs="Arial" w:eastAsia="Arial" w:hAnsi="Arial"/>
          <w:sz w:val="12"/>
          <w:szCs w:val="12"/>
          <w:color w:val="auto"/>
        </w:rPr>
      </w:pPr>
    </w:p>
    <w:p>
      <w:pPr>
        <w:ind w:left="120"/>
        <w:spacing w:after="0"/>
        <w:rPr>
          <w:rFonts w:ascii="Arial" w:cs="Arial" w:eastAsia="Arial" w:hAnsi="Arial"/>
          <w:sz w:val="12"/>
          <w:szCs w:val="12"/>
          <w:color w:val="auto"/>
        </w:rPr>
      </w:pPr>
      <w:r>
        <w:rPr>
          <w:rFonts w:ascii="Arial" w:cs="Arial" w:eastAsia="Arial" w:hAnsi="Arial"/>
          <w:sz w:val="13"/>
          <w:szCs w:val="13"/>
          <w:color w:val="auto"/>
        </w:rPr>
        <w:t>55.</w:t>
      </w:r>
    </w:p>
    <w:p>
      <w:pPr>
        <w:spacing w:after="0" w:line="4" w:lineRule="exact"/>
        <w:rPr>
          <w:rFonts w:ascii="Arial" w:cs="Arial" w:eastAsia="Arial" w:hAnsi="Arial"/>
          <w:sz w:val="12"/>
          <w:szCs w:val="12"/>
          <w:color w:val="auto"/>
        </w:rPr>
      </w:pPr>
    </w:p>
    <w:p>
      <w:pPr>
        <w:ind w:left="300" w:hanging="184"/>
        <w:spacing w:after="0"/>
        <w:tabs>
          <w:tab w:leader="none" w:pos="3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Mr. O’Connor retired from the Board following the 2025 Annual Meeting of Shareholders.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24</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Proposal Two: Advisory Approval of the Company’s Executive Compensation </w:t>
      </w:r>
      <w:r>
        <w:rPr>
          <w:rFonts w:ascii="Arial" w:cs="Arial" w:eastAsia="Arial" w:hAnsi="Arial"/>
          <w:sz w:val="19"/>
          <w:szCs w:val="19"/>
          <w:b w:val="1"/>
          <w:bCs w:val="1"/>
          <w:color w:val="E56D3D"/>
        </w:rPr>
        <w:t>|</w:t>
      </w:r>
    </w:p>
    <w:p>
      <w:pPr>
        <w:spacing w:after="0" w:line="125" w:lineRule="exact"/>
        <w:rPr>
          <w:sz w:val="20"/>
          <w:szCs w:val="20"/>
          <w:color w:val="auto"/>
        </w:rPr>
      </w:pPr>
    </w:p>
    <w:p>
      <w:pPr>
        <w:ind w:left="120" w:right="1400"/>
        <w:spacing w:after="0" w:line="280" w:lineRule="auto"/>
        <w:rPr>
          <w:sz w:val="20"/>
          <w:szCs w:val="20"/>
          <w:color w:val="auto"/>
        </w:rPr>
      </w:pPr>
      <w:r>
        <w:rPr>
          <w:rFonts w:ascii="Times New Roman" w:cs="Times New Roman" w:eastAsia="Times New Roman" w:hAnsi="Times New Roman"/>
          <w:sz w:val="36"/>
          <w:szCs w:val="36"/>
          <w:b w:val="1"/>
          <w:bCs w:val="1"/>
          <w:color w:val="E56D3D"/>
        </w:rPr>
        <w:t>Proposal Two: Advisory Approval of the Company’s Executive Compensation</w:t>
      </w:r>
    </w:p>
    <w:p>
      <w:pPr>
        <w:spacing w:after="0" w:line="77"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The Compensation Committee of our Board designs our executive compensation programs to attract, motivate and retain executives capable of leading our Company to achievement of our key financial and strategic goals, to be competitive with comparable employers, and to align the interests of management and the Company with those of our shareholders.</w:t>
      </w:r>
    </w:p>
    <w:p>
      <w:pPr>
        <w:spacing w:after="0" w:line="131"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We continually seek to refine and improve our executive compensation programs and policies consistent with evolving best governance practices in our industry and in furtherance of our Company’s business strategy. We believe that compensation actually received by our executives reflects our goal of aligning the interests of management with those of shareholders.</w:t>
      </w:r>
    </w:p>
    <w:p>
      <w:pPr>
        <w:spacing w:after="0" w:line="144"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We encourage you to closely review the “Compensation Discussion and Analysis” and “Executive Compensation” sections of this proxy statement, where we provide more detail on our compensation programs in general and specifically for 2025.</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highlights reflect our commitment to pay for performance and maintain a strong executive compensation governance framework.</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7029450" cy="3617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2945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As required by Section 951 of Dodd-Frank and related SEC rules, you are being asked to approve an advisory resolution on the compensation of our named executive officers. This proposal, commonly known as a “say on pay” proposal, gives you the opportunity to endorse or not endorse our fiscal year 2025 compensation program and policies for our named executive officers as disclosed in this proxy statement. Although this advisory vote is non-binding, our Board and Compensation Committee will review the voting results and take them into account when considering future executive compensation arrangements. The next say-on-pay vote is scheduled for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5397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539750"/>
                    </a:xfrm>
                    <a:prstGeom prst="rect">
                      <a:avLst/>
                    </a:prstGeom>
                    <a:noFill/>
                  </pic:spPr>
                </pic:pic>
              </a:graphicData>
            </a:graphic>
          </wp:anchor>
        </w:drawing>
      </w: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E56D3D"/>
        </w:rPr>
        <w:t>OUR BOARD RECOMMENDS A VOTE “FOR” APPROVAL, ON AN ADVISORY BASIS, OF THE</w:t>
      </w:r>
    </w:p>
    <w:p>
      <w:pPr>
        <w:spacing w:after="0" w:line="21" w:lineRule="exact"/>
        <w:rPr>
          <w:sz w:val="20"/>
          <w:szCs w:val="20"/>
          <w:color w:val="auto"/>
        </w:rPr>
      </w:pPr>
    </w:p>
    <w:p>
      <w:pPr>
        <w:jc w:val="center"/>
        <w:ind w:left="420" w:right="1660"/>
        <w:spacing w:after="0" w:line="261" w:lineRule="auto"/>
        <w:rPr>
          <w:sz w:val="20"/>
          <w:szCs w:val="20"/>
          <w:color w:val="auto"/>
        </w:rPr>
      </w:pPr>
      <w:r>
        <w:rPr>
          <w:rFonts w:ascii="Arial" w:cs="Arial" w:eastAsia="Arial" w:hAnsi="Arial"/>
          <w:sz w:val="16"/>
          <w:szCs w:val="16"/>
          <w:b w:val="1"/>
          <w:bCs w:val="1"/>
          <w:color w:val="E56D3D"/>
        </w:rPr>
        <w:t>2025 COMPENSATION OF THE COMPANY’S NAMED EXECUTIVE OFFICERS AS DESCRIBED IN THIS PROXY STATEMENT UNDER THE HEADINGS “COMPENSATION DISCUSSION AND ANALYSIS” AND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35"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25</w:t>
      </w:r>
    </w:p>
    <w:p>
      <w:pPr>
        <w:sectPr>
          <w:pgSz w:w="11900" w:h="16838" w:orient="portrait"/>
          <w:cols w:equalWidth="0" w:num="1">
            <w:col w:w="11140"/>
          </w:cols>
          <w:pgMar w:left="320" w:top="482"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Compensation Discussion and Analysis</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8"/>
          <w:szCs w:val="38"/>
          <w:b w:val="1"/>
          <w:bCs w:val="1"/>
          <w:color w:val="E56D3D"/>
        </w:rPr>
        <w:t>Compensation Discussion and Analysis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6A6E6F"/>
        </w:rPr>
        <w:t>Letter from Our Compensation Committee Chair</w:t>
      </w:r>
    </w:p>
    <w:p>
      <w:pPr>
        <w:spacing w:after="0" w:line="195"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On behalf of the Compensation Committee of the Board of Directors of Regency Centers, I am pleased to present an overview of the Company’s compensation programs and pay for our Named Executive Officers (NEOs) in 2025.</w:t>
      </w:r>
    </w:p>
    <w:p>
      <w:pPr>
        <w:spacing w:after="0" w:line="12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2025 marked another year of significant financial growth, operational achievements and investment success for Regency Centers, under the exceptional leadership of our executive team. The team achieved an impressive increase in Same Property Net Operating Income (NOI) of 5.3%, while Nareit Funds From Operations (FFO) per share grew by nearly 8% and Core Operating Earnings per share increased by nearly 7%. The Company executed 8 million square feet of new and renewal leases, achieving cash rent spreads of nearly 11% and GAAP rent spreads at a record 21%. Additionally, management started approximately $318 million in development and redevelopment projects, bringing three-year total starts to over $825 million. The Company also acquired approximately $538 million of high-quality shopping centers, significantly expanding our portfolio. These outstanding results enabled the Regency Centers Board of Directors to announce a dividend increase of over 7% on the Company’s common stock in the fourth quarter of 2025. With a premium portfolio of over 480 primarily grocery-anchored centers in thriving trade areas, an industry-leading balance sheet, and a talented team across 26 offices nationwide, Regency Centers is well-positioned to continue growing and building long term value for our shareholders.</w:t>
      </w:r>
    </w:p>
    <w:p>
      <w:pPr>
        <w:spacing w:after="0" w:line="139" w:lineRule="exact"/>
        <w:rPr>
          <w:sz w:val="20"/>
          <w:szCs w:val="20"/>
          <w:color w:val="auto"/>
        </w:rPr>
      </w:pPr>
    </w:p>
    <w:p>
      <w:pPr>
        <w:ind w:left="120" w:right="60"/>
        <w:spacing w:after="0" w:line="266" w:lineRule="auto"/>
        <w:rPr>
          <w:sz w:val="20"/>
          <w:szCs w:val="20"/>
          <w:color w:val="auto"/>
        </w:rPr>
      </w:pPr>
      <w:r>
        <w:rPr>
          <w:rFonts w:ascii="Arial" w:cs="Arial" w:eastAsia="Arial" w:hAnsi="Arial"/>
          <w:sz w:val="17"/>
          <w:szCs w:val="17"/>
          <w:color w:val="auto"/>
        </w:rPr>
        <w:t>The Compensation Committee ensures the interests of our executive team align with those of our shareholders by linking short- and long-term incentive compensation opportunities to the achievement of measurable financial and strategic goals. Our executive compensation programs are designed such that performance-based pay constitutes the significant majority of their total potential compensation. We set rigorous financial and non-financial targets to reward achievements as well as to retain, develop and motivate our key people.</w:t>
      </w:r>
    </w:p>
    <w:p>
      <w:pPr>
        <w:spacing w:after="0" w:line="119"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The committee has historically focused on Core Operating Earnings per Share as the primary financial metric by which to measure the short-term performance of our top executives. We continue to believe it represents the best measure of operating and financial performance of the business and the Company.</w:t>
      </w:r>
    </w:p>
    <w:p>
      <w:pPr>
        <w:spacing w:after="0" w:line="142"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The Company’s impressive performance in 2025 resulted in management achieving Core Operating Earnings per Share of $4.41. As a result, based on performance multipliers previously set by the committee, the executive team earned a short-term incentive payout of 1.50 times target. This multiple reflects meaningful financial outperformance by the Company against the objectives set by the committee, as discussed in more detail in the following Compensation, Discussion and Analysis (CD&amp;A).</w:t>
      </w:r>
    </w:p>
    <w:p>
      <w:pPr>
        <w:spacing w:after="0" w:line="133"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In addition, the Compensation Committee continued to emphasize corporate responsibility as the key non-financial performance metric, given its importance to the Company’s sustainable operational and financial success. The committee regularly reviews progress against management’s corporate responsibility objectives, which were measured both qualitatively and quantitatively, and determined that the executive team achieved its objectives in this area, as further described in the CD&amp;A.</w:t>
      </w:r>
    </w:p>
    <w:p>
      <w:pPr>
        <w:spacing w:after="0" w:line="13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 significant portion of our NEOs’ target total direct compensation is paid in long-term incentives, and a significant portion of these long-term incentives is paid in performance shares tied to three-year relative total shareholder return (TSR), because we believe they appropriately align our executives with the interest of our shareholders in sustained financial performance and long-term value creation. Based on our relative TSR versus the FTSE Nareit shopping center index for the 2023 – 2025 performance period, our NEOs earned 90% of the target performance share award, as further described in the CD&amp;A. While the Company performed extremely well during this period financially, operationally and with respect to its investments program, three-year relative TSR performance fell short in relation to the index. The outcome demonstrates the intended alignment our NEOs have with our shareholders. The Compensation Committee granted a new tranche of awards for the 2025 – 2027 performance period to continue to align executive long term compensation opportunities with the interests of our investors.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26</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Compensation Discussion and Analysis </w:t>
      </w:r>
      <w:r>
        <w:rPr>
          <w:rFonts w:ascii="Arial" w:cs="Arial" w:eastAsia="Arial" w:hAnsi="Arial"/>
          <w:sz w:val="19"/>
          <w:szCs w:val="19"/>
          <w:b w:val="1"/>
          <w:bCs w:val="1"/>
          <w:color w:val="E56D3D"/>
        </w:rPr>
        <w:t>|</w:t>
      </w:r>
    </w:p>
    <w:p>
      <w:pPr>
        <w:spacing w:after="0" w:line="151" w:lineRule="exact"/>
        <w:rPr>
          <w:sz w:val="20"/>
          <w:szCs w:val="20"/>
          <w:color w:val="auto"/>
        </w:rPr>
      </w:pPr>
    </w:p>
    <w:p>
      <w:pPr>
        <w:ind w:left="120" w:right="360"/>
        <w:spacing w:after="0" w:line="244" w:lineRule="auto"/>
        <w:rPr>
          <w:sz w:val="20"/>
          <w:szCs w:val="20"/>
          <w:color w:val="auto"/>
        </w:rPr>
      </w:pPr>
      <w:r>
        <w:rPr>
          <w:rFonts w:ascii="Arial" w:cs="Arial" w:eastAsia="Arial" w:hAnsi="Arial"/>
          <w:sz w:val="18"/>
          <w:szCs w:val="18"/>
          <w:color w:val="auto"/>
        </w:rPr>
        <w:t>As a committee, we approached our work in 2025 with the same robust governance and oversight we have always applied to our compensation responsibilities. We will continue to closely monitor our executive compensation programs, and balance our objective to incentivize, motivate and retain our NEOs while doing our best to align compensation outcomes with the interests of our investors. Our overarching objective is that our compensation programs drive the behaviors and results the Board expects and that are in the best interests of our Company and you, our shareholders.</w:t>
      </w:r>
    </w:p>
    <w:p>
      <w:pPr>
        <w:spacing w:after="0" w:line="136"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I encourage all shareholders to read our CD&amp;A. It provides an overview of our executive compensation programs and the underlying philosophy used to develop them, as well as information about the 2025 objectives the Compensation Committee set for our executive team. We appreciate the trust you have placed in us and thank you for your investment in Regency Centers.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Sincerely,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Deirdre J. Evens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Chair of Compensation Committee</w:t>
      </w:r>
    </w:p>
    <w:p>
      <w:pPr>
        <w:spacing w:after="0" w:line="126"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27</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Compensation Discussion and Analysis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166370</wp:posOffset>
            </wp:positionV>
            <wp:extent cx="5786755" cy="8312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8675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1720" w:type="dxa"/>
            <w:vAlign w:val="bottom"/>
          </w:tcPr>
          <w:p>
            <w:pPr>
              <w:jc w:val="center"/>
              <w:ind w:right="199"/>
              <w:spacing w:after="0"/>
              <w:rPr>
                <w:sz w:val="20"/>
                <w:szCs w:val="20"/>
                <w:color w:val="auto"/>
              </w:rPr>
            </w:pPr>
            <w:r>
              <w:rPr>
                <w:rFonts w:ascii="Arial" w:cs="Arial" w:eastAsia="Arial" w:hAnsi="Arial"/>
                <w:sz w:val="16"/>
                <w:szCs w:val="16"/>
                <w:color w:val="auto"/>
              </w:rPr>
              <w:t>Martin E. Stein, Jr.</w:t>
            </w:r>
          </w:p>
        </w:tc>
        <w:tc>
          <w:tcPr>
            <w:tcW w:w="2000" w:type="dxa"/>
            <w:vAlign w:val="bottom"/>
          </w:tcPr>
          <w:p>
            <w:pPr>
              <w:jc w:val="center"/>
              <w:spacing w:after="0"/>
              <w:rPr>
                <w:sz w:val="20"/>
                <w:szCs w:val="20"/>
                <w:color w:val="auto"/>
              </w:rPr>
            </w:pPr>
            <w:r>
              <w:rPr>
                <w:rFonts w:ascii="Arial" w:cs="Arial" w:eastAsia="Arial" w:hAnsi="Arial"/>
                <w:sz w:val="16"/>
                <w:szCs w:val="16"/>
                <w:color w:val="auto"/>
              </w:rPr>
              <w:t>Lisa Palmer</w:t>
            </w:r>
          </w:p>
        </w:tc>
        <w:tc>
          <w:tcPr>
            <w:tcW w:w="1780" w:type="dxa"/>
            <w:vAlign w:val="bottom"/>
          </w:tcPr>
          <w:p>
            <w:pPr>
              <w:jc w:val="center"/>
              <w:spacing w:after="0"/>
              <w:rPr>
                <w:sz w:val="20"/>
                <w:szCs w:val="20"/>
                <w:color w:val="auto"/>
              </w:rPr>
            </w:pPr>
            <w:r>
              <w:rPr>
                <w:rFonts w:ascii="Arial" w:cs="Arial" w:eastAsia="Arial" w:hAnsi="Arial"/>
                <w:sz w:val="16"/>
                <w:szCs w:val="16"/>
                <w:color w:val="auto"/>
              </w:rPr>
              <w:t>Michael J. Mas</w:t>
            </w:r>
          </w:p>
        </w:tc>
        <w:tc>
          <w:tcPr>
            <w:tcW w:w="2020" w:type="dxa"/>
            <w:vAlign w:val="bottom"/>
          </w:tcPr>
          <w:p>
            <w:pPr>
              <w:jc w:val="center"/>
              <w:spacing w:after="0"/>
              <w:rPr>
                <w:sz w:val="20"/>
                <w:szCs w:val="20"/>
                <w:color w:val="auto"/>
              </w:rPr>
            </w:pPr>
            <w:r>
              <w:rPr>
                <w:rFonts w:ascii="Arial" w:cs="Arial" w:eastAsia="Arial" w:hAnsi="Arial"/>
                <w:sz w:val="16"/>
                <w:szCs w:val="16"/>
                <w:color w:val="auto"/>
                <w:w w:val="98"/>
              </w:rPr>
              <w:t>Alan T. Roth</w:t>
            </w:r>
          </w:p>
        </w:tc>
        <w:tc>
          <w:tcPr>
            <w:tcW w:w="1700" w:type="dxa"/>
            <w:vAlign w:val="bottom"/>
          </w:tcPr>
          <w:p>
            <w:pPr>
              <w:jc w:val="center"/>
              <w:ind w:left="199"/>
              <w:spacing w:after="0"/>
              <w:rPr>
                <w:sz w:val="20"/>
                <w:szCs w:val="20"/>
                <w:color w:val="auto"/>
              </w:rPr>
            </w:pPr>
            <w:r>
              <w:rPr>
                <w:rFonts w:ascii="Arial" w:cs="Arial" w:eastAsia="Arial" w:hAnsi="Arial"/>
                <w:sz w:val="16"/>
                <w:szCs w:val="16"/>
                <w:color w:val="auto"/>
              </w:rPr>
              <w:t>Nicholas A.</w:t>
            </w:r>
          </w:p>
        </w:tc>
      </w:tr>
      <w:tr>
        <w:trPr>
          <w:trHeight w:val="189"/>
        </w:trPr>
        <w:tc>
          <w:tcPr>
            <w:tcW w:w="1720" w:type="dxa"/>
            <w:vAlign w:val="bottom"/>
          </w:tcPr>
          <w:p>
            <w:pPr>
              <w:jc w:val="center"/>
              <w:ind w:right="199"/>
              <w:spacing w:after="0"/>
              <w:rPr>
                <w:sz w:val="20"/>
                <w:szCs w:val="20"/>
                <w:color w:val="auto"/>
              </w:rPr>
            </w:pPr>
            <w:r>
              <w:rPr>
                <w:rFonts w:ascii="Arial" w:cs="Arial" w:eastAsia="Arial" w:hAnsi="Arial"/>
                <w:sz w:val="16"/>
                <w:szCs w:val="16"/>
                <w:color w:val="auto"/>
              </w:rPr>
              <w:t>Executive Chairman</w:t>
            </w:r>
          </w:p>
        </w:tc>
        <w:tc>
          <w:tcPr>
            <w:tcW w:w="2000" w:type="dxa"/>
            <w:vAlign w:val="bottom"/>
          </w:tcPr>
          <w:p>
            <w:pPr>
              <w:jc w:val="center"/>
              <w:spacing w:after="0"/>
              <w:rPr>
                <w:sz w:val="20"/>
                <w:szCs w:val="20"/>
                <w:color w:val="auto"/>
              </w:rPr>
            </w:pPr>
            <w:r>
              <w:rPr>
                <w:rFonts w:ascii="Arial" w:cs="Arial" w:eastAsia="Arial" w:hAnsi="Arial"/>
                <w:sz w:val="16"/>
                <w:szCs w:val="16"/>
                <w:color w:val="auto"/>
              </w:rPr>
              <w:t>President and Chief</w:t>
            </w:r>
          </w:p>
        </w:tc>
        <w:tc>
          <w:tcPr>
            <w:tcW w:w="1780" w:type="dxa"/>
            <w:vAlign w:val="bottom"/>
          </w:tcPr>
          <w:p>
            <w:pPr>
              <w:jc w:val="center"/>
              <w:spacing w:after="0"/>
              <w:rPr>
                <w:sz w:val="20"/>
                <w:szCs w:val="20"/>
                <w:color w:val="auto"/>
              </w:rPr>
            </w:pPr>
            <w:r>
              <w:rPr>
                <w:rFonts w:ascii="Arial" w:cs="Arial" w:eastAsia="Arial" w:hAnsi="Arial"/>
                <w:sz w:val="16"/>
                <w:szCs w:val="16"/>
                <w:color w:val="auto"/>
              </w:rPr>
              <w:t>Executive Vice</w:t>
            </w:r>
          </w:p>
        </w:tc>
        <w:tc>
          <w:tcPr>
            <w:tcW w:w="2020" w:type="dxa"/>
            <w:vAlign w:val="bottom"/>
          </w:tcPr>
          <w:p>
            <w:pPr>
              <w:jc w:val="center"/>
              <w:spacing w:after="0"/>
              <w:rPr>
                <w:sz w:val="20"/>
                <w:szCs w:val="20"/>
                <w:color w:val="auto"/>
              </w:rPr>
            </w:pPr>
            <w:r>
              <w:rPr>
                <w:rFonts w:ascii="Arial" w:cs="Arial" w:eastAsia="Arial" w:hAnsi="Arial"/>
                <w:sz w:val="16"/>
                <w:szCs w:val="16"/>
                <w:color w:val="auto"/>
              </w:rPr>
              <w:t>East Region</w:t>
            </w:r>
          </w:p>
        </w:tc>
        <w:tc>
          <w:tcPr>
            <w:tcW w:w="1700" w:type="dxa"/>
            <w:vAlign w:val="bottom"/>
          </w:tcPr>
          <w:p>
            <w:pPr>
              <w:jc w:val="center"/>
              <w:ind w:left="179"/>
              <w:spacing w:after="0"/>
              <w:rPr>
                <w:sz w:val="20"/>
                <w:szCs w:val="20"/>
                <w:color w:val="auto"/>
              </w:rPr>
            </w:pPr>
            <w:r>
              <w:rPr>
                <w:rFonts w:ascii="Arial" w:cs="Arial" w:eastAsia="Arial" w:hAnsi="Arial"/>
                <w:sz w:val="16"/>
                <w:szCs w:val="16"/>
                <w:color w:val="auto"/>
              </w:rPr>
              <w:t>Wibbenmeyer</w:t>
            </w:r>
          </w:p>
        </w:tc>
      </w:tr>
      <w:tr>
        <w:trPr>
          <w:trHeight w:val="189"/>
        </w:trPr>
        <w:tc>
          <w:tcPr>
            <w:tcW w:w="1720" w:type="dxa"/>
            <w:vAlign w:val="bottom"/>
          </w:tcPr>
          <w:p>
            <w:pPr>
              <w:jc w:val="center"/>
              <w:ind w:right="199"/>
              <w:spacing w:after="0"/>
              <w:rPr>
                <w:sz w:val="20"/>
                <w:szCs w:val="20"/>
                <w:color w:val="auto"/>
              </w:rPr>
            </w:pPr>
            <w:r>
              <w:rPr>
                <w:rFonts w:ascii="Arial" w:cs="Arial" w:eastAsia="Arial" w:hAnsi="Arial"/>
                <w:sz w:val="16"/>
                <w:szCs w:val="16"/>
                <w:color w:val="auto"/>
              </w:rPr>
              <w:t>of the Board</w:t>
            </w:r>
          </w:p>
        </w:tc>
        <w:tc>
          <w:tcPr>
            <w:tcW w:w="2000" w:type="dxa"/>
            <w:vAlign w:val="bottom"/>
          </w:tcPr>
          <w:p>
            <w:pPr>
              <w:jc w:val="center"/>
              <w:spacing w:after="0"/>
              <w:rPr>
                <w:sz w:val="20"/>
                <w:szCs w:val="20"/>
                <w:color w:val="auto"/>
              </w:rPr>
            </w:pPr>
            <w:r>
              <w:rPr>
                <w:rFonts w:ascii="Arial" w:cs="Arial" w:eastAsia="Arial" w:hAnsi="Arial"/>
                <w:sz w:val="16"/>
                <w:szCs w:val="16"/>
                <w:color w:val="auto"/>
              </w:rPr>
              <w:t>Executive Officer</w:t>
            </w:r>
          </w:p>
        </w:tc>
        <w:tc>
          <w:tcPr>
            <w:tcW w:w="1780" w:type="dxa"/>
            <w:vAlign w:val="bottom"/>
          </w:tcPr>
          <w:p>
            <w:pPr>
              <w:jc w:val="center"/>
              <w:spacing w:after="0"/>
              <w:rPr>
                <w:sz w:val="20"/>
                <w:szCs w:val="20"/>
                <w:color w:val="auto"/>
              </w:rPr>
            </w:pPr>
            <w:r>
              <w:rPr>
                <w:rFonts w:ascii="Arial" w:cs="Arial" w:eastAsia="Arial" w:hAnsi="Arial"/>
                <w:sz w:val="16"/>
                <w:szCs w:val="16"/>
                <w:color w:val="auto"/>
              </w:rPr>
              <w:t>President, Chief</w:t>
            </w:r>
          </w:p>
        </w:tc>
        <w:tc>
          <w:tcPr>
            <w:tcW w:w="2020" w:type="dxa"/>
            <w:vAlign w:val="bottom"/>
          </w:tcPr>
          <w:p>
            <w:pPr>
              <w:jc w:val="center"/>
              <w:spacing w:after="0"/>
              <w:rPr>
                <w:sz w:val="20"/>
                <w:szCs w:val="20"/>
                <w:color w:val="auto"/>
              </w:rPr>
            </w:pPr>
            <w:r>
              <w:rPr>
                <w:rFonts w:ascii="Arial" w:cs="Arial" w:eastAsia="Arial" w:hAnsi="Arial"/>
                <w:sz w:val="16"/>
                <w:szCs w:val="16"/>
                <w:color w:val="auto"/>
              </w:rPr>
              <w:t>President and Chief</w:t>
            </w:r>
          </w:p>
        </w:tc>
        <w:tc>
          <w:tcPr>
            <w:tcW w:w="1700" w:type="dxa"/>
            <w:vAlign w:val="bottom"/>
          </w:tcPr>
          <w:p>
            <w:pPr>
              <w:jc w:val="center"/>
              <w:ind w:left="179"/>
              <w:spacing w:after="0"/>
              <w:rPr>
                <w:sz w:val="20"/>
                <w:szCs w:val="20"/>
                <w:color w:val="auto"/>
              </w:rPr>
            </w:pPr>
            <w:r>
              <w:rPr>
                <w:rFonts w:ascii="Arial" w:cs="Arial" w:eastAsia="Arial" w:hAnsi="Arial"/>
                <w:sz w:val="16"/>
                <w:szCs w:val="16"/>
                <w:color w:val="auto"/>
              </w:rPr>
              <w:t>West Region</w:t>
            </w:r>
          </w:p>
        </w:tc>
      </w:tr>
      <w:tr>
        <w:trPr>
          <w:trHeight w:val="189"/>
        </w:trPr>
        <w:tc>
          <w:tcPr>
            <w:tcW w:w="1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Financial Officer</w:t>
            </w:r>
          </w:p>
        </w:tc>
        <w:tc>
          <w:tcPr>
            <w:tcW w:w="2020" w:type="dxa"/>
            <w:vAlign w:val="bottom"/>
          </w:tcPr>
          <w:p>
            <w:pPr>
              <w:jc w:val="center"/>
              <w:spacing w:after="0"/>
              <w:rPr>
                <w:sz w:val="20"/>
                <w:szCs w:val="20"/>
                <w:color w:val="auto"/>
              </w:rPr>
            </w:pPr>
            <w:r>
              <w:rPr>
                <w:rFonts w:ascii="Arial" w:cs="Arial" w:eastAsia="Arial" w:hAnsi="Arial"/>
                <w:sz w:val="16"/>
                <w:szCs w:val="16"/>
                <w:color w:val="auto"/>
              </w:rPr>
              <w:t>Operating Officer</w:t>
            </w:r>
          </w:p>
        </w:tc>
        <w:tc>
          <w:tcPr>
            <w:tcW w:w="1700" w:type="dxa"/>
            <w:vAlign w:val="bottom"/>
          </w:tcPr>
          <w:p>
            <w:pPr>
              <w:jc w:val="center"/>
              <w:ind w:left="199"/>
              <w:spacing w:after="0"/>
              <w:rPr>
                <w:sz w:val="20"/>
                <w:szCs w:val="20"/>
                <w:color w:val="auto"/>
              </w:rPr>
            </w:pPr>
            <w:r>
              <w:rPr>
                <w:rFonts w:ascii="Arial" w:cs="Arial" w:eastAsia="Arial" w:hAnsi="Arial"/>
                <w:sz w:val="16"/>
                <w:szCs w:val="16"/>
                <w:color w:val="auto"/>
              </w:rPr>
              <w:t>President and Chief</w:t>
            </w:r>
          </w:p>
        </w:tc>
      </w:tr>
      <w:tr>
        <w:trPr>
          <w:trHeight w:val="215"/>
        </w:trPr>
        <w:tc>
          <w:tcPr>
            <w:tcW w:w="1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00" w:type="dxa"/>
            <w:vAlign w:val="bottom"/>
          </w:tcPr>
          <w:p>
            <w:pPr>
              <w:jc w:val="center"/>
              <w:ind w:left="179"/>
              <w:spacing w:after="0"/>
              <w:rPr>
                <w:sz w:val="20"/>
                <w:szCs w:val="20"/>
                <w:color w:val="auto"/>
              </w:rPr>
            </w:pPr>
            <w:r>
              <w:rPr>
                <w:rFonts w:ascii="Arial" w:cs="Arial" w:eastAsia="Arial" w:hAnsi="Arial"/>
                <w:sz w:val="16"/>
                <w:szCs w:val="16"/>
                <w:color w:val="auto"/>
              </w:rPr>
              <w:t>Investment Officer</w:t>
            </w:r>
          </w:p>
        </w:tc>
      </w:tr>
    </w:tbl>
    <w:p>
      <w:pPr>
        <w:spacing w:after="0" w:line="1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information with respect to Mr. Stein and Ms. Palmer, please refer to Proposal 1: Election of Directors, in this proxy statement.</w:t>
      </w:r>
    </w:p>
    <w:p>
      <w:pPr>
        <w:spacing w:after="0" w:line="181"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b w:val="1"/>
          <w:bCs w:val="1"/>
          <w:color w:val="auto"/>
        </w:rPr>
        <w:t>Michael J. Mas</w:t>
      </w:r>
      <w:r>
        <w:rPr>
          <w:rFonts w:ascii="Arial" w:cs="Arial" w:eastAsia="Arial" w:hAnsi="Arial"/>
          <w:sz w:val="16"/>
          <w:szCs w:val="16"/>
          <w:color w:val="auto"/>
        </w:rPr>
        <w:t>, age 50, has been our Executive Vice President, Chief Financial Officer since August 2019. Prior to that, Mr. Mas had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Director of Finance since February 2017. He served as Senior Vice President of Capital Markets from January 2013 to January 2017. Prior to that, Mr. Mas served as Vice President of Capital Markets and JV Portfolio Management from December 2004 to December 2012. Before joining our Company in 2003, he worked with Deloitte &amp; Touche LLP as Manager for Assurance and Advisory services, supervising professional accountants providing client services in Southeast Florida. Mr. Mas holds a Bachelor of Business Administration from the University of North Florida and a M.B.A. from Florida Atlantic University. He is a member of ICSC and Nareit.</w:t>
      </w:r>
    </w:p>
    <w:p>
      <w:pPr>
        <w:spacing w:after="0" w:line="155"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b w:val="1"/>
          <w:bCs w:val="1"/>
          <w:color w:val="auto"/>
        </w:rPr>
        <w:t>Alan T. Roth</w:t>
      </w:r>
      <w:r>
        <w:rPr>
          <w:rFonts w:ascii="Arial" w:cs="Arial" w:eastAsia="Arial" w:hAnsi="Arial"/>
          <w:sz w:val="16"/>
          <w:szCs w:val="16"/>
          <w:color w:val="auto"/>
        </w:rPr>
        <w:t>, age 51, has been our East Region President and Chief Operating Officer since January 2024. Before that, Mr. Roth served as our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National Property Operations and East Region President from January 2023 to December 2023. Prior to that, Mr. Roth served as Senior Managing Director, East Region from September 2020 to December 2022. Prior to that, Mr. Roth served as Managing Director from January 2016 to September 2020. Prior to that, he served as Senior Vice President and Senior Market Officer of the Mid-Atlantic and Northeast Portfolio, overseeing more than eight million square feet at sixty-eight shopping centers. Before that, Mr. Roth held the position of Vice President and Regional Officer. Before joining our Company as a leasing agent in 1997, Mr. Roth handled tenant representation, shopping center leasing and land sales for Midland Development Group. Mr. Roth holds a Bachelor of Science from Kelley School of Business at Indiana University. He is a member of ICSC, serves on the Planning Committee for ICSC Open Air Conference and is a member of Nareit.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Nicholas A. Wibbenmeyer</w:t>
      </w:r>
      <w:r>
        <w:rPr>
          <w:rFonts w:ascii="Arial" w:cs="Arial" w:eastAsia="Arial" w:hAnsi="Arial"/>
          <w:sz w:val="16"/>
          <w:szCs w:val="16"/>
          <w:color w:val="auto"/>
        </w:rPr>
        <w:t>, age 45, has been our West Region President and Chief Investment Officer since January 2024. Before that,</w:t>
      </w:r>
    </w:p>
    <w:p>
      <w:pPr>
        <w:spacing w:after="0" w:line="21" w:lineRule="exact"/>
        <w:rPr>
          <w:sz w:val="20"/>
          <w:szCs w:val="20"/>
          <w:color w:val="auto"/>
        </w:rPr>
      </w:pPr>
    </w:p>
    <w:p>
      <w:pPr>
        <w:jc w:val="both"/>
        <w:ind w:left="120" w:right="80"/>
        <w:spacing w:after="0" w:line="250" w:lineRule="auto"/>
        <w:rPr>
          <w:sz w:val="20"/>
          <w:szCs w:val="20"/>
          <w:color w:val="auto"/>
        </w:rPr>
      </w:pPr>
      <w:r>
        <w:rPr>
          <w:rFonts w:ascii="Arial" w:cs="Arial" w:eastAsia="Arial" w:hAnsi="Arial"/>
          <w:sz w:val="16"/>
          <w:szCs w:val="16"/>
          <w:color w:val="auto"/>
        </w:rPr>
        <w:t>Mr. Wibbenmeyer served as our Executive Vice President, West Region President from January 2023 to December 2023. Prior to that, Mr. Wibbenmeyer served as Senior Managing Director, West Region from September 2020 to December 2022. Prior to that, he served as Managing Director from January 2016 to September 2020. Prior to that, he served as Senior Vice President and Senior Market Officer. Before that, Mr. Wibbenmeyer held the position of Vice President of Investments and Regional Officer. Before joining our Company in 2005 as Manager of Investments, Upper Midwest, Mr. Wibbenmeyer served as a retail broker for Mid-America Real Estate Group. Mr. Wibbenmeyer holds a Bachelor of Business Administration from the University of Notre Dame. He is a member of ICSC, ULI and YPO.</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Our Compensation Philosophy</w:t>
      </w:r>
    </w:p>
    <w:p>
      <w:pPr>
        <w:spacing w:after="0" w:line="72"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Our compensation program is designed to attract, motivate and retain high-performing, industry-leading executives capable of driving achievement of our key financial and strategic objectives. We compensate our executives through a mix of base salary, annual cash incentives and long-term equity compensation, with an emphasis on the use of performance-based incentives as a very significant portion of total compensation. Our compensation program is designed to be competitive with comparable employers and to align the interests of management with our shareholders by awarding performance-based compensation to incentivize the achievement of specific key objectives.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28</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 </w:t>
      </w:r>
      <w:r>
        <w:rPr>
          <w:rFonts w:ascii="Arial" w:cs="Arial" w:eastAsia="Arial" w:hAnsi="Arial"/>
          <w:sz w:val="19"/>
          <w:szCs w:val="19"/>
          <w:b w:val="1"/>
          <w:bCs w:val="1"/>
          <w:color w:val="E56D3D"/>
        </w:rPr>
        <w: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Oversight of Compensation</w:t>
      </w:r>
    </w:p>
    <w:p>
      <w:pPr>
        <w:spacing w:after="0" w:line="72"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The Compensation Committee of our Board (“Compensation Committee” or “the committee”) is responsible for determining and implementing our executive compensation philosophy, designing our executive compensation program, evaluating compensation against the market and approving the material terms of executive compensation arrangements for our NEOs, including incentive plan participants, award opportunities, performance goals and compensation earned under our incentive plans. The committee routinely consults with its independent compensation consultant and other advisors in making its decisions, as it deems appropriate. The NEOs are not present during the committee’s discussions of their respective compensation. The committee is comprised entirely of independent directors as defined by Nasdaq Stock Market listing requirements.</w:t>
      </w:r>
    </w:p>
    <w:p>
      <w:pPr>
        <w:spacing w:after="0" w:line="141"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Compensation Committee evaluates the performance of both the Executive Chairman and the President &amp; CEO and reviews such evaluation with the full Board. With respect to our other NEOs, the committee considers the input of the President &amp; CEO as to their performance assessments and recommended compensation arrangements. The compensation of all NEOs is subject to the final approval of the committee, and compensation of both the Executive Chairman and President &amp; CEO, respectively, is recommended by the committee to the full Board for its consideration and approval.</w:t>
      </w:r>
    </w:p>
    <w:p>
      <w:pPr>
        <w:spacing w:after="0" w:line="151"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The committee utilizes outside advisors from Semler Brossy, the committee’s independent compensation consultant, to provide benchmarking, analysis, advice and counsel regarding competitive pay levels, pay program design and evolving trends and practices, primarily with respect to peers and REIT industry participants. Representatives from Semler Brossy attend meetings of the committee and participate in its executive sessions as requested and are available to communicate directly with the committee Chair and its members outside of meetings.</w:t>
      </w:r>
    </w:p>
    <w:p>
      <w:pPr>
        <w:spacing w:after="0" w:line="137"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The Compensation Committee considers all factors relevant to the consultant’s independence from management, including those identified by Nasdaq Stock Market listing requirements, and has determined that Semler Brossy has no conflicts of interest and is independent.</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2025 Say on Pay Results and Shareholder Engagement</w:t>
      </w:r>
    </w:p>
    <w:p>
      <w:pPr>
        <w:spacing w:after="0" w:line="72"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Our Board and Compensation Committee value the views and input of our shareholders and are committed to ongoing engagement on executive compensation practices. The committee specifically considers the results from the annual shareholder advisory vote on executive compensation. At the Company’s 2025 annual meeting of shareholders, about 92% of the votes on the advisory resolution on executive compensation were cast in favor of our executive compensation. We believe these very favorable voting results and similar results over the past several years for our Say on Pay vote demonstrate continued strong shareholder support for our programs and their implementation.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Targeted Level of Compensation</w:t>
      </w:r>
    </w:p>
    <w:p>
      <w:pPr>
        <w:spacing w:after="0" w:line="112" w:lineRule="exact"/>
        <w:rPr>
          <w:sz w:val="20"/>
          <w:szCs w:val="20"/>
          <w:color w:val="auto"/>
        </w:rPr>
      </w:pPr>
    </w:p>
    <w:p>
      <w:pPr>
        <w:ind w:left="120" w:right="40"/>
        <w:spacing w:after="0" w:line="234" w:lineRule="auto"/>
        <w:rPr>
          <w:sz w:val="20"/>
          <w:szCs w:val="20"/>
          <w:color w:val="auto"/>
        </w:rPr>
      </w:pPr>
      <w:r>
        <w:rPr>
          <w:rFonts w:ascii="Arial" w:cs="Arial" w:eastAsia="Arial" w:hAnsi="Arial"/>
          <w:sz w:val="16"/>
          <w:szCs w:val="16"/>
          <w:color w:val="auto"/>
        </w:rPr>
        <w:t>We endeavor to set total direct compensation, which consists of base salary, annual cash incentives and the value of long-term (equity-based) incentives, at target performance levels in range of the expected median of peer companies, as described on the following page, while also taking into account various factors including the experience level and responsibilities of each individual executive and competitive market conditions. Annual increases in base salary, cash incentives, long term incentives and total direct compensation may be more robust when total direct compensation is below the median, and more moderated when it is more than 10% above the median or exceeds the 60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for the peer group. Actual compensation earned by our top executives, including our NEOs, can be highly variable from year to year due to heavy weighting toward performance-based incentive compensation rather than fixed components.</w:t>
      </w:r>
    </w:p>
    <w:p>
      <w:pPr>
        <w:spacing w:after="0" w:line="121"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29</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Compensation Discussion and Analysis</w:t>
      </w:r>
    </w:p>
    <w:p>
      <w:pPr>
        <w:spacing w:after="0" w:line="144"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To evaluate and set total direct compensation, the committee utilizes a peer group analysis of total direct compensation for similar positions prepared annually by the committee’s independent compensation consultant. The key principals by which the peer group is selected and annually updated are that companies be leaders in the REIT industry (but not limited to the shopping center sector) and comparable in size, generally based on total market capitalization ranging from half to double our size. Working with the committee’s independent compensation consultant, the committee evaluates the appropriateness of the group annually based on a variety of factors, including merger and acquisition and other similar corporate changes, company size and asset class focus, and adjusts the peer group as the committee deems appropriate after considering the facts and circumstances. After evaluating the peer group for 2026, the committee removed Kilroy Realty and replaced it with AvalonBay Communities to maintain a balanced, appropriately comparable peer group for Regency.</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4640" w:type="dxa"/>
            <w:vAlign w:val="bottom"/>
          </w:tcPr>
          <w:p>
            <w:pPr>
              <w:jc w:val="right"/>
              <w:ind w:right="108"/>
              <w:spacing w:after="0"/>
              <w:rPr>
                <w:sz w:val="20"/>
                <w:szCs w:val="20"/>
                <w:color w:val="auto"/>
              </w:rPr>
            </w:pPr>
            <w:r>
              <w:rPr>
                <w:rFonts w:ascii="Arial" w:cs="Arial" w:eastAsia="Arial" w:hAnsi="Arial"/>
                <w:sz w:val="14"/>
                <w:szCs w:val="14"/>
                <w:b w:val="1"/>
                <w:bCs w:val="1"/>
                <w:color w:val="6A6E6F"/>
              </w:rPr>
              <w:t>Reviewed in 2024 for</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6A6E6F"/>
              </w:rPr>
              <w:t>Reviewed in 2025 for</w:t>
            </w:r>
          </w:p>
        </w:tc>
      </w:tr>
      <w:tr>
        <w:trPr>
          <w:trHeight w:val="210"/>
        </w:trPr>
        <w:tc>
          <w:tcPr>
            <w:tcW w:w="3640" w:type="dxa"/>
            <w:vAlign w:val="bottom"/>
          </w:tcPr>
          <w:p>
            <w:pPr>
              <w:ind w:left="60"/>
              <w:spacing w:after="0"/>
              <w:rPr>
                <w:sz w:val="20"/>
                <w:szCs w:val="20"/>
                <w:color w:val="auto"/>
              </w:rPr>
            </w:pPr>
            <w:r>
              <w:rPr>
                <w:rFonts w:ascii="Arial" w:cs="Arial" w:eastAsia="Arial" w:hAnsi="Arial"/>
                <w:sz w:val="14"/>
                <w:szCs w:val="14"/>
                <w:b w:val="1"/>
                <w:bCs w:val="1"/>
                <w:color w:val="6A6E6F"/>
              </w:rPr>
              <w:t>Peer Company</w:t>
            </w:r>
          </w:p>
        </w:tc>
        <w:tc>
          <w:tcPr>
            <w:tcW w:w="4640" w:type="dxa"/>
            <w:vAlign w:val="bottom"/>
          </w:tcPr>
          <w:p>
            <w:pPr>
              <w:jc w:val="right"/>
              <w:ind w:right="108"/>
              <w:spacing w:after="0"/>
              <w:rPr>
                <w:sz w:val="20"/>
                <w:szCs w:val="20"/>
                <w:color w:val="auto"/>
              </w:rPr>
            </w:pPr>
            <w:r>
              <w:rPr>
                <w:rFonts w:ascii="Arial" w:cs="Arial" w:eastAsia="Arial" w:hAnsi="Arial"/>
                <w:sz w:val="14"/>
                <w:szCs w:val="14"/>
                <w:b w:val="1"/>
                <w:bCs w:val="1"/>
                <w:color w:val="6A6E6F"/>
              </w:rPr>
              <w:t>Setting 2025 Compensation</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6A6E6F"/>
              </w:rPr>
              <w:t>Setting 2026 Compensation</w:t>
            </w:r>
          </w:p>
        </w:tc>
      </w:tr>
      <w:tr>
        <w:trPr>
          <w:trHeight w:val="43"/>
        </w:trPr>
        <w:tc>
          <w:tcPr>
            <w:tcW w:w="3640" w:type="dxa"/>
            <w:vAlign w:val="bottom"/>
            <w:tcBorders>
              <w:bottom w:val="single" w:sz="8" w:color="E56D3D"/>
            </w:tcBorders>
          </w:tcPr>
          <w:p>
            <w:pPr>
              <w:spacing w:after="0"/>
              <w:rPr>
                <w:sz w:val="3"/>
                <w:szCs w:val="3"/>
                <w:color w:val="auto"/>
              </w:rPr>
            </w:pPr>
          </w:p>
        </w:tc>
        <w:tc>
          <w:tcPr>
            <w:tcW w:w="4640" w:type="dxa"/>
            <w:vAlign w:val="bottom"/>
            <w:tcBorders>
              <w:bottom w:val="single" w:sz="8" w:color="E56D3D"/>
            </w:tcBorders>
          </w:tcPr>
          <w:p>
            <w:pPr>
              <w:spacing w:after="0"/>
              <w:rPr>
                <w:sz w:val="3"/>
                <w:szCs w:val="3"/>
                <w:color w:val="auto"/>
              </w:rPr>
            </w:pPr>
          </w:p>
        </w:tc>
        <w:tc>
          <w:tcPr>
            <w:tcW w:w="2060" w:type="dxa"/>
            <w:vAlign w:val="bottom"/>
            <w:tcBorders>
              <w:bottom w:val="single" w:sz="8" w:color="E56D3D"/>
            </w:tcBorders>
          </w:tcPr>
          <w:p>
            <w:pPr>
              <w:spacing w:after="0"/>
              <w:rPr>
                <w:sz w:val="3"/>
                <w:szCs w:val="3"/>
                <w:color w:val="auto"/>
              </w:rPr>
            </w:pPr>
          </w:p>
        </w:tc>
      </w:tr>
    </w:tbl>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Agree Realty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1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1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270" cy="11112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American Homes 4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7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7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270" cy="11176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AvalonBay Communities,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7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270" cy="11176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Boston Properties,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270" cy="11112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Brixmor Property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7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7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270" cy="11176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Camden Property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1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1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270" cy="11112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Equity Lifestyle Properties,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7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7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270" cy="11176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Essex Property Trust,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7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7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270" cy="11176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1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1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270" cy="11112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Host Hotels &amp; Resorts,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7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7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270" cy="11176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Invitation Homes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1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1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270" cy="11112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Kilroy Realty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1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Kimco Realty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1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1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270" cy="11112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Kite Realty Group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7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7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8270" cy="11176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NNN REIT, Inc. (formerly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12065</wp:posOffset>
            </wp:positionV>
            <wp:extent cx="128905" cy="111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12065</wp:posOffset>
            </wp:positionV>
            <wp:extent cx="128270" cy="1111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270" cy="111125"/>
                    </a:xfrm>
                    <a:prstGeom prst="rect">
                      <a:avLst/>
                    </a:prstGeom>
                    <a:noFill/>
                  </pic:spPr>
                </pic:pic>
              </a:graphicData>
            </a:graphic>
          </wp:anchor>
        </w:drawing>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Retail Properties,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53340</wp:posOffset>
            </wp:positionV>
            <wp:extent cx="65747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Sun Communities,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1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1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270" cy="11112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Macerich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7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7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8270" cy="11176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UDR,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1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1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270" cy="11112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Vornado Realty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63500</wp:posOffset>
            </wp:positionV>
            <wp:extent cx="65747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-107315</wp:posOffset>
            </wp:positionV>
            <wp:extent cx="128905" cy="1111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-107315</wp:posOffset>
            </wp:positionV>
            <wp:extent cx="128270" cy="1111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8270" cy="11112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30</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060"/>
          </w:cols>
          <w:pgMar w:left="320" w:top="482"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 </w:t>
      </w:r>
      <w:r>
        <w:rPr>
          <w:rFonts w:ascii="Arial" w:cs="Arial" w:eastAsia="Arial" w:hAnsi="Arial"/>
          <w:sz w:val="19"/>
          <w:szCs w:val="19"/>
          <w:b w:val="1"/>
          <w:bCs w:val="1"/>
          <w:color w:val="E56D3D"/>
        </w:rPr>
        <w: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Compensation Committee Actions &amp; Decisions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2025 and early 2026, the Compensation Committee took the following actions and made the following decisions:</w:t>
      </w:r>
    </w:p>
    <w:p>
      <w:pPr>
        <w:sectPr>
          <w:pgSz w:w="11900" w:h="16838" w:orient="portrait"/>
          <w:cols w:equalWidth="0" w:num="1">
            <w:col w:w="11140"/>
          </w:cols>
          <w:pgMar w:left="320" w:top="482" w:right="439" w:bottom="1440" w:gutter="0" w:footer="0" w:header="0"/>
        </w:sectPr>
      </w:pPr>
    </w:p>
    <w:p>
      <w:pPr>
        <w:spacing w:after="0" w:line="248" w:lineRule="exact"/>
        <w:rPr>
          <w:sz w:val="20"/>
          <w:szCs w:val="20"/>
          <w:color w:val="auto"/>
        </w:rPr>
      </w:pPr>
    </w:p>
    <w:p>
      <w:pPr>
        <w:ind w:left="680" w:right="260"/>
        <w:spacing w:after="0" w:line="286" w:lineRule="auto"/>
        <w:rPr>
          <w:sz w:val="20"/>
          <w:szCs w:val="20"/>
          <w:color w:val="auto"/>
        </w:rPr>
      </w:pPr>
      <w:r>
        <w:rPr>
          <w:rFonts w:ascii="Arial" w:cs="Arial" w:eastAsia="Arial" w:hAnsi="Arial"/>
          <w:sz w:val="16"/>
          <w:szCs w:val="16"/>
          <w:color w:val="auto"/>
        </w:rPr>
        <w:t>Assessed 2025 performance and approved annual incentives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-268605</wp:posOffset>
            </wp:positionV>
            <wp:extent cx="248285" cy="2489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49" w:lineRule="exact"/>
        <w:rPr>
          <w:sz w:val="20"/>
          <w:szCs w:val="20"/>
          <w:color w:val="auto"/>
        </w:rPr>
      </w:pPr>
    </w:p>
    <w:p>
      <w:pPr>
        <w:ind w:left="680" w:right="280"/>
        <w:spacing w:after="0" w:line="286" w:lineRule="auto"/>
        <w:rPr>
          <w:sz w:val="20"/>
          <w:szCs w:val="20"/>
          <w:color w:val="auto"/>
        </w:rPr>
      </w:pPr>
      <w:r>
        <w:rPr>
          <w:rFonts w:ascii="Arial" w:cs="Arial" w:eastAsia="Arial" w:hAnsi="Arial"/>
          <w:sz w:val="16"/>
          <w:szCs w:val="16"/>
          <w:color w:val="auto"/>
        </w:rPr>
        <w:t>Reviewed the overall executive compensation philosophy for the Company, in preparation for 2026 program design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-268605</wp:posOffset>
            </wp:positionV>
            <wp:extent cx="248285" cy="2489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49" w:lineRule="exact"/>
        <w:rPr>
          <w:sz w:val="20"/>
          <w:szCs w:val="20"/>
          <w:color w:val="auto"/>
        </w:rPr>
      </w:pPr>
    </w:p>
    <w:p>
      <w:pPr>
        <w:jc w:val="both"/>
        <w:ind w:left="680"/>
        <w:spacing w:after="0" w:line="266" w:lineRule="auto"/>
        <w:rPr>
          <w:sz w:val="20"/>
          <w:szCs w:val="20"/>
          <w:color w:val="auto"/>
        </w:rPr>
      </w:pPr>
      <w:r>
        <w:rPr>
          <w:rFonts w:ascii="Arial" w:cs="Arial" w:eastAsia="Arial" w:hAnsi="Arial"/>
          <w:sz w:val="16"/>
          <w:szCs w:val="16"/>
          <w:color w:val="auto"/>
        </w:rPr>
        <w:t>In conjunction with Nominating and Governance Committee, agreed on corporate responsibility metrics to be included in the 2026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-379095</wp:posOffset>
            </wp:positionV>
            <wp:extent cx="248285" cy="2489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51" w:lineRule="exact"/>
        <w:rPr>
          <w:sz w:val="20"/>
          <w:szCs w:val="20"/>
          <w:color w:val="auto"/>
        </w:rPr>
      </w:pPr>
    </w:p>
    <w:p>
      <w:pPr>
        <w:ind w:left="680" w:right="160"/>
        <w:spacing w:after="0" w:line="286" w:lineRule="auto"/>
        <w:rPr>
          <w:sz w:val="20"/>
          <w:szCs w:val="20"/>
          <w:color w:val="auto"/>
        </w:rPr>
      </w:pPr>
      <w:r>
        <w:rPr>
          <w:rFonts w:ascii="Arial" w:cs="Arial" w:eastAsia="Arial" w:hAnsi="Arial"/>
          <w:sz w:val="16"/>
          <w:szCs w:val="16"/>
          <w:color w:val="auto"/>
        </w:rPr>
        <w:t>Approved payouts for the 2023 – 2025 long-term performance unit incentive plan based on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-268605</wp:posOffset>
            </wp:positionV>
            <wp:extent cx="248285" cy="2489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Determined 2026 short- and long-term incentive plans and targets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-268605</wp:posOffset>
            </wp:positionV>
            <wp:extent cx="248920" cy="2489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Reviewed market competitiveness and adjusted NEO base salaries for 2025 and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-268605</wp:posOffset>
            </wp:positionV>
            <wp:extent cx="248920" cy="2489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14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Benchmarked, reviewed and modified the peer group to assist in making 2026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-268605</wp:posOffset>
            </wp:positionV>
            <wp:extent cx="248920" cy="2489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32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Reviewed independent director compensation and recommended changes for 2026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-268605</wp:posOffset>
            </wp:positionV>
            <wp:extent cx="248920" cy="2489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00"/>
            <w:col w:w="4860"/>
          </w:cols>
          <w:pgMar w:left="320" w:top="482" w:right="439" w:bottom="1440" w:gutter="0" w:footer="0" w:header="0"/>
          <w:type w:val="continuous"/>
        </w:sectPr>
      </w:pPr>
    </w:p>
    <w:p>
      <w:pPr>
        <w:spacing w:after="0" w:line="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Elements of Compensation</w:t>
      </w:r>
    </w:p>
    <w:p>
      <w:pPr>
        <w:spacing w:after="0" w:line="112" w:lineRule="exact"/>
        <w:rPr>
          <w:sz w:val="20"/>
          <w:szCs w:val="20"/>
          <w:color w:val="auto"/>
        </w:rPr>
      </w:pPr>
    </w:p>
    <w:p>
      <w:pPr>
        <w:ind w:left="120" w:right="40"/>
        <w:spacing w:after="0" w:line="257" w:lineRule="auto"/>
        <w:rPr>
          <w:sz w:val="20"/>
          <w:szCs w:val="20"/>
          <w:color w:val="auto"/>
        </w:rPr>
      </w:pPr>
      <w:r>
        <w:rPr>
          <w:rFonts w:ascii="Arial" w:cs="Arial" w:eastAsia="Arial" w:hAnsi="Arial"/>
          <w:sz w:val="16"/>
          <w:szCs w:val="16"/>
          <w:color w:val="auto"/>
        </w:rPr>
        <w:t>In designing our compensation program, we believe the pay of our NEOs should be predominantly performance-based because these individuals have the greatest ability to drive our Company’s operating and financial results and, therefore, value creation for our shareholders. The charts below summarize the designed allocation of the 2025 target compensation opportunity for our President and CEO and our other NEOs (excluding our Executive Chairman), respectively, based upon the three primary components of our NEO compensation program (base salary, annual cash incentive and long-term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546100</wp:posOffset>
            </wp:positionV>
            <wp:extent cx="6249035" cy="25203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4903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6A6E6F"/>
        </w:rPr>
        <w:t>REGENCY CENTERS </w:t>
      </w:r>
      <w:r>
        <w:rPr>
          <w:rFonts w:ascii="Arial" w:cs="Arial" w:eastAsia="Arial" w:hAnsi="Arial"/>
          <w:sz w:val="17"/>
          <w:szCs w:val="17"/>
          <w:color w:val="6A6E6F"/>
        </w:rPr>
        <w:t>|</w:t>
      </w:r>
      <w:r>
        <w:rPr>
          <w:rFonts w:ascii="Arial" w:cs="Arial" w:eastAsia="Arial" w:hAnsi="Arial"/>
          <w:sz w:val="13"/>
          <w:szCs w:val="13"/>
          <w:color w:val="6A6E6F"/>
        </w:rPr>
        <w:t> 2026 PROXY STATEMENT </w:t>
      </w:r>
      <w:r>
        <w:rPr>
          <w:rFonts w:ascii="Arial" w:cs="Arial" w:eastAsia="Arial" w:hAnsi="Arial"/>
          <w:sz w:val="17"/>
          <w:szCs w:val="17"/>
          <w:color w:val="6A6E6F"/>
        </w:rPr>
        <w:t>|</w:t>
      </w:r>
      <w:r>
        <w:rPr>
          <w:rFonts w:ascii="Arial" w:cs="Arial" w:eastAsia="Arial" w:hAnsi="Arial"/>
          <w:sz w:val="13"/>
          <w:szCs w:val="13"/>
          <w:color w:val="000000"/>
        </w:rPr>
        <w:t xml:space="preserve"> </w:t>
      </w:r>
      <w:r>
        <w:rPr>
          <w:rFonts w:ascii="Arial" w:cs="Arial" w:eastAsia="Arial" w:hAnsi="Arial"/>
          <w:sz w:val="13"/>
          <w:szCs w:val="13"/>
          <w:b w:val="1"/>
          <w:bCs w:val="1"/>
          <w:color w:val="000000"/>
        </w:rPr>
        <w:t>31</w:t>
      </w:r>
    </w:p>
    <w:p>
      <w:pPr>
        <w:sectPr>
          <w:pgSz w:w="11900" w:h="16838" w:orient="portrait"/>
          <w:cols w:equalWidth="0" w:num="1">
            <w:col w:w="11140"/>
          </w:cols>
          <w:pgMar w:left="320" w:top="482" w:right="4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Compensation Discussion and Analysis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E56D3D"/>
        </w:rPr>
        <w:t>Base Salary</w:t>
      </w:r>
    </w:p>
    <w:p>
      <w:pPr>
        <w:spacing w:after="0" w:line="71"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Base salaries are reviewed annually. Several factors are considered in determining salary adjustments, including market competitiveness, the roles and responsibilities of the executives, individual contributions to the Company’s success, an analysis of position requirements and the executives’ prior experience and accomplishments. Slightly larger increases for Mr. Roth and Mr. Wibbenmeyer were intended to align them more closely with market pay for comparable senior leadership positions.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5280" w:type="dxa"/>
            <w:vAlign w:val="bottom"/>
          </w:tcPr>
          <w:p>
            <w:pPr>
              <w:ind w:left="60"/>
              <w:spacing w:after="0"/>
              <w:rPr>
                <w:sz w:val="20"/>
                <w:szCs w:val="20"/>
                <w:color w:val="auto"/>
              </w:rPr>
            </w:pPr>
            <w:r>
              <w:rPr>
                <w:rFonts w:ascii="Arial" w:cs="Arial" w:eastAsia="Arial" w:hAnsi="Arial"/>
                <w:sz w:val="14"/>
                <w:szCs w:val="14"/>
                <w:b w:val="1"/>
                <w:bCs w:val="1"/>
                <w:color w:val="6A6E6F"/>
              </w:rPr>
              <w:t>Named Executive Officers</w:t>
            </w:r>
          </w:p>
        </w:tc>
        <w:tc>
          <w:tcPr>
            <w:tcW w:w="3140" w:type="dxa"/>
            <w:vAlign w:val="bottom"/>
          </w:tcPr>
          <w:p>
            <w:pPr>
              <w:jc w:val="right"/>
              <w:spacing w:after="0"/>
              <w:rPr>
                <w:sz w:val="20"/>
                <w:szCs w:val="20"/>
                <w:color w:val="auto"/>
              </w:rPr>
            </w:pPr>
            <w:r>
              <w:rPr>
                <w:rFonts w:ascii="Arial" w:cs="Arial" w:eastAsia="Arial" w:hAnsi="Arial"/>
                <w:sz w:val="14"/>
                <w:szCs w:val="14"/>
                <w:b w:val="1"/>
                <w:bCs w:val="1"/>
                <w:color w:val="6A6E6F"/>
              </w:rPr>
              <w:t>2024 Base Salary</w:t>
            </w:r>
          </w:p>
        </w:tc>
        <w:tc>
          <w:tcPr>
            <w:tcW w:w="1560" w:type="dxa"/>
            <w:vAlign w:val="bottom"/>
          </w:tcPr>
          <w:p>
            <w:pPr>
              <w:jc w:val="right"/>
              <w:ind w:right="228"/>
              <w:spacing w:after="0"/>
              <w:rPr>
                <w:sz w:val="20"/>
                <w:szCs w:val="20"/>
                <w:color w:val="auto"/>
              </w:rPr>
            </w:pPr>
            <w:r>
              <w:rPr>
                <w:rFonts w:ascii="Arial" w:cs="Arial" w:eastAsia="Arial" w:hAnsi="Arial"/>
                <w:sz w:val="14"/>
                <w:szCs w:val="14"/>
                <w:b w:val="1"/>
                <w:bCs w:val="1"/>
                <w:color w:val="6A6E6F"/>
              </w:rPr>
              <w:t>2025 Base Salary</w:t>
            </w:r>
          </w:p>
        </w:tc>
        <w:tc>
          <w:tcPr>
            <w:tcW w:w="1040" w:type="dxa"/>
            <w:vAlign w:val="bottom"/>
          </w:tcPr>
          <w:p>
            <w:pPr>
              <w:ind w:left="120"/>
              <w:spacing w:after="0"/>
              <w:rPr>
                <w:sz w:val="20"/>
                <w:szCs w:val="20"/>
                <w:color w:val="auto"/>
              </w:rPr>
            </w:pPr>
            <w:r>
              <w:rPr>
                <w:rFonts w:ascii="Arial" w:cs="Arial" w:eastAsia="Arial" w:hAnsi="Arial"/>
                <w:sz w:val="14"/>
                <w:szCs w:val="14"/>
                <w:b w:val="1"/>
                <w:bCs w:val="1"/>
                <w:color w:val="6A6E6F"/>
              </w:rPr>
              <w:t>% Increase </w:t>
            </w:r>
          </w:p>
        </w:tc>
        <w:tc>
          <w:tcPr>
            <w:tcW w:w="0" w:type="dxa"/>
            <w:vAlign w:val="bottom"/>
          </w:tcPr>
          <w:p>
            <w:pPr>
              <w:spacing w:after="0"/>
              <w:rPr>
                <w:sz w:val="1"/>
                <w:szCs w:val="1"/>
                <w:color w:val="auto"/>
              </w:rPr>
            </w:pPr>
          </w:p>
        </w:tc>
      </w:tr>
      <w:tr>
        <w:trPr>
          <w:trHeight w:val="43"/>
        </w:trPr>
        <w:tc>
          <w:tcPr>
            <w:tcW w:w="5280" w:type="dxa"/>
            <w:vAlign w:val="bottom"/>
            <w:tcBorders>
              <w:bottom w:val="single" w:sz="8" w:color="E56D3D"/>
            </w:tcBorders>
          </w:tcPr>
          <w:p>
            <w:pPr>
              <w:spacing w:after="0"/>
              <w:rPr>
                <w:sz w:val="3"/>
                <w:szCs w:val="3"/>
                <w:color w:val="auto"/>
              </w:rPr>
            </w:pPr>
          </w:p>
        </w:tc>
        <w:tc>
          <w:tcPr>
            <w:tcW w:w="3140" w:type="dxa"/>
            <w:vAlign w:val="bottom"/>
            <w:tcBorders>
              <w:bottom w:val="single" w:sz="8" w:color="E56D3D"/>
            </w:tcBorders>
          </w:tcPr>
          <w:p>
            <w:pPr>
              <w:spacing w:after="0"/>
              <w:rPr>
                <w:sz w:val="3"/>
                <w:szCs w:val="3"/>
                <w:color w:val="auto"/>
              </w:rPr>
            </w:pPr>
          </w:p>
        </w:tc>
        <w:tc>
          <w:tcPr>
            <w:tcW w:w="1560" w:type="dxa"/>
            <w:vAlign w:val="bottom"/>
            <w:tcBorders>
              <w:bottom w:val="single" w:sz="8" w:color="E56D3D"/>
            </w:tcBorders>
          </w:tcPr>
          <w:p>
            <w:pPr>
              <w:spacing w:after="0"/>
              <w:rPr>
                <w:sz w:val="3"/>
                <w:szCs w:val="3"/>
                <w:color w:val="auto"/>
              </w:rPr>
            </w:pPr>
          </w:p>
        </w:tc>
        <w:tc>
          <w:tcPr>
            <w:tcW w:w="1040" w:type="dxa"/>
            <w:vAlign w:val="bottom"/>
            <w:tcBorders>
              <w:bottom w:val="single" w:sz="8" w:color="E56D3D"/>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280" w:type="dxa"/>
            <w:vAlign w:val="bottom"/>
          </w:tcPr>
          <w:p>
            <w:pPr>
              <w:ind w:left="60"/>
              <w:spacing w:after="0"/>
              <w:rPr>
                <w:sz w:val="20"/>
                <w:szCs w:val="20"/>
                <w:color w:val="auto"/>
              </w:rPr>
            </w:pPr>
            <w:r>
              <w:rPr>
                <w:rFonts w:ascii="Arial" w:cs="Arial" w:eastAsia="Arial" w:hAnsi="Arial"/>
                <w:sz w:val="14"/>
                <w:szCs w:val="14"/>
                <w:b w:val="1"/>
                <w:bCs w:val="1"/>
                <w:color w:val="auto"/>
              </w:rPr>
              <w:t>Martin E. Stein, Jr.</w:t>
            </w:r>
          </w:p>
        </w:tc>
        <w:tc>
          <w:tcPr>
            <w:tcW w:w="314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1560" w:type="dxa"/>
            <w:vAlign w:val="bottom"/>
            <w:vMerge w:val="restart"/>
          </w:tcPr>
          <w:p>
            <w:pPr>
              <w:jc w:val="right"/>
              <w:ind w:right="228"/>
              <w:spacing w:after="0"/>
              <w:rPr>
                <w:sz w:val="20"/>
                <w:szCs w:val="20"/>
                <w:color w:val="auto"/>
              </w:rPr>
            </w:pPr>
            <w:r>
              <w:rPr>
                <w:rFonts w:ascii="Arial" w:cs="Arial" w:eastAsia="Arial" w:hAnsi="Arial"/>
                <w:sz w:val="14"/>
                <w:szCs w:val="14"/>
                <w:color w:val="auto"/>
              </w:rPr>
              <w:t>$500,000</w:t>
            </w:r>
          </w:p>
        </w:tc>
        <w:tc>
          <w:tcPr>
            <w:tcW w:w="1040" w:type="dxa"/>
            <w:vAlign w:val="bottom"/>
            <w:vMerge w:val="restart"/>
            <w:shd w:val="clear" w:color="auto" w:fill="F7F7F7"/>
          </w:tcPr>
          <w:p>
            <w:pPr>
              <w:ind w:left="540"/>
              <w:spacing w:after="0"/>
              <w:rPr>
                <w:sz w:val="20"/>
                <w:szCs w:val="20"/>
                <w:color w:val="auto"/>
              </w:rPr>
            </w:pPr>
            <w:r>
              <w:rPr>
                <w:rFonts w:ascii="Arial" w:cs="Arial" w:eastAsia="Arial" w:hAnsi="Arial"/>
                <w:sz w:val="14"/>
                <w:szCs w:val="14"/>
                <w:color w:val="auto"/>
              </w:rPr>
              <w:t>0.0%  </w:t>
            </w:r>
          </w:p>
        </w:tc>
        <w:tc>
          <w:tcPr>
            <w:tcW w:w="0" w:type="dxa"/>
            <w:vAlign w:val="bottom"/>
          </w:tcPr>
          <w:p>
            <w:pPr>
              <w:spacing w:after="0"/>
              <w:rPr>
                <w:sz w:val="1"/>
                <w:szCs w:val="1"/>
                <w:color w:val="auto"/>
              </w:rPr>
            </w:pPr>
          </w:p>
        </w:tc>
      </w:tr>
      <w:tr>
        <w:trPr>
          <w:trHeight w:val="109"/>
        </w:trPr>
        <w:tc>
          <w:tcPr>
            <w:tcW w:w="5280" w:type="dxa"/>
            <w:vAlign w:val="bottom"/>
            <w:vMerge w:val="restart"/>
          </w:tcPr>
          <w:p>
            <w:pPr>
              <w:ind w:left="60"/>
              <w:spacing w:after="0"/>
              <w:rPr>
                <w:sz w:val="20"/>
                <w:szCs w:val="20"/>
                <w:color w:val="auto"/>
              </w:rPr>
            </w:pPr>
            <w:r>
              <w:rPr>
                <w:rFonts w:ascii="Arial" w:cs="Arial" w:eastAsia="Arial" w:hAnsi="Arial"/>
                <w:sz w:val="14"/>
                <w:szCs w:val="14"/>
                <w:color w:val="auto"/>
              </w:rPr>
              <w:t>Executive Chairman</w:t>
            </w:r>
          </w:p>
        </w:tc>
        <w:tc>
          <w:tcPr>
            <w:tcW w:w="31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040" w:type="dxa"/>
            <w:vAlign w:val="bottom"/>
            <w:vMerge w:val="continue"/>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28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Borders>
              <w:bottom w:val="single" w:sz="8" w:color="F7F7F7"/>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5280" w:type="dxa"/>
            <w:vAlign w:val="bottom"/>
            <w:tcBorders>
              <w:top w:val="single" w:sz="8" w:color="B2B2B2"/>
            </w:tcBorders>
          </w:tcPr>
          <w:p>
            <w:pPr>
              <w:ind w:left="60"/>
              <w:spacing w:after="0"/>
              <w:rPr>
                <w:sz w:val="20"/>
                <w:szCs w:val="20"/>
                <w:color w:val="auto"/>
              </w:rPr>
            </w:pPr>
            <w:r>
              <w:rPr>
                <w:rFonts w:ascii="Arial" w:cs="Arial" w:eastAsia="Arial" w:hAnsi="Arial"/>
                <w:sz w:val="14"/>
                <w:szCs w:val="14"/>
                <w:b w:val="1"/>
                <w:bCs w:val="1"/>
                <w:color w:val="auto"/>
              </w:rPr>
              <w:t>Lisa Palmer</w:t>
            </w:r>
          </w:p>
        </w:tc>
        <w:tc>
          <w:tcPr>
            <w:tcW w:w="3140" w:type="dxa"/>
            <w:vAlign w:val="bottom"/>
            <w:tcBorders>
              <w:top w:val="single" w:sz="8" w:color="B2B2B2"/>
            </w:tcBorders>
            <w:vMerge w:val="restart"/>
          </w:tcPr>
          <w:p>
            <w:pPr>
              <w:jc w:val="right"/>
              <w:spacing w:after="0"/>
              <w:rPr>
                <w:sz w:val="20"/>
                <w:szCs w:val="20"/>
                <w:color w:val="auto"/>
              </w:rPr>
            </w:pPr>
            <w:r>
              <w:rPr>
                <w:rFonts w:ascii="Arial" w:cs="Arial" w:eastAsia="Arial" w:hAnsi="Arial"/>
                <w:sz w:val="14"/>
                <w:szCs w:val="14"/>
                <w:color w:val="auto"/>
              </w:rPr>
              <w:t>$1,030,000</w:t>
            </w:r>
          </w:p>
        </w:tc>
        <w:tc>
          <w:tcPr>
            <w:tcW w:w="1560" w:type="dxa"/>
            <w:vAlign w:val="bottom"/>
            <w:tcBorders>
              <w:top w:val="single" w:sz="8" w:color="B2B2B2"/>
            </w:tcBorders>
            <w:vMerge w:val="restart"/>
          </w:tcPr>
          <w:p>
            <w:pPr>
              <w:jc w:val="right"/>
              <w:ind w:right="228"/>
              <w:spacing w:after="0"/>
              <w:rPr>
                <w:sz w:val="20"/>
                <w:szCs w:val="20"/>
                <w:color w:val="auto"/>
              </w:rPr>
            </w:pPr>
            <w:r>
              <w:rPr>
                <w:rFonts w:ascii="Arial" w:cs="Arial" w:eastAsia="Arial" w:hAnsi="Arial"/>
                <w:sz w:val="14"/>
                <w:szCs w:val="14"/>
                <w:color w:val="auto"/>
              </w:rPr>
              <w:t>$1,050,000</w:t>
            </w:r>
          </w:p>
        </w:tc>
        <w:tc>
          <w:tcPr>
            <w:tcW w:w="1040" w:type="dxa"/>
            <w:vAlign w:val="bottom"/>
            <w:tcBorders>
              <w:top w:val="single" w:sz="8" w:color="B2B2B2"/>
            </w:tcBorders>
            <w:vMerge w:val="restart"/>
            <w:shd w:val="clear" w:color="auto" w:fill="F7F7F7"/>
          </w:tcPr>
          <w:p>
            <w:pPr>
              <w:ind w:left="540"/>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09"/>
        </w:trPr>
        <w:tc>
          <w:tcPr>
            <w:tcW w:w="5280" w:type="dxa"/>
            <w:vAlign w:val="bottom"/>
            <w:vMerge w:val="restart"/>
          </w:tcPr>
          <w:p>
            <w:pPr>
              <w:ind w:left="60"/>
              <w:spacing w:after="0"/>
              <w:rPr>
                <w:sz w:val="20"/>
                <w:szCs w:val="20"/>
                <w:color w:val="auto"/>
              </w:rPr>
            </w:pPr>
            <w:r>
              <w:rPr>
                <w:rFonts w:ascii="Arial" w:cs="Arial" w:eastAsia="Arial" w:hAnsi="Arial"/>
                <w:sz w:val="14"/>
                <w:szCs w:val="14"/>
                <w:color w:val="auto"/>
              </w:rPr>
              <w:t>President and Chief Executive Officer</w:t>
            </w:r>
          </w:p>
        </w:tc>
        <w:tc>
          <w:tcPr>
            <w:tcW w:w="31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040" w:type="dxa"/>
            <w:vAlign w:val="bottom"/>
            <w:vMerge w:val="continue"/>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28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Borders>
              <w:bottom w:val="single" w:sz="8" w:color="F7F7F7"/>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5280" w:type="dxa"/>
            <w:vAlign w:val="bottom"/>
            <w:tcBorders>
              <w:top w:val="single" w:sz="8" w:color="B2B2B2"/>
            </w:tcBorders>
          </w:tcPr>
          <w:p>
            <w:pPr>
              <w:ind w:left="60"/>
              <w:spacing w:after="0"/>
              <w:rPr>
                <w:sz w:val="20"/>
                <w:szCs w:val="20"/>
                <w:color w:val="auto"/>
              </w:rPr>
            </w:pPr>
            <w:r>
              <w:rPr>
                <w:rFonts w:ascii="Arial" w:cs="Arial" w:eastAsia="Arial" w:hAnsi="Arial"/>
                <w:sz w:val="14"/>
                <w:szCs w:val="14"/>
                <w:b w:val="1"/>
                <w:bCs w:val="1"/>
                <w:color w:val="auto"/>
              </w:rPr>
              <w:t>Michael J. Mas</w:t>
            </w:r>
          </w:p>
        </w:tc>
        <w:tc>
          <w:tcPr>
            <w:tcW w:w="3140" w:type="dxa"/>
            <w:vAlign w:val="bottom"/>
            <w:tcBorders>
              <w:top w:val="single" w:sz="8" w:color="B2B2B2"/>
            </w:tcBorders>
            <w:vMerge w:val="restart"/>
          </w:tcPr>
          <w:p>
            <w:pPr>
              <w:jc w:val="right"/>
              <w:spacing w:after="0"/>
              <w:rPr>
                <w:sz w:val="20"/>
                <w:szCs w:val="20"/>
                <w:color w:val="auto"/>
              </w:rPr>
            </w:pPr>
            <w:r>
              <w:rPr>
                <w:rFonts w:ascii="Arial" w:cs="Arial" w:eastAsia="Arial" w:hAnsi="Arial"/>
                <w:sz w:val="14"/>
                <w:szCs w:val="14"/>
                <w:color w:val="auto"/>
              </w:rPr>
              <w:t>$620,000</w:t>
            </w:r>
          </w:p>
        </w:tc>
        <w:tc>
          <w:tcPr>
            <w:tcW w:w="1560" w:type="dxa"/>
            <w:vAlign w:val="bottom"/>
            <w:tcBorders>
              <w:top w:val="single" w:sz="8" w:color="B2B2B2"/>
            </w:tcBorders>
            <w:vMerge w:val="restart"/>
          </w:tcPr>
          <w:p>
            <w:pPr>
              <w:jc w:val="right"/>
              <w:ind w:right="228"/>
              <w:spacing w:after="0"/>
              <w:rPr>
                <w:sz w:val="20"/>
                <w:szCs w:val="20"/>
                <w:color w:val="auto"/>
              </w:rPr>
            </w:pPr>
            <w:r>
              <w:rPr>
                <w:rFonts w:ascii="Arial" w:cs="Arial" w:eastAsia="Arial" w:hAnsi="Arial"/>
                <w:sz w:val="14"/>
                <w:szCs w:val="14"/>
                <w:color w:val="auto"/>
              </w:rPr>
              <w:t>$640,000</w:t>
            </w:r>
          </w:p>
        </w:tc>
        <w:tc>
          <w:tcPr>
            <w:tcW w:w="1040" w:type="dxa"/>
            <w:vAlign w:val="bottom"/>
            <w:tcBorders>
              <w:top w:val="single" w:sz="8" w:color="B2B2B2"/>
            </w:tcBorders>
            <w:vMerge w:val="restart"/>
            <w:shd w:val="clear" w:color="auto" w:fill="F7F7F7"/>
          </w:tcPr>
          <w:p>
            <w:pPr>
              <w:ind w:left="540"/>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09"/>
        </w:trPr>
        <w:tc>
          <w:tcPr>
            <w:tcW w:w="5280" w:type="dxa"/>
            <w:vAlign w:val="bottom"/>
            <w:vMerge w:val="restart"/>
          </w:tcPr>
          <w:p>
            <w:pPr>
              <w:ind w:left="60"/>
              <w:spacing w:after="0"/>
              <w:rPr>
                <w:sz w:val="20"/>
                <w:szCs w:val="20"/>
                <w:color w:val="auto"/>
              </w:rPr>
            </w:pPr>
            <w:r>
              <w:rPr>
                <w:rFonts w:ascii="Arial" w:cs="Arial" w:eastAsia="Arial" w:hAnsi="Arial"/>
                <w:sz w:val="14"/>
                <w:szCs w:val="14"/>
                <w:color w:val="auto"/>
              </w:rPr>
              <w:t>Executive Vice President, Chief Financial Officer</w:t>
            </w:r>
          </w:p>
        </w:tc>
        <w:tc>
          <w:tcPr>
            <w:tcW w:w="31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040" w:type="dxa"/>
            <w:vAlign w:val="bottom"/>
            <w:vMerge w:val="continue"/>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28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Borders>
              <w:bottom w:val="single" w:sz="8" w:color="F7F7F7"/>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5280" w:type="dxa"/>
            <w:vAlign w:val="bottom"/>
            <w:tcBorders>
              <w:top w:val="single" w:sz="8" w:color="B2B2B2"/>
            </w:tcBorders>
          </w:tcPr>
          <w:p>
            <w:pPr>
              <w:ind w:left="60"/>
              <w:spacing w:after="0"/>
              <w:rPr>
                <w:sz w:val="20"/>
                <w:szCs w:val="20"/>
                <w:color w:val="auto"/>
              </w:rPr>
            </w:pPr>
            <w:r>
              <w:rPr>
                <w:rFonts w:ascii="Arial" w:cs="Arial" w:eastAsia="Arial" w:hAnsi="Arial"/>
                <w:sz w:val="14"/>
                <w:szCs w:val="14"/>
                <w:b w:val="1"/>
                <w:bCs w:val="1"/>
                <w:color w:val="auto"/>
              </w:rPr>
              <w:t>Alan T. Roth</w:t>
            </w:r>
          </w:p>
        </w:tc>
        <w:tc>
          <w:tcPr>
            <w:tcW w:w="3140" w:type="dxa"/>
            <w:vAlign w:val="bottom"/>
            <w:tcBorders>
              <w:top w:val="single" w:sz="8" w:color="B2B2B2"/>
            </w:tcBorders>
            <w:vMerge w:val="restart"/>
          </w:tcPr>
          <w:p>
            <w:pPr>
              <w:jc w:val="right"/>
              <w:spacing w:after="0"/>
              <w:rPr>
                <w:sz w:val="20"/>
                <w:szCs w:val="20"/>
                <w:color w:val="auto"/>
              </w:rPr>
            </w:pPr>
            <w:r>
              <w:rPr>
                <w:rFonts w:ascii="Arial" w:cs="Arial" w:eastAsia="Arial" w:hAnsi="Arial"/>
                <w:sz w:val="14"/>
                <w:szCs w:val="14"/>
                <w:color w:val="auto"/>
              </w:rPr>
              <w:t>$600,000</w:t>
            </w:r>
          </w:p>
        </w:tc>
        <w:tc>
          <w:tcPr>
            <w:tcW w:w="1560" w:type="dxa"/>
            <w:vAlign w:val="bottom"/>
            <w:tcBorders>
              <w:top w:val="single" w:sz="8" w:color="B2B2B2"/>
            </w:tcBorders>
            <w:vMerge w:val="restart"/>
          </w:tcPr>
          <w:p>
            <w:pPr>
              <w:jc w:val="right"/>
              <w:ind w:right="228"/>
              <w:spacing w:after="0"/>
              <w:rPr>
                <w:sz w:val="20"/>
                <w:szCs w:val="20"/>
                <w:color w:val="auto"/>
              </w:rPr>
            </w:pPr>
            <w:r>
              <w:rPr>
                <w:rFonts w:ascii="Arial" w:cs="Arial" w:eastAsia="Arial" w:hAnsi="Arial"/>
                <w:sz w:val="14"/>
                <w:szCs w:val="14"/>
                <w:color w:val="auto"/>
              </w:rPr>
              <w:t>$625,000</w:t>
            </w:r>
          </w:p>
        </w:tc>
        <w:tc>
          <w:tcPr>
            <w:tcW w:w="1040" w:type="dxa"/>
            <w:vAlign w:val="bottom"/>
            <w:tcBorders>
              <w:top w:val="single" w:sz="8" w:color="B2B2B2"/>
            </w:tcBorders>
            <w:vMerge w:val="restart"/>
            <w:shd w:val="clear" w:color="auto" w:fill="F7F7F7"/>
          </w:tcPr>
          <w:p>
            <w:pPr>
              <w:ind w:left="540"/>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09"/>
        </w:trPr>
        <w:tc>
          <w:tcPr>
            <w:tcW w:w="5280" w:type="dxa"/>
            <w:vAlign w:val="bottom"/>
            <w:vMerge w:val="restart"/>
          </w:tcPr>
          <w:p>
            <w:pPr>
              <w:ind w:left="60"/>
              <w:spacing w:after="0"/>
              <w:rPr>
                <w:sz w:val="20"/>
                <w:szCs w:val="20"/>
                <w:color w:val="auto"/>
              </w:rPr>
            </w:pPr>
            <w:r>
              <w:rPr>
                <w:rFonts w:ascii="Arial" w:cs="Arial" w:eastAsia="Arial" w:hAnsi="Arial"/>
                <w:sz w:val="14"/>
                <w:szCs w:val="14"/>
                <w:color w:val="auto"/>
              </w:rPr>
              <w:t>East Region President and Chief Operating Officer</w:t>
            </w:r>
          </w:p>
        </w:tc>
        <w:tc>
          <w:tcPr>
            <w:tcW w:w="31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040" w:type="dxa"/>
            <w:vAlign w:val="bottom"/>
            <w:vMerge w:val="continue"/>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28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Borders>
              <w:bottom w:val="single" w:sz="8" w:color="F7F7F7"/>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5280" w:type="dxa"/>
            <w:vAlign w:val="bottom"/>
            <w:tcBorders>
              <w:top w:val="single" w:sz="8" w:color="B2B2B2"/>
            </w:tcBorders>
          </w:tcPr>
          <w:p>
            <w:pPr>
              <w:ind w:left="60"/>
              <w:spacing w:after="0"/>
              <w:rPr>
                <w:sz w:val="20"/>
                <w:szCs w:val="20"/>
                <w:color w:val="auto"/>
              </w:rPr>
            </w:pPr>
            <w:r>
              <w:rPr>
                <w:rFonts w:ascii="Arial" w:cs="Arial" w:eastAsia="Arial" w:hAnsi="Arial"/>
                <w:sz w:val="14"/>
                <w:szCs w:val="14"/>
                <w:b w:val="1"/>
                <w:bCs w:val="1"/>
                <w:color w:val="auto"/>
              </w:rPr>
              <w:t>Nicholas A. Wibbenmeyer</w:t>
            </w:r>
          </w:p>
        </w:tc>
        <w:tc>
          <w:tcPr>
            <w:tcW w:w="3140" w:type="dxa"/>
            <w:vAlign w:val="bottom"/>
            <w:tcBorders>
              <w:top w:val="single" w:sz="8" w:color="B2B2B2"/>
            </w:tcBorders>
            <w:vMerge w:val="restart"/>
          </w:tcPr>
          <w:p>
            <w:pPr>
              <w:jc w:val="right"/>
              <w:spacing w:after="0"/>
              <w:rPr>
                <w:sz w:val="20"/>
                <w:szCs w:val="20"/>
                <w:color w:val="auto"/>
              </w:rPr>
            </w:pPr>
            <w:r>
              <w:rPr>
                <w:rFonts w:ascii="Arial" w:cs="Arial" w:eastAsia="Arial" w:hAnsi="Arial"/>
                <w:sz w:val="14"/>
                <w:szCs w:val="14"/>
                <w:color w:val="auto"/>
              </w:rPr>
              <w:t>$600,000</w:t>
            </w:r>
          </w:p>
        </w:tc>
        <w:tc>
          <w:tcPr>
            <w:tcW w:w="1560" w:type="dxa"/>
            <w:vAlign w:val="bottom"/>
            <w:tcBorders>
              <w:top w:val="single" w:sz="8" w:color="B2B2B2"/>
            </w:tcBorders>
            <w:vMerge w:val="restart"/>
          </w:tcPr>
          <w:p>
            <w:pPr>
              <w:jc w:val="right"/>
              <w:ind w:right="228"/>
              <w:spacing w:after="0"/>
              <w:rPr>
                <w:sz w:val="20"/>
                <w:szCs w:val="20"/>
                <w:color w:val="auto"/>
              </w:rPr>
            </w:pPr>
            <w:r>
              <w:rPr>
                <w:rFonts w:ascii="Arial" w:cs="Arial" w:eastAsia="Arial" w:hAnsi="Arial"/>
                <w:sz w:val="14"/>
                <w:szCs w:val="14"/>
                <w:color w:val="auto"/>
              </w:rPr>
              <w:t>$625,000</w:t>
            </w:r>
          </w:p>
        </w:tc>
        <w:tc>
          <w:tcPr>
            <w:tcW w:w="1040" w:type="dxa"/>
            <w:vAlign w:val="bottom"/>
            <w:tcBorders>
              <w:top w:val="single" w:sz="8" w:color="B2B2B2"/>
            </w:tcBorders>
            <w:vMerge w:val="restart"/>
            <w:shd w:val="clear" w:color="auto" w:fill="F7F7F7"/>
          </w:tcPr>
          <w:p>
            <w:pPr>
              <w:ind w:left="540"/>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09"/>
        </w:trPr>
        <w:tc>
          <w:tcPr>
            <w:tcW w:w="5280" w:type="dxa"/>
            <w:vAlign w:val="bottom"/>
            <w:vMerge w:val="restart"/>
          </w:tcPr>
          <w:p>
            <w:pPr>
              <w:ind w:left="60"/>
              <w:spacing w:after="0"/>
              <w:rPr>
                <w:sz w:val="20"/>
                <w:szCs w:val="20"/>
                <w:color w:val="auto"/>
              </w:rPr>
            </w:pPr>
            <w:r>
              <w:rPr>
                <w:rFonts w:ascii="Arial" w:cs="Arial" w:eastAsia="Arial" w:hAnsi="Arial"/>
                <w:sz w:val="14"/>
                <w:szCs w:val="14"/>
                <w:color w:val="auto"/>
              </w:rPr>
              <w:t>West Region President and Chief Investment Officer</w:t>
            </w:r>
          </w:p>
        </w:tc>
        <w:tc>
          <w:tcPr>
            <w:tcW w:w="314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040" w:type="dxa"/>
            <w:vAlign w:val="bottom"/>
            <w:vMerge w:val="continue"/>
            <w:shd w:val="clear" w:color="auto" w:fill="F7F7F7"/>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280" w:type="dxa"/>
            <w:vAlign w:val="bottom"/>
            <w:vMerge w:val="continue"/>
          </w:tcPr>
          <w:p>
            <w:pPr>
              <w:spacing w:after="0"/>
              <w:rPr>
                <w:sz w:val="7"/>
                <w:szCs w:val="7"/>
                <w:color w:val="auto"/>
              </w:rPr>
            </w:pPr>
          </w:p>
        </w:tc>
        <w:tc>
          <w:tcPr>
            <w:tcW w:w="31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40" w:type="dxa"/>
            <w:vAlign w:val="bottom"/>
            <w:tcBorders>
              <w:bottom w:val="single" w:sz="8" w:color="F7F7F7"/>
            </w:tcBorders>
            <w:shd w:val="clear" w:color="auto" w:fill="F7F7F7"/>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E56D3D"/>
          </w:tcPr>
          <w:p>
            <w:pPr>
              <w:spacing w:after="0" w:line="20" w:lineRule="exact"/>
              <w:rPr>
                <w:sz w:val="1"/>
                <w:szCs w:val="1"/>
                <w:color w:val="auto"/>
              </w:rPr>
            </w:pPr>
          </w:p>
        </w:tc>
        <w:tc>
          <w:tcPr>
            <w:tcW w:w="3140" w:type="dxa"/>
            <w:vAlign w:val="bottom"/>
            <w:shd w:val="clear" w:color="auto" w:fill="E56D3D"/>
          </w:tcPr>
          <w:p>
            <w:pPr>
              <w:spacing w:after="0" w:line="20" w:lineRule="exact"/>
              <w:rPr>
                <w:sz w:val="1"/>
                <w:szCs w:val="1"/>
                <w:color w:val="auto"/>
              </w:rPr>
            </w:pPr>
          </w:p>
        </w:tc>
        <w:tc>
          <w:tcPr>
            <w:tcW w:w="1560" w:type="dxa"/>
            <w:vAlign w:val="bottom"/>
            <w:shd w:val="clear" w:color="auto" w:fill="E56D3D"/>
          </w:tcPr>
          <w:p>
            <w:pPr>
              <w:spacing w:after="0" w:line="20" w:lineRule="exact"/>
              <w:rPr>
                <w:sz w:val="1"/>
                <w:szCs w:val="1"/>
                <w:color w:val="auto"/>
              </w:rPr>
            </w:pPr>
          </w:p>
        </w:tc>
        <w:tc>
          <w:tcPr>
            <w:tcW w:w="1040" w:type="dxa"/>
            <w:vAlign w:val="bottom"/>
            <w:shd w:val="clear" w:color="auto" w:fill="E56D3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E56D3D"/>
        </w:rPr>
        <w:t>Annual Cash Incentives — Overview</w:t>
      </w:r>
    </w:p>
    <w:p>
      <w:pPr>
        <w:spacing w:after="0" w:line="71"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The Compensation Committee sets rigorous performance goals to align pay with performance. A number of factors are considered, including prior year performance, current business and economic environment, competitive compensation benchmarking, peer performance and the Company’s key financial and strategic objectives. The Company pays an annual cash incentive based on achievement of specified key corporate objectives. For 2025, the annual cash incentive framework for our NEOs was based 80% on Core Operating Earnings per Share and 20% on achievement of corporate responsibility objectives except for Mr. Stein, who, as Executive Chairman, did not have an annual cash incentive opportunity in 2025.</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Core Operating Earnings per Share</w:t>
      </w:r>
    </w:p>
    <w:p>
      <w:pPr>
        <w:spacing w:after="0" w:line="106"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The Compensation Committee believes that Core Operating Earnings per Share is the financial metric most representative of management’s ability to achieve the Company’s annual financial plan, as reviewed and approved by our Board, and the Company’s ability to make distributions to shareholders on a sustainable basis. It also serves as an important indicator of growth in our net asset value. The performance criteria for the Core Operating Earnings per Share metric are set forth in the following table. Performance between levels are interpolated, and payouts for performance below the “Low” performance level, if any, would be made only at the discretion of the Compensation Committee.</w:t>
      </w:r>
    </w:p>
    <w:p>
      <w:pPr>
        <w:spacing w:after="0" w:line="153"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In addition, to incentivize our NEOs to act in the long-term interests of the Company and its shareholders, the committee may exercise its discretion to modify the calculation of Core Operating Earnings per Share so as not to penalize (or overly-benefit) our NEOs for taking actions that may have a negative (or positive) impact on Core Operating Earnings per Share in the short term, such as the sale of assets and debt reduction, but are beneficial to the Company’s long-term positioning and prospects.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32</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 </w:t>
      </w:r>
      <w:r>
        <w:rPr>
          <w:rFonts w:ascii="Arial" w:cs="Arial" w:eastAsia="Arial" w:hAnsi="Arial"/>
          <w:sz w:val="19"/>
          <w:szCs w:val="19"/>
          <w:b w:val="1"/>
          <w:bCs w:val="1"/>
          <w:color w:val="E56D3D"/>
        </w:rPr>
        <w: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2025 Performance Criteria for Annual Cash Incentive</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Core Operating Earnings per Share (80% Weight at Target)</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5140" w:type="dxa"/>
            <w:vAlign w:val="bottom"/>
            <w:vMerge w:val="restart"/>
          </w:tcPr>
          <w:p>
            <w:pPr>
              <w:jc w:val="center"/>
              <w:ind w:left="2828"/>
              <w:spacing w:after="0"/>
              <w:rPr>
                <w:sz w:val="20"/>
                <w:szCs w:val="20"/>
                <w:color w:val="auto"/>
              </w:rPr>
            </w:pPr>
            <w:r>
              <w:rPr>
                <w:rFonts w:ascii="Arial" w:cs="Arial" w:eastAsia="Arial" w:hAnsi="Arial"/>
                <w:sz w:val="14"/>
                <w:szCs w:val="14"/>
                <w:b w:val="1"/>
                <w:bCs w:val="1"/>
                <w:color w:val="6A6E6F"/>
              </w:rPr>
              <w:t>Multiple of</w:t>
            </w:r>
          </w:p>
        </w:tc>
        <w:tc>
          <w:tcPr>
            <w:tcW w:w="1520" w:type="dxa"/>
            <w:vAlign w:val="bottom"/>
          </w:tcPr>
          <w:p>
            <w:pPr>
              <w:jc w:val="right"/>
              <w:ind w:right="28"/>
              <w:spacing w:after="0"/>
              <w:rPr>
                <w:sz w:val="20"/>
                <w:szCs w:val="20"/>
                <w:color w:val="auto"/>
              </w:rPr>
            </w:pPr>
            <w:r>
              <w:rPr>
                <w:rFonts w:ascii="Arial" w:cs="Arial" w:eastAsia="Arial" w:hAnsi="Arial"/>
                <w:sz w:val="14"/>
                <w:szCs w:val="14"/>
                <w:b w:val="1"/>
                <w:bCs w:val="1"/>
                <w:color w:val="6A6E6F"/>
              </w:rPr>
              <w:t>2025</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5140" w:type="dxa"/>
            <w:vAlign w:val="bottom"/>
            <w:vMerge w:val="continue"/>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6A6E6F"/>
              </w:rPr>
              <w:t>Core Operating</w:t>
            </w:r>
          </w:p>
        </w:tc>
        <w:tc>
          <w:tcPr>
            <w:tcW w:w="0" w:type="dxa"/>
            <w:vAlign w:val="bottom"/>
          </w:tcPr>
          <w:p>
            <w:pPr>
              <w:spacing w:after="0"/>
              <w:rPr>
                <w:sz w:val="1"/>
                <w:szCs w:val="1"/>
                <w:color w:val="auto"/>
              </w:rPr>
            </w:pPr>
          </w:p>
        </w:tc>
      </w:tr>
      <w:tr>
        <w:trPr>
          <w:trHeight w:val="210"/>
        </w:trPr>
        <w:tc>
          <w:tcPr>
            <w:tcW w:w="4360" w:type="dxa"/>
            <w:vAlign w:val="bottom"/>
          </w:tcPr>
          <w:p>
            <w:pPr>
              <w:ind w:left="60"/>
              <w:spacing w:after="0"/>
              <w:rPr>
                <w:sz w:val="20"/>
                <w:szCs w:val="20"/>
                <w:color w:val="auto"/>
              </w:rPr>
            </w:pPr>
            <w:r>
              <w:rPr>
                <w:rFonts w:ascii="Arial" w:cs="Arial" w:eastAsia="Arial" w:hAnsi="Arial"/>
                <w:sz w:val="14"/>
                <w:szCs w:val="14"/>
                <w:b w:val="1"/>
                <w:bCs w:val="1"/>
                <w:color w:val="6A6E6F"/>
              </w:rPr>
              <w:t>Performance Level</w:t>
            </w:r>
          </w:p>
        </w:tc>
        <w:tc>
          <w:tcPr>
            <w:tcW w:w="5140" w:type="dxa"/>
            <w:vAlign w:val="bottom"/>
          </w:tcPr>
          <w:p>
            <w:pPr>
              <w:jc w:val="center"/>
              <w:ind w:left="2808"/>
              <w:spacing w:after="0"/>
              <w:rPr>
                <w:sz w:val="20"/>
                <w:szCs w:val="20"/>
                <w:color w:val="auto"/>
              </w:rPr>
            </w:pPr>
            <w:r>
              <w:rPr>
                <w:rFonts w:ascii="Arial" w:cs="Arial" w:eastAsia="Arial" w:hAnsi="Arial"/>
                <w:sz w:val="14"/>
                <w:szCs w:val="14"/>
                <w:b w:val="1"/>
                <w:bCs w:val="1"/>
                <w:color w:val="6A6E6F"/>
                <w:w w:val="98"/>
              </w:rPr>
              <w:t>Target</w:t>
            </w:r>
          </w:p>
        </w:tc>
        <w:tc>
          <w:tcPr>
            <w:tcW w:w="1520" w:type="dxa"/>
            <w:vAlign w:val="bottom"/>
          </w:tcPr>
          <w:p>
            <w:pPr>
              <w:jc w:val="right"/>
              <w:ind w:right="28"/>
              <w:spacing w:after="0"/>
              <w:rPr>
                <w:sz w:val="20"/>
                <w:szCs w:val="20"/>
                <w:color w:val="auto"/>
              </w:rPr>
            </w:pPr>
            <w:r>
              <w:rPr>
                <w:rFonts w:ascii="Arial" w:cs="Arial" w:eastAsia="Arial" w:hAnsi="Arial"/>
                <w:sz w:val="14"/>
                <w:szCs w:val="14"/>
                <w:b w:val="1"/>
                <w:bCs w:val="1"/>
                <w:color w:val="6A6E6F"/>
              </w:rPr>
              <w:t>Earnings Per Share</w:t>
            </w:r>
          </w:p>
        </w:tc>
        <w:tc>
          <w:tcPr>
            <w:tcW w:w="0" w:type="dxa"/>
            <w:vAlign w:val="bottom"/>
          </w:tcPr>
          <w:p>
            <w:pPr>
              <w:spacing w:after="0"/>
              <w:rPr>
                <w:sz w:val="1"/>
                <w:szCs w:val="1"/>
                <w:color w:val="auto"/>
              </w:rPr>
            </w:pPr>
          </w:p>
        </w:tc>
      </w:tr>
      <w:tr>
        <w:trPr>
          <w:trHeight w:val="43"/>
        </w:trPr>
        <w:tc>
          <w:tcPr>
            <w:tcW w:w="4360" w:type="dxa"/>
            <w:vAlign w:val="bottom"/>
            <w:tcBorders>
              <w:bottom w:val="single" w:sz="8" w:color="E56D3D"/>
            </w:tcBorders>
          </w:tcPr>
          <w:p>
            <w:pPr>
              <w:spacing w:after="0"/>
              <w:rPr>
                <w:sz w:val="3"/>
                <w:szCs w:val="3"/>
                <w:color w:val="auto"/>
              </w:rPr>
            </w:pPr>
          </w:p>
        </w:tc>
        <w:tc>
          <w:tcPr>
            <w:tcW w:w="5140" w:type="dxa"/>
            <w:vAlign w:val="bottom"/>
            <w:tcBorders>
              <w:bottom w:val="single" w:sz="8" w:color="E56D3D"/>
            </w:tcBorders>
          </w:tcPr>
          <w:p>
            <w:pPr>
              <w:spacing w:after="0"/>
              <w:rPr>
                <w:sz w:val="3"/>
                <w:szCs w:val="3"/>
                <w:color w:val="auto"/>
              </w:rPr>
            </w:pPr>
          </w:p>
        </w:tc>
        <w:tc>
          <w:tcPr>
            <w:tcW w:w="1520" w:type="dxa"/>
            <w:vAlign w:val="bottom"/>
            <w:tcBorders>
              <w:bottom w:val="single" w:sz="8" w:color="E56D3D"/>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60"/>
              <w:spacing w:after="0"/>
              <w:rPr>
                <w:sz w:val="20"/>
                <w:szCs w:val="20"/>
                <w:color w:val="auto"/>
              </w:rPr>
            </w:pPr>
            <w:r>
              <w:rPr>
                <w:rFonts w:ascii="Arial" w:cs="Arial" w:eastAsia="Arial" w:hAnsi="Arial"/>
                <w:sz w:val="14"/>
                <w:szCs w:val="14"/>
                <w:color w:val="auto"/>
              </w:rPr>
              <w:t>Maximum</w:t>
            </w:r>
          </w:p>
        </w:tc>
        <w:tc>
          <w:tcPr>
            <w:tcW w:w="5140" w:type="dxa"/>
            <w:vAlign w:val="bottom"/>
          </w:tcPr>
          <w:p>
            <w:pPr>
              <w:jc w:val="center"/>
              <w:ind w:left="2828"/>
              <w:spacing w:after="0"/>
              <w:rPr>
                <w:sz w:val="20"/>
                <w:szCs w:val="20"/>
                <w:color w:val="auto"/>
              </w:rPr>
            </w:pPr>
            <w:r>
              <w:rPr>
                <w:rFonts w:ascii="Arial" w:cs="Arial" w:eastAsia="Arial" w:hAnsi="Arial"/>
                <w:sz w:val="14"/>
                <w:szCs w:val="14"/>
                <w:color w:val="auto"/>
              </w:rPr>
              <w:t>2.00</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49"/>
        </w:trPr>
        <w:tc>
          <w:tcPr>
            <w:tcW w:w="4360" w:type="dxa"/>
            <w:vAlign w:val="bottom"/>
            <w:tcBorders>
              <w:bottom w:val="single" w:sz="8" w:color="B2B2B2"/>
            </w:tcBorders>
          </w:tcPr>
          <w:p>
            <w:pPr>
              <w:spacing w:after="0"/>
              <w:rPr>
                <w:sz w:val="4"/>
                <w:szCs w:val="4"/>
                <w:color w:val="auto"/>
              </w:rPr>
            </w:pPr>
          </w:p>
        </w:tc>
        <w:tc>
          <w:tcPr>
            <w:tcW w:w="514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360" w:type="dxa"/>
            <w:vAlign w:val="bottom"/>
          </w:tcPr>
          <w:p>
            <w:pPr>
              <w:spacing w:after="0"/>
              <w:rPr>
                <w:sz w:val="19"/>
                <w:szCs w:val="19"/>
                <w:color w:val="auto"/>
              </w:rPr>
            </w:pPr>
          </w:p>
        </w:tc>
        <w:tc>
          <w:tcPr>
            <w:tcW w:w="5140" w:type="dxa"/>
            <w:vAlign w:val="bottom"/>
          </w:tcPr>
          <w:p>
            <w:pPr>
              <w:jc w:val="center"/>
              <w:ind w:left="2828"/>
              <w:spacing w:after="0"/>
              <w:rPr>
                <w:sz w:val="20"/>
                <w:szCs w:val="20"/>
                <w:color w:val="auto"/>
              </w:rPr>
            </w:pPr>
            <w:r>
              <w:rPr>
                <w:rFonts w:ascii="Arial" w:cs="Arial" w:eastAsia="Arial" w:hAnsi="Arial"/>
                <w:sz w:val="14"/>
                <w:szCs w:val="14"/>
                <w:color w:val="auto"/>
              </w:rPr>
              <w:t>1.50</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48"/>
        </w:trPr>
        <w:tc>
          <w:tcPr>
            <w:tcW w:w="4360" w:type="dxa"/>
            <w:vAlign w:val="bottom"/>
            <w:tcBorders>
              <w:bottom w:val="single" w:sz="8" w:color="B2B2B2"/>
            </w:tcBorders>
          </w:tcPr>
          <w:p>
            <w:pPr>
              <w:spacing w:after="0"/>
              <w:rPr>
                <w:sz w:val="4"/>
                <w:szCs w:val="4"/>
                <w:color w:val="auto"/>
              </w:rPr>
            </w:pPr>
          </w:p>
        </w:tc>
        <w:tc>
          <w:tcPr>
            <w:tcW w:w="514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360" w:type="dxa"/>
            <w:vAlign w:val="bottom"/>
          </w:tcPr>
          <w:p>
            <w:pPr>
              <w:spacing w:after="0"/>
              <w:rPr>
                <w:sz w:val="19"/>
                <w:szCs w:val="19"/>
                <w:color w:val="auto"/>
              </w:rPr>
            </w:pPr>
          </w:p>
        </w:tc>
        <w:tc>
          <w:tcPr>
            <w:tcW w:w="5140" w:type="dxa"/>
            <w:vAlign w:val="bottom"/>
          </w:tcPr>
          <w:p>
            <w:pPr>
              <w:jc w:val="center"/>
              <w:ind w:left="2828"/>
              <w:spacing w:after="0"/>
              <w:rPr>
                <w:sz w:val="20"/>
                <w:szCs w:val="20"/>
                <w:color w:val="auto"/>
              </w:rPr>
            </w:pPr>
            <w:r>
              <w:rPr>
                <w:rFonts w:ascii="Arial" w:cs="Arial" w:eastAsia="Arial" w:hAnsi="Arial"/>
                <w:sz w:val="14"/>
                <w:szCs w:val="14"/>
                <w:color w:val="auto"/>
              </w:rPr>
              <w:t>1.20</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49"/>
        </w:trPr>
        <w:tc>
          <w:tcPr>
            <w:tcW w:w="4360" w:type="dxa"/>
            <w:vAlign w:val="bottom"/>
            <w:tcBorders>
              <w:bottom w:val="single" w:sz="8" w:color="B2B2B2"/>
            </w:tcBorders>
          </w:tcPr>
          <w:p>
            <w:pPr>
              <w:spacing w:after="0"/>
              <w:rPr>
                <w:sz w:val="4"/>
                <w:szCs w:val="4"/>
                <w:color w:val="auto"/>
              </w:rPr>
            </w:pPr>
          </w:p>
        </w:tc>
        <w:tc>
          <w:tcPr>
            <w:tcW w:w="514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60"/>
              <w:spacing w:after="0"/>
              <w:rPr>
                <w:sz w:val="20"/>
                <w:szCs w:val="20"/>
                <w:color w:val="auto"/>
              </w:rPr>
            </w:pPr>
            <w:r>
              <w:rPr>
                <w:rFonts w:ascii="Arial" w:cs="Arial" w:eastAsia="Arial" w:hAnsi="Arial"/>
                <w:sz w:val="14"/>
                <w:szCs w:val="14"/>
                <w:color w:val="auto"/>
              </w:rPr>
              <w:t>Target</w:t>
            </w:r>
          </w:p>
        </w:tc>
        <w:tc>
          <w:tcPr>
            <w:tcW w:w="5140" w:type="dxa"/>
            <w:vAlign w:val="bottom"/>
          </w:tcPr>
          <w:p>
            <w:pPr>
              <w:jc w:val="center"/>
              <w:ind w:left="2828"/>
              <w:spacing w:after="0"/>
              <w:rPr>
                <w:sz w:val="20"/>
                <w:szCs w:val="20"/>
                <w:color w:val="auto"/>
              </w:rPr>
            </w:pPr>
            <w:r>
              <w:rPr>
                <w:rFonts w:ascii="Arial" w:cs="Arial" w:eastAsia="Arial" w:hAnsi="Arial"/>
                <w:sz w:val="14"/>
                <w:szCs w:val="14"/>
                <w:color w:val="auto"/>
              </w:rPr>
              <w:t>1.00</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48"/>
        </w:trPr>
        <w:tc>
          <w:tcPr>
            <w:tcW w:w="4360" w:type="dxa"/>
            <w:vAlign w:val="bottom"/>
            <w:tcBorders>
              <w:bottom w:val="single" w:sz="8" w:color="B2B2B2"/>
            </w:tcBorders>
          </w:tcPr>
          <w:p>
            <w:pPr>
              <w:spacing w:after="0"/>
              <w:rPr>
                <w:sz w:val="4"/>
                <w:szCs w:val="4"/>
                <w:color w:val="auto"/>
              </w:rPr>
            </w:pPr>
          </w:p>
        </w:tc>
        <w:tc>
          <w:tcPr>
            <w:tcW w:w="514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360" w:type="dxa"/>
            <w:vAlign w:val="bottom"/>
          </w:tcPr>
          <w:p>
            <w:pPr>
              <w:spacing w:after="0"/>
              <w:rPr>
                <w:sz w:val="19"/>
                <w:szCs w:val="19"/>
                <w:color w:val="auto"/>
              </w:rPr>
            </w:pPr>
          </w:p>
        </w:tc>
        <w:tc>
          <w:tcPr>
            <w:tcW w:w="5140" w:type="dxa"/>
            <w:vAlign w:val="bottom"/>
          </w:tcPr>
          <w:p>
            <w:pPr>
              <w:jc w:val="center"/>
              <w:ind w:left="2828"/>
              <w:spacing w:after="0"/>
              <w:rPr>
                <w:sz w:val="20"/>
                <w:szCs w:val="20"/>
                <w:color w:val="auto"/>
              </w:rPr>
            </w:pPr>
            <w:r>
              <w:rPr>
                <w:rFonts w:ascii="Arial" w:cs="Arial" w:eastAsia="Arial" w:hAnsi="Arial"/>
                <w:sz w:val="14"/>
                <w:szCs w:val="14"/>
                <w:color w:val="auto"/>
              </w:rPr>
              <w:t>0.75</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48"/>
        </w:trPr>
        <w:tc>
          <w:tcPr>
            <w:tcW w:w="4360" w:type="dxa"/>
            <w:vAlign w:val="bottom"/>
            <w:tcBorders>
              <w:bottom w:val="single" w:sz="8" w:color="B2B2B2"/>
            </w:tcBorders>
          </w:tcPr>
          <w:p>
            <w:pPr>
              <w:spacing w:after="0"/>
              <w:rPr>
                <w:sz w:val="4"/>
                <w:szCs w:val="4"/>
                <w:color w:val="auto"/>
              </w:rPr>
            </w:pPr>
          </w:p>
        </w:tc>
        <w:tc>
          <w:tcPr>
            <w:tcW w:w="514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60"/>
              <w:spacing w:after="0"/>
              <w:rPr>
                <w:sz w:val="20"/>
                <w:szCs w:val="20"/>
                <w:color w:val="auto"/>
              </w:rPr>
            </w:pPr>
            <w:r>
              <w:rPr>
                <w:rFonts w:ascii="Arial" w:cs="Arial" w:eastAsia="Arial" w:hAnsi="Arial"/>
                <w:sz w:val="14"/>
                <w:szCs w:val="14"/>
                <w:color w:val="auto"/>
              </w:rPr>
              <w:t>Underperform</w:t>
            </w:r>
          </w:p>
        </w:tc>
        <w:tc>
          <w:tcPr>
            <w:tcW w:w="5140" w:type="dxa"/>
            <w:vAlign w:val="bottom"/>
          </w:tcPr>
          <w:p>
            <w:pPr>
              <w:jc w:val="center"/>
              <w:ind w:left="2828"/>
              <w:spacing w:after="0"/>
              <w:rPr>
                <w:sz w:val="20"/>
                <w:szCs w:val="20"/>
                <w:color w:val="auto"/>
              </w:rPr>
            </w:pPr>
            <w:r>
              <w:rPr>
                <w:rFonts w:ascii="Arial" w:cs="Arial" w:eastAsia="Arial" w:hAnsi="Arial"/>
                <w:sz w:val="14"/>
                <w:szCs w:val="14"/>
                <w:color w:val="auto"/>
              </w:rPr>
              <w:t>0.50</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49"/>
        </w:trPr>
        <w:tc>
          <w:tcPr>
            <w:tcW w:w="4360" w:type="dxa"/>
            <w:vAlign w:val="bottom"/>
            <w:tcBorders>
              <w:bottom w:val="single" w:sz="8" w:color="B2B2B2"/>
            </w:tcBorders>
          </w:tcPr>
          <w:p>
            <w:pPr>
              <w:spacing w:after="0"/>
              <w:rPr>
                <w:sz w:val="4"/>
                <w:szCs w:val="4"/>
                <w:color w:val="auto"/>
              </w:rPr>
            </w:pPr>
          </w:p>
        </w:tc>
        <w:tc>
          <w:tcPr>
            <w:tcW w:w="5140" w:type="dxa"/>
            <w:vAlign w:val="bottom"/>
            <w:tcBorders>
              <w:bottom w:val="single" w:sz="8" w:color="B2B2B2"/>
            </w:tcBorders>
          </w:tcPr>
          <w:p>
            <w:pPr>
              <w:spacing w:after="0"/>
              <w:rPr>
                <w:sz w:val="4"/>
                <w:szCs w:val="4"/>
                <w:color w:val="auto"/>
              </w:rPr>
            </w:pPr>
          </w:p>
        </w:tc>
        <w:tc>
          <w:tcPr>
            <w:tcW w:w="152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Below Underperform</w:t>
            </w:r>
          </w:p>
        </w:tc>
        <w:tc>
          <w:tcPr>
            <w:tcW w:w="5140" w:type="dxa"/>
            <w:vAlign w:val="bottom"/>
          </w:tcPr>
          <w:p>
            <w:pPr>
              <w:jc w:val="center"/>
              <w:ind w:left="2828"/>
              <w:spacing w:after="0"/>
              <w:rPr>
                <w:sz w:val="20"/>
                <w:szCs w:val="20"/>
                <w:color w:val="auto"/>
              </w:rPr>
            </w:pPr>
            <w:r>
              <w:rPr>
                <w:rFonts w:ascii="Arial" w:cs="Arial" w:eastAsia="Arial" w:hAnsi="Arial"/>
                <w:sz w:val="14"/>
                <w:szCs w:val="14"/>
                <w:color w:val="auto"/>
              </w:rPr>
              <w:t>Determined at the discretion</w:t>
            </w: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&lt;$4.07</w:t>
            </w:r>
          </w:p>
        </w:tc>
        <w:tc>
          <w:tcPr>
            <w:tcW w:w="0" w:type="dxa"/>
            <w:vAlign w:val="bottom"/>
          </w:tcPr>
          <w:p>
            <w:pPr>
              <w:spacing w:after="0"/>
              <w:rPr>
                <w:sz w:val="1"/>
                <w:szCs w:val="1"/>
                <w:color w:val="auto"/>
              </w:rPr>
            </w:pPr>
          </w:p>
        </w:tc>
      </w:tr>
      <w:tr>
        <w:trPr>
          <w:trHeight w:val="109"/>
        </w:trPr>
        <w:tc>
          <w:tcPr>
            <w:tcW w:w="4360" w:type="dxa"/>
            <w:vAlign w:val="bottom"/>
            <w:vMerge w:val="continue"/>
          </w:tcPr>
          <w:p>
            <w:pPr>
              <w:spacing w:after="0"/>
              <w:rPr>
                <w:sz w:val="9"/>
                <w:szCs w:val="9"/>
                <w:color w:val="auto"/>
              </w:rPr>
            </w:pPr>
          </w:p>
        </w:tc>
        <w:tc>
          <w:tcPr>
            <w:tcW w:w="5140" w:type="dxa"/>
            <w:vAlign w:val="bottom"/>
            <w:vMerge w:val="restart"/>
          </w:tcPr>
          <w:p>
            <w:pPr>
              <w:jc w:val="center"/>
              <w:ind w:left="2808"/>
              <w:spacing w:after="0"/>
              <w:rPr>
                <w:sz w:val="20"/>
                <w:szCs w:val="20"/>
                <w:color w:val="auto"/>
              </w:rPr>
            </w:pPr>
            <w:r>
              <w:rPr>
                <w:rFonts w:ascii="Arial" w:cs="Arial" w:eastAsia="Arial" w:hAnsi="Arial"/>
                <w:sz w:val="14"/>
                <w:szCs w:val="14"/>
                <w:color w:val="auto"/>
              </w:rPr>
              <w:t>of the Compensation Committee</w:t>
            </w: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4360" w:type="dxa"/>
            <w:vAlign w:val="bottom"/>
            <w:tcBorders>
              <w:bottom w:val="single" w:sz="8" w:color="E56D3D"/>
            </w:tcBorders>
          </w:tcPr>
          <w:p>
            <w:pPr>
              <w:spacing w:after="0"/>
              <w:rPr>
                <w:sz w:val="5"/>
                <w:szCs w:val="5"/>
                <w:color w:val="auto"/>
              </w:rPr>
            </w:pPr>
          </w:p>
        </w:tc>
        <w:tc>
          <w:tcPr>
            <w:tcW w:w="5140" w:type="dxa"/>
            <w:vAlign w:val="bottom"/>
            <w:tcBorders>
              <w:bottom w:val="single" w:sz="8" w:color="E56D3D"/>
            </w:tcBorders>
          </w:tcPr>
          <w:p>
            <w:pPr>
              <w:spacing w:after="0"/>
              <w:rPr>
                <w:sz w:val="5"/>
                <w:szCs w:val="5"/>
                <w:color w:val="auto"/>
              </w:rPr>
            </w:pPr>
          </w:p>
        </w:tc>
        <w:tc>
          <w:tcPr>
            <w:tcW w:w="1520" w:type="dxa"/>
            <w:vAlign w:val="bottom"/>
            <w:tcBorders>
              <w:bottom w:val="single" w:sz="8" w:color="E56D3D"/>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Responsibility</w:t>
      </w:r>
    </w:p>
    <w:p>
      <w:pPr>
        <w:spacing w:after="0" w:line="66"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Company’s commitment to its Four Pillars of Corporate Responsibility is discussed on page 5. Premised on Regency’s Core Values (see page 1), the Compensation Committee believes these to be integral to the Company’s business strategy and financial performance, as well as our ongoing and future success. As such, annual progress towards corporate responsibility objectives is measured by the committee (with input from the Board’s Nominating and Governance Committee), and 20% of our NEOs’ annual incentive is tied to their achievement. The corporate responsibility portion of the annual incentive is paid out at target if achievement of appropriate progress toward corporate responsibility objectives is achieved. In addition, because of the committee’s view of the relationship of corporate responsibility progress to asset and business sustainability and financial performance, in the event appropriate progress is at or above target and there is outperformance of the key financial metrics, the corporate responsibility portion of the annual incentive is awarded at the same multiple as such metrics – in this case, for Core Operating Earnings per Share for NEOs. In the event that the key financial metrics pay out at less than target, then the corporate responsibility portion of the annual incentive will not pay out at more than target. The committee considers qualitative and quantitative measures of progress in evaluating progress toward our corporate responsibility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223520</wp:posOffset>
            </wp:positionV>
            <wp:extent cx="5674995" cy="25374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7499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33</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Compensation Discussion and Analysis</w:t>
      </w:r>
    </w:p>
    <w:p>
      <w:pPr>
        <w:spacing w:after="0" w:line="144"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auto"/>
        </w:rPr>
        <w:t>The committee solicits data and other information from senior management to use in forming its own view of the Company’s performance against specific Corporate Responsibility objectives, as well as from the Nominating and Governance Committee, which has been delegated oversight responsibilities by the Board over the Company’s Corporate Responsibility program and initiatives.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E56D3D"/>
        </w:rPr>
        <w:t>Annual Incentive — 2025 Results v. 2025 Incentive Plan Goals</w:t>
      </w:r>
    </w:p>
    <w:p>
      <w:pPr>
        <w:spacing w:after="0" w:line="71"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Led by our NEOs, the Company enjoyed meaningful outperformance in Core Operating Earnings per Share. Performance results and the resulting cash awards are presented in the following tables.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2025 Performance Results for Annual Cash Incentives*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4020" w:type="dxa"/>
            <w:vAlign w:val="bottom"/>
          </w:tcPr>
          <w:p>
            <w:pPr>
              <w:jc w:val="right"/>
              <w:ind w:right="128"/>
              <w:spacing w:after="0"/>
              <w:rPr>
                <w:sz w:val="20"/>
                <w:szCs w:val="20"/>
                <w:color w:val="auto"/>
              </w:rPr>
            </w:pPr>
            <w:r>
              <w:rPr>
                <w:rFonts w:ascii="Arial" w:cs="Arial" w:eastAsia="Arial" w:hAnsi="Arial"/>
                <w:sz w:val="14"/>
                <w:szCs w:val="14"/>
                <w:b w:val="1"/>
                <w:bCs w:val="1"/>
                <w:color w:val="6A6E6F"/>
              </w:rPr>
              <w:t>Performance</w:t>
            </w:r>
          </w:p>
        </w:tc>
        <w:tc>
          <w:tcPr>
            <w:tcW w:w="1720" w:type="dxa"/>
            <w:vAlign w:val="bottom"/>
          </w:tcPr>
          <w:p>
            <w:pPr>
              <w:jc w:val="right"/>
              <w:ind w:right="28"/>
              <w:spacing w:after="0"/>
              <w:rPr>
                <w:sz w:val="20"/>
                <w:szCs w:val="20"/>
                <w:color w:val="auto"/>
              </w:rPr>
            </w:pPr>
            <w:r>
              <w:rPr>
                <w:rFonts w:ascii="Arial" w:cs="Arial" w:eastAsia="Arial" w:hAnsi="Arial"/>
                <w:sz w:val="14"/>
                <w:szCs w:val="14"/>
                <w:b w:val="1"/>
                <w:bCs w:val="1"/>
                <w:color w:val="6A6E6F"/>
              </w:rPr>
              <w:t>Resulting Multiple of</w:t>
            </w:r>
          </w:p>
        </w:tc>
      </w:tr>
      <w:tr>
        <w:trPr>
          <w:trHeight w:val="210"/>
        </w:trPr>
        <w:tc>
          <w:tcPr>
            <w:tcW w:w="5280" w:type="dxa"/>
            <w:vAlign w:val="bottom"/>
          </w:tcPr>
          <w:p>
            <w:pPr>
              <w:ind w:left="60"/>
              <w:spacing w:after="0"/>
              <w:rPr>
                <w:sz w:val="20"/>
                <w:szCs w:val="20"/>
                <w:color w:val="auto"/>
              </w:rPr>
            </w:pPr>
            <w:r>
              <w:rPr>
                <w:rFonts w:ascii="Arial" w:cs="Arial" w:eastAsia="Arial" w:hAnsi="Arial"/>
                <w:sz w:val="14"/>
                <w:szCs w:val="14"/>
                <w:b w:val="1"/>
                <w:bCs w:val="1"/>
                <w:color w:val="6A6E6F"/>
              </w:rPr>
              <w:t>Performance Metric</w:t>
            </w:r>
          </w:p>
        </w:tc>
        <w:tc>
          <w:tcPr>
            <w:tcW w:w="4020" w:type="dxa"/>
            <w:vAlign w:val="bottom"/>
          </w:tcPr>
          <w:p>
            <w:pPr>
              <w:jc w:val="right"/>
              <w:ind w:right="128"/>
              <w:spacing w:after="0"/>
              <w:rPr>
                <w:sz w:val="20"/>
                <w:szCs w:val="20"/>
                <w:color w:val="auto"/>
              </w:rPr>
            </w:pPr>
            <w:r>
              <w:rPr>
                <w:rFonts w:ascii="Arial" w:cs="Arial" w:eastAsia="Arial" w:hAnsi="Arial"/>
                <w:sz w:val="14"/>
                <w:szCs w:val="14"/>
                <w:b w:val="1"/>
                <w:bCs w:val="1"/>
                <w:color w:val="6A6E6F"/>
              </w:rPr>
              <w:t>Level</w:t>
            </w:r>
          </w:p>
        </w:tc>
        <w:tc>
          <w:tcPr>
            <w:tcW w:w="1720" w:type="dxa"/>
            <w:vAlign w:val="bottom"/>
          </w:tcPr>
          <w:p>
            <w:pPr>
              <w:jc w:val="right"/>
              <w:ind w:right="28"/>
              <w:spacing w:after="0"/>
              <w:rPr>
                <w:sz w:val="20"/>
                <w:szCs w:val="20"/>
                <w:color w:val="auto"/>
              </w:rPr>
            </w:pPr>
            <w:r>
              <w:rPr>
                <w:rFonts w:ascii="Arial" w:cs="Arial" w:eastAsia="Arial" w:hAnsi="Arial"/>
                <w:sz w:val="14"/>
                <w:szCs w:val="14"/>
                <w:b w:val="1"/>
                <w:bCs w:val="1"/>
                <w:color w:val="6A6E6F"/>
              </w:rPr>
              <w:t>Target Earned</w:t>
            </w:r>
          </w:p>
        </w:tc>
      </w:tr>
      <w:tr>
        <w:trPr>
          <w:trHeight w:val="43"/>
        </w:trPr>
        <w:tc>
          <w:tcPr>
            <w:tcW w:w="5280" w:type="dxa"/>
            <w:vAlign w:val="bottom"/>
            <w:tcBorders>
              <w:bottom w:val="single" w:sz="8" w:color="E56D3D"/>
            </w:tcBorders>
          </w:tcPr>
          <w:p>
            <w:pPr>
              <w:spacing w:after="0"/>
              <w:rPr>
                <w:sz w:val="3"/>
                <w:szCs w:val="3"/>
                <w:color w:val="auto"/>
              </w:rPr>
            </w:pPr>
          </w:p>
        </w:tc>
        <w:tc>
          <w:tcPr>
            <w:tcW w:w="4020" w:type="dxa"/>
            <w:vAlign w:val="bottom"/>
            <w:tcBorders>
              <w:bottom w:val="single" w:sz="8" w:color="E56D3D"/>
            </w:tcBorders>
          </w:tcPr>
          <w:p>
            <w:pPr>
              <w:spacing w:after="0"/>
              <w:rPr>
                <w:sz w:val="3"/>
                <w:szCs w:val="3"/>
                <w:color w:val="auto"/>
              </w:rPr>
            </w:pPr>
          </w:p>
        </w:tc>
        <w:tc>
          <w:tcPr>
            <w:tcW w:w="1720" w:type="dxa"/>
            <w:vAlign w:val="bottom"/>
            <w:tcBorders>
              <w:bottom w:val="single" w:sz="8" w:color="E56D3D"/>
            </w:tcBorders>
          </w:tcPr>
          <w:p>
            <w:pPr>
              <w:spacing w:after="0"/>
              <w:rPr>
                <w:sz w:val="3"/>
                <w:szCs w:val="3"/>
                <w:color w:val="auto"/>
              </w:rPr>
            </w:pPr>
          </w:p>
        </w:tc>
      </w:tr>
      <w:tr>
        <w:trPr>
          <w:trHeight w:val="233"/>
        </w:trPr>
        <w:tc>
          <w:tcPr>
            <w:tcW w:w="52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Core Operating Earnings Per Share</w:t>
            </w:r>
          </w:p>
        </w:tc>
        <w:tc>
          <w:tcPr>
            <w:tcW w:w="402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$4.41</w:t>
            </w:r>
          </w:p>
        </w:tc>
        <w:tc>
          <w:tcPr>
            <w:tcW w:w="172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1.50</w:t>
            </w:r>
          </w:p>
        </w:tc>
      </w:tr>
      <w:tr>
        <w:trPr>
          <w:trHeight w:val="236"/>
        </w:trPr>
        <w:tc>
          <w:tcPr>
            <w:tcW w:w="5280" w:type="dxa"/>
            <w:vAlign w:val="bottom"/>
            <w:tcBorders>
              <w:bottom w:val="single" w:sz="8" w:color="E56D3D"/>
            </w:tcBorders>
          </w:tcPr>
          <w:p>
            <w:pPr>
              <w:ind w:left="60"/>
              <w:spacing w:after="0"/>
              <w:rPr>
                <w:sz w:val="20"/>
                <w:szCs w:val="20"/>
                <w:color w:val="auto"/>
              </w:rPr>
            </w:pPr>
            <w:r>
              <w:rPr>
                <w:rFonts w:ascii="Arial" w:cs="Arial" w:eastAsia="Arial" w:hAnsi="Arial"/>
                <w:sz w:val="14"/>
                <w:szCs w:val="14"/>
                <w:color w:val="auto"/>
              </w:rPr>
              <w:t>Corporate Responsibility (ESG)</w:t>
            </w:r>
          </w:p>
        </w:tc>
        <w:tc>
          <w:tcPr>
            <w:tcW w:w="4020" w:type="dxa"/>
            <w:vAlign w:val="bottom"/>
            <w:tcBorders>
              <w:bottom w:val="single" w:sz="8" w:color="E56D3D"/>
            </w:tcBorders>
          </w:tcPr>
          <w:p>
            <w:pPr>
              <w:jc w:val="right"/>
              <w:ind w:right="128"/>
              <w:spacing w:after="0"/>
              <w:rPr>
                <w:sz w:val="20"/>
                <w:szCs w:val="20"/>
                <w:color w:val="auto"/>
              </w:rPr>
            </w:pPr>
            <w:r>
              <w:rPr>
                <w:rFonts w:ascii="Arial" w:cs="Arial" w:eastAsia="Arial" w:hAnsi="Arial"/>
                <w:sz w:val="14"/>
                <w:szCs w:val="14"/>
                <w:color w:val="auto"/>
              </w:rPr>
              <w:t>Achieved</w:t>
            </w:r>
          </w:p>
        </w:tc>
        <w:tc>
          <w:tcPr>
            <w:tcW w:w="1720" w:type="dxa"/>
            <w:vAlign w:val="bottom"/>
            <w:tcBorders>
              <w:bottom w:val="single" w:sz="8" w:color="E56D3D"/>
            </w:tcBorders>
          </w:tcPr>
          <w:p>
            <w:pPr>
              <w:jc w:val="right"/>
              <w:ind w:right="28"/>
              <w:spacing w:after="0"/>
              <w:rPr>
                <w:sz w:val="20"/>
                <w:szCs w:val="20"/>
                <w:color w:val="auto"/>
              </w:rPr>
            </w:pPr>
            <w:r>
              <w:rPr>
                <w:rFonts w:ascii="Arial" w:cs="Arial" w:eastAsia="Arial" w:hAnsi="Arial"/>
                <w:sz w:val="14"/>
                <w:szCs w:val="14"/>
                <w:color w:val="auto"/>
              </w:rPr>
              <w:t>1.50</w:t>
            </w:r>
          </w:p>
        </w:tc>
      </w:tr>
    </w:tbl>
    <w:p>
      <w:pPr>
        <w:spacing w:after="0" w:line="5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See discussion on pages 32 and 33.</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2025 Cash Targets and Resulting Cash Incentives Earned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260" w:type="dxa"/>
            <w:vAlign w:val="bottom"/>
            <w:tcBorders>
              <w:bottom w:val="single" w:sz="8" w:color="E56D3D"/>
            </w:tcBorders>
          </w:tcPr>
          <w:p>
            <w:pPr>
              <w:spacing w:after="0"/>
              <w:rPr>
                <w:sz w:val="14"/>
                <w:szCs w:val="14"/>
                <w:color w:val="auto"/>
              </w:rPr>
            </w:pPr>
          </w:p>
        </w:tc>
        <w:tc>
          <w:tcPr>
            <w:tcW w:w="1360" w:type="dxa"/>
            <w:vAlign w:val="bottom"/>
            <w:tcBorders>
              <w:bottom w:val="single" w:sz="8" w:color="E56D3D"/>
            </w:tcBorders>
          </w:tcPr>
          <w:p>
            <w:pPr>
              <w:jc w:val="right"/>
              <w:ind w:right="568"/>
              <w:spacing w:after="0"/>
              <w:rPr>
                <w:sz w:val="20"/>
                <w:szCs w:val="20"/>
                <w:color w:val="auto"/>
              </w:rPr>
            </w:pPr>
            <w:r>
              <w:rPr>
                <w:rFonts w:ascii="Arial" w:cs="Arial" w:eastAsia="Arial" w:hAnsi="Arial"/>
                <w:sz w:val="14"/>
                <w:szCs w:val="14"/>
                <w:b w:val="1"/>
                <w:bCs w:val="1"/>
                <w:color w:val="E56D3D"/>
              </w:rPr>
              <w:t>Target</w:t>
            </w:r>
          </w:p>
        </w:tc>
        <w:tc>
          <w:tcPr>
            <w:tcW w:w="920" w:type="dxa"/>
            <w:vAlign w:val="bottom"/>
            <w:tcBorders>
              <w:bottom w:val="single" w:sz="8" w:color="E56D3D"/>
            </w:tcBorders>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Borders>
              <w:bottom w:val="single" w:sz="8" w:color="E56D3D"/>
            </w:tcBorders>
          </w:tcPr>
          <w:p>
            <w:pPr>
              <w:spacing w:after="0"/>
              <w:rPr>
                <w:sz w:val="14"/>
                <w:szCs w:val="14"/>
                <w:color w:val="auto"/>
              </w:rPr>
            </w:pPr>
          </w:p>
        </w:tc>
        <w:tc>
          <w:tcPr>
            <w:tcW w:w="1400" w:type="dxa"/>
            <w:vAlign w:val="bottom"/>
            <w:tcBorders>
              <w:bottom w:val="single" w:sz="8" w:color="E56D3D"/>
            </w:tcBorders>
          </w:tcPr>
          <w:p>
            <w:pPr>
              <w:jc w:val="right"/>
              <w:ind w:right="528"/>
              <w:spacing w:after="0"/>
              <w:rPr>
                <w:sz w:val="20"/>
                <w:szCs w:val="20"/>
                <w:color w:val="auto"/>
              </w:rPr>
            </w:pPr>
            <w:r>
              <w:rPr>
                <w:rFonts w:ascii="Arial" w:cs="Arial" w:eastAsia="Arial" w:hAnsi="Arial"/>
                <w:sz w:val="14"/>
                <w:szCs w:val="14"/>
                <w:b w:val="1"/>
                <w:bCs w:val="1"/>
                <w:color w:val="E56D3D"/>
              </w:rPr>
              <w:t>Actual</w:t>
            </w:r>
          </w:p>
        </w:tc>
        <w:tc>
          <w:tcPr>
            <w:tcW w:w="1020" w:type="dxa"/>
            <w:vAlign w:val="bottom"/>
            <w:tcBorders>
              <w:bottom w:val="single" w:sz="8" w:color="E56D3D"/>
            </w:tcBorders>
          </w:tcPr>
          <w:p>
            <w:pPr>
              <w:spacing w:after="0"/>
              <w:rPr>
                <w:sz w:val="14"/>
                <w:szCs w:val="14"/>
                <w:color w:val="auto"/>
              </w:rPr>
            </w:pPr>
          </w:p>
        </w:tc>
        <w:tc>
          <w:tcPr>
            <w:tcW w:w="40" w:type="dxa"/>
            <w:vAlign w:val="bottom"/>
          </w:tcPr>
          <w:p>
            <w:pPr>
              <w:spacing w:after="0"/>
              <w:rPr>
                <w:sz w:val="14"/>
                <w:szCs w:val="14"/>
                <w:color w:val="auto"/>
              </w:rPr>
            </w:pPr>
          </w:p>
        </w:tc>
      </w:tr>
      <w:tr>
        <w:trPr>
          <w:trHeight w:val="146"/>
        </w:trPr>
        <w:tc>
          <w:tcPr>
            <w:tcW w:w="3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jc w:val="right"/>
              <w:ind w:right="128"/>
              <w:spacing w:after="0" w:line="147" w:lineRule="exact"/>
              <w:rPr>
                <w:sz w:val="20"/>
                <w:szCs w:val="20"/>
                <w:color w:val="auto"/>
              </w:rPr>
            </w:pPr>
            <w:r>
              <w:rPr>
                <w:rFonts w:ascii="Arial" w:cs="Arial" w:eastAsia="Arial" w:hAnsi="Arial"/>
                <w:sz w:val="14"/>
                <w:szCs w:val="14"/>
                <w:b w:val="1"/>
                <w:bCs w:val="1"/>
                <w:color w:val="6A6E6F"/>
              </w:rPr>
              <w:t>Core Operating</w:t>
            </w:r>
          </w:p>
        </w:tc>
        <w:tc>
          <w:tcPr>
            <w:tcW w:w="1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3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6A6E6F"/>
              </w:rPr>
              <w:t>Total</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6A6E6F"/>
              </w:rPr>
              <w:t>Earnings Per</w:t>
            </w:r>
          </w:p>
        </w:tc>
        <w:tc>
          <w:tcPr>
            <w:tcW w:w="1400" w:type="dxa"/>
            <w:vAlign w:val="bottom"/>
          </w:tcPr>
          <w:p>
            <w:pPr>
              <w:jc w:val="right"/>
              <w:ind w:right="148"/>
              <w:spacing w:after="0"/>
              <w:rPr>
                <w:sz w:val="20"/>
                <w:szCs w:val="20"/>
                <w:color w:val="auto"/>
              </w:rPr>
            </w:pPr>
            <w:r>
              <w:rPr>
                <w:rFonts w:ascii="Arial" w:cs="Arial" w:eastAsia="Arial" w:hAnsi="Arial"/>
                <w:sz w:val="14"/>
                <w:szCs w:val="14"/>
                <w:b w:val="1"/>
                <w:bCs w:val="1"/>
                <w:color w:val="6A6E6F"/>
              </w:rPr>
              <w:t>Corporate</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6A6E6F"/>
              </w:rPr>
              <w:t>Total Actual</w:t>
            </w:r>
          </w:p>
        </w:tc>
      </w:tr>
      <w:tr>
        <w:trPr>
          <w:trHeight w:val="162"/>
        </w:trPr>
        <w:tc>
          <w:tcPr>
            <w:tcW w:w="32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6A6E6F"/>
              </w:rPr>
              <w:t>Core Operating</w:t>
            </w: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6A6E6F"/>
              </w:rPr>
              <w:t>Corporate</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6A6E6F"/>
              </w:rPr>
              <w:t>Annual</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6A6E6F"/>
              </w:rPr>
              <w:t>Share:</w:t>
            </w:r>
          </w:p>
        </w:tc>
        <w:tc>
          <w:tcPr>
            <w:tcW w:w="1400" w:type="dxa"/>
            <w:vAlign w:val="bottom"/>
          </w:tcPr>
          <w:p>
            <w:pPr>
              <w:jc w:val="right"/>
              <w:ind w:right="148"/>
              <w:spacing w:after="0"/>
              <w:rPr>
                <w:sz w:val="20"/>
                <w:szCs w:val="20"/>
                <w:color w:val="auto"/>
              </w:rPr>
            </w:pPr>
            <w:r>
              <w:rPr>
                <w:rFonts w:ascii="Arial" w:cs="Arial" w:eastAsia="Arial" w:hAnsi="Arial"/>
                <w:sz w:val="14"/>
                <w:szCs w:val="14"/>
                <w:b w:val="1"/>
                <w:bCs w:val="1"/>
                <w:color w:val="6A6E6F"/>
              </w:rPr>
              <w:t>Responsibility</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6A6E6F"/>
              </w:rPr>
              <w:t>Cash</w:t>
            </w:r>
          </w:p>
        </w:tc>
      </w:tr>
      <w:tr>
        <w:trPr>
          <w:trHeight w:val="162"/>
        </w:trPr>
        <w:tc>
          <w:tcPr>
            <w:tcW w:w="32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6A6E6F"/>
              </w:rPr>
              <w:t>Earnings Per</w:t>
            </w: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6A6E6F"/>
              </w:rPr>
              <w:t>Responsibility</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6A6E6F"/>
              </w:rPr>
              <w:t>Incentive</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6A6E6F"/>
              </w:rPr>
              <w:t>Actual</w:t>
            </w:r>
          </w:p>
        </w:tc>
        <w:tc>
          <w:tcPr>
            <w:tcW w:w="1400" w:type="dxa"/>
            <w:vAlign w:val="bottom"/>
          </w:tcPr>
          <w:p>
            <w:pPr>
              <w:jc w:val="right"/>
              <w:ind w:right="148"/>
              <w:spacing w:after="0"/>
              <w:rPr>
                <w:sz w:val="20"/>
                <w:szCs w:val="20"/>
                <w:color w:val="auto"/>
              </w:rPr>
            </w:pPr>
            <w:r>
              <w:rPr>
                <w:rFonts w:ascii="Arial" w:cs="Arial" w:eastAsia="Arial" w:hAnsi="Arial"/>
                <w:sz w:val="14"/>
                <w:szCs w:val="14"/>
                <w:b w:val="1"/>
                <w:bCs w:val="1"/>
                <w:color w:val="6A6E6F"/>
              </w:rPr>
              <w:t>Actual Cash</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6A6E6F"/>
              </w:rPr>
              <w:t>Incentive</w:t>
            </w:r>
          </w:p>
        </w:tc>
      </w:tr>
      <w:tr>
        <w:trPr>
          <w:trHeight w:val="210"/>
        </w:trPr>
        <w:tc>
          <w:tcPr>
            <w:tcW w:w="3280" w:type="dxa"/>
            <w:vAlign w:val="bottom"/>
          </w:tcPr>
          <w:p>
            <w:pPr>
              <w:ind w:left="60"/>
              <w:spacing w:after="0"/>
              <w:rPr>
                <w:sz w:val="20"/>
                <w:szCs w:val="20"/>
                <w:color w:val="auto"/>
              </w:rPr>
            </w:pPr>
            <w:r>
              <w:rPr>
                <w:rFonts w:ascii="Arial" w:cs="Arial" w:eastAsia="Arial" w:hAnsi="Arial"/>
                <w:sz w:val="14"/>
                <w:szCs w:val="14"/>
                <w:b w:val="1"/>
                <w:bCs w:val="1"/>
                <w:color w:val="6A6E6F"/>
              </w:rPr>
              <w:t>Name</w:t>
            </w: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6A6E6F"/>
              </w:rPr>
              <w:t>Share: Target</w:t>
            </w: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6A6E6F"/>
              </w:rPr>
              <w:t>Target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6A6E6F"/>
              </w:rPr>
              <w:t>Target</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6A6E6F"/>
              </w:rPr>
              <w:t>Cash Earned</w:t>
            </w:r>
          </w:p>
        </w:tc>
        <w:tc>
          <w:tcPr>
            <w:tcW w:w="1400" w:type="dxa"/>
            <w:vAlign w:val="bottom"/>
          </w:tcPr>
          <w:p>
            <w:pPr>
              <w:jc w:val="right"/>
              <w:ind w:right="148"/>
              <w:spacing w:after="0"/>
              <w:rPr>
                <w:sz w:val="20"/>
                <w:szCs w:val="20"/>
                <w:color w:val="auto"/>
              </w:rPr>
            </w:pPr>
            <w:r>
              <w:rPr>
                <w:rFonts w:ascii="Arial" w:cs="Arial" w:eastAsia="Arial" w:hAnsi="Arial"/>
                <w:sz w:val="14"/>
                <w:szCs w:val="14"/>
                <w:b w:val="1"/>
                <w:bCs w:val="1"/>
                <w:color w:val="6A6E6F"/>
              </w:rPr>
              <w:t>Earned</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6A6E6F"/>
              </w:rPr>
              <w:t>Earned</w:t>
            </w:r>
          </w:p>
        </w:tc>
      </w:tr>
      <w:tr>
        <w:trPr>
          <w:trHeight w:val="43"/>
        </w:trPr>
        <w:tc>
          <w:tcPr>
            <w:tcW w:w="3280" w:type="dxa"/>
            <w:vAlign w:val="bottom"/>
            <w:tcBorders>
              <w:bottom w:val="single" w:sz="8" w:color="E56D3D"/>
            </w:tcBorders>
          </w:tcPr>
          <w:p>
            <w:pPr>
              <w:spacing w:after="0"/>
              <w:rPr>
                <w:sz w:val="3"/>
                <w:szCs w:val="3"/>
                <w:color w:val="auto"/>
              </w:rPr>
            </w:pPr>
          </w:p>
        </w:tc>
        <w:tc>
          <w:tcPr>
            <w:tcW w:w="1260" w:type="dxa"/>
            <w:vAlign w:val="bottom"/>
            <w:tcBorders>
              <w:bottom w:val="single" w:sz="8" w:color="E56D3D"/>
            </w:tcBorders>
          </w:tcPr>
          <w:p>
            <w:pPr>
              <w:spacing w:after="0"/>
              <w:rPr>
                <w:sz w:val="3"/>
                <w:szCs w:val="3"/>
                <w:color w:val="auto"/>
              </w:rPr>
            </w:pPr>
          </w:p>
        </w:tc>
        <w:tc>
          <w:tcPr>
            <w:tcW w:w="1360" w:type="dxa"/>
            <w:vAlign w:val="bottom"/>
            <w:tcBorders>
              <w:bottom w:val="single" w:sz="8" w:color="E56D3D"/>
            </w:tcBorders>
          </w:tcPr>
          <w:p>
            <w:pPr>
              <w:spacing w:after="0"/>
              <w:rPr>
                <w:sz w:val="3"/>
                <w:szCs w:val="3"/>
                <w:color w:val="auto"/>
              </w:rPr>
            </w:pPr>
          </w:p>
        </w:tc>
        <w:tc>
          <w:tcPr>
            <w:tcW w:w="920" w:type="dxa"/>
            <w:vAlign w:val="bottom"/>
            <w:tcBorders>
              <w:bottom w:val="single" w:sz="8" w:color="E56D3D"/>
            </w:tcBorders>
          </w:tcPr>
          <w:p>
            <w:pPr>
              <w:spacing w:after="0"/>
              <w:rPr>
                <w:sz w:val="3"/>
                <w:szCs w:val="3"/>
                <w:color w:val="auto"/>
              </w:rPr>
            </w:pPr>
          </w:p>
        </w:tc>
        <w:tc>
          <w:tcPr>
            <w:tcW w:w="480" w:type="dxa"/>
            <w:vAlign w:val="bottom"/>
            <w:tcBorders>
              <w:bottom w:val="single" w:sz="8" w:color="E56D3D"/>
            </w:tcBorders>
          </w:tcPr>
          <w:p>
            <w:pPr>
              <w:spacing w:after="0"/>
              <w:rPr>
                <w:sz w:val="3"/>
                <w:szCs w:val="3"/>
                <w:color w:val="auto"/>
              </w:rPr>
            </w:pPr>
          </w:p>
        </w:tc>
        <w:tc>
          <w:tcPr>
            <w:tcW w:w="1260" w:type="dxa"/>
            <w:vAlign w:val="bottom"/>
            <w:tcBorders>
              <w:bottom w:val="single" w:sz="8" w:color="E56D3D"/>
            </w:tcBorders>
          </w:tcPr>
          <w:p>
            <w:pPr>
              <w:spacing w:after="0"/>
              <w:rPr>
                <w:sz w:val="3"/>
                <w:szCs w:val="3"/>
                <w:color w:val="auto"/>
              </w:rPr>
            </w:pPr>
          </w:p>
        </w:tc>
        <w:tc>
          <w:tcPr>
            <w:tcW w:w="1400" w:type="dxa"/>
            <w:vAlign w:val="bottom"/>
            <w:tcBorders>
              <w:bottom w:val="single" w:sz="8" w:color="E56D3D"/>
            </w:tcBorders>
          </w:tcPr>
          <w:p>
            <w:pPr>
              <w:spacing w:after="0"/>
              <w:rPr>
                <w:sz w:val="3"/>
                <w:szCs w:val="3"/>
                <w:color w:val="auto"/>
              </w:rPr>
            </w:pPr>
          </w:p>
        </w:tc>
        <w:tc>
          <w:tcPr>
            <w:tcW w:w="1020" w:type="dxa"/>
            <w:vAlign w:val="bottom"/>
            <w:tcBorders>
              <w:bottom w:val="single" w:sz="8" w:color="E56D3D"/>
            </w:tcBorders>
          </w:tcPr>
          <w:p>
            <w:pPr>
              <w:spacing w:after="0"/>
              <w:rPr>
                <w:sz w:val="3"/>
                <w:szCs w:val="3"/>
                <w:color w:val="auto"/>
              </w:rPr>
            </w:pPr>
          </w:p>
        </w:tc>
        <w:tc>
          <w:tcPr>
            <w:tcW w:w="40" w:type="dxa"/>
            <w:vAlign w:val="bottom"/>
            <w:tcBorders>
              <w:bottom w:val="single" w:sz="8" w:color="E56D3D"/>
            </w:tcBorders>
          </w:tcPr>
          <w:p>
            <w:pPr>
              <w:spacing w:after="0"/>
              <w:rPr>
                <w:sz w:val="3"/>
                <w:szCs w:val="3"/>
                <w:color w:val="auto"/>
              </w:rPr>
            </w:pPr>
          </w:p>
        </w:tc>
      </w:tr>
      <w:tr>
        <w:trPr>
          <w:trHeight w:val="236"/>
        </w:trPr>
        <w:tc>
          <w:tcPr>
            <w:tcW w:w="3280" w:type="dxa"/>
            <w:vAlign w:val="bottom"/>
            <w:tcBorders>
              <w:bottom w:val="single" w:sz="8" w:color="B2B2B2"/>
            </w:tcBorders>
          </w:tcPr>
          <w:p>
            <w:pPr>
              <w:ind w:left="60"/>
              <w:spacing w:after="0" w:line="237" w:lineRule="exact"/>
              <w:rPr>
                <w:sz w:val="20"/>
                <w:szCs w:val="20"/>
                <w:color w:val="auto"/>
              </w:rPr>
            </w:pPr>
            <w:r>
              <w:rPr>
                <w:rFonts w:ascii="Arial" w:cs="Arial" w:eastAsia="Arial" w:hAnsi="Arial"/>
                <w:sz w:val="14"/>
                <w:szCs w:val="14"/>
                <w:color w:val="auto"/>
              </w:rPr>
              <w:t>Martin E. Stein, Jr.</w:t>
            </w:r>
            <w:r>
              <w:rPr>
                <w:rFonts w:ascii="Arial" w:cs="Arial" w:eastAsia="Arial" w:hAnsi="Arial"/>
                <w:sz w:val="21"/>
                <w:szCs w:val="21"/>
                <w:color w:val="auto"/>
                <w:vertAlign w:val="superscript"/>
              </w:rPr>
              <w:t>(1)</w:t>
            </w:r>
          </w:p>
        </w:tc>
        <w:tc>
          <w:tcPr>
            <w:tcW w:w="12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B2B2B2"/>
            </w:tcBorders>
            <w:gridSpan w:val="2"/>
          </w:tcPr>
          <w:p>
            <w:pPr>
              <w:jc w:val="right"/>
              <w:ind w:right="480"/>
              <w:spacing w:after="0"/>
              <w:rPr>
                <w:sz w:val="20"/>
                <w:szCs w:val="20"/>
                <w:color w:val="auto"/>
              </w:rPr>
            </w:pPr>
            <w:r>
              <w:rPr>
                <w:rFonts w:ascii="Arial" w:cs="Arial" w:eastAsia="Arial" w:hAnsi="Arial"/>
                <w:sz w:val="14"/>
                <w:szCs w:val="14"/>
                <w:color w:val="auto"/>
              </w:rPr>
              <w:t>$0</w:t>
            </w:r>
          </w:p>
        </w:tc>
        <w:tc>
          <w:tcPr>
            <w:tcW w:w="126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B2B2B2"/>
            </w:tcBorders>
            <w:gridSpan w:val="2"/>
          </w:tcPr>
          <w:p>
            <w:pPr>
              <w:jc w:val="right"/>
              <w:ind w:right="40"/>
              <w:spacing w:after="0"/>
              <w:rPr>
                <w:sz w:val="20"/>
                <w:szCs w:val="20"/>
                <w:color w:val="auto"/>
              </w:rPr>
            </w:pPr>
            <w:r>
              <w:rPr>
                <w:rFonts w:ascii="Arial" w:cs="Arial" w:eastAsia="Arial" w:hAnsi="Arial"/>
                <w:sz w:val="14"/>
                <w:szCs w:val="14"/>
                <w:color w:val="auto"/>
              </w:rPr>
              <w:t>$0</w:t>
            </w:r>
          </w:p>
        </w:tc>
      </w:tr>
      <w:tr>
        <w:trPr>
          <w:trHeight w:val="233"/>
        </w:trPr>
        <w:tc>
          <w:tcPr>
            <w:tcW w:w="32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Lisa Palmer</w:t>
            </w:r>
          </w:p>
        </w:tc>
        <w:tc>
          <w:tcPr>
            <w:tcW w:w="12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$1,560,000</w:t>
            </w:r>
          </w:p>
        </w:tc>
        <w:tc>
          <w:tcPr>
            <w:tcW w:w="136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$390,000</w:t>
            </w:r>
          </w:p>
        </w:tc>
        <w:tc>
          <w:tcPr>
            <w:tcW w:w="1400" w:type="dxa"/>
            <w:vAlign w:val="bottom"/>
            <w:tcBorders>
              <w:bottom w:val="single" w:sz="8" w:color="B2B2B2"/>
            </w:tcBorders>
            <w:gridSpan w:val="2"/>
          </w:tcPr>
          <w:p>
            <w:pPr>
              <w:jc w:val="right"/>
              <w:ind w:right="480"/>
              <w:spacing w:after="0"/>
              <w:rPr>
                <w:sz w:val="20"/>
                <w:szCs w:val="20"/>
                <w:color w:val="auto"/>
              </w:rPr>
            </w:pPr>
            <w:r>
              <w:rPr>
                <w:rFonts w:ascii="Arial" w:cs="Arial" w:eastAsia="Arial" w:hAnsi="Arial"/>
                <w:sz w:val="14"/>
                <w:szCs w:val="14"/>
                <w:color w:val="auto"/>
              </w:rPr>
              <w:t>$1,950,000</w:t>
            </w:r>
          </w:p>
        </w:tc>
        <w:tc>
          <w:tcPr>
            <w:tcW w:w="126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$2,340,000</w:t>
            </w:r>
          </w:p>
        </w:tc>
        <w:tc>
          <w:tcPr>
            <w:tcW w:w="140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$585,000</w:t>
            </w:r>
          </w:p>
        </w:tc>
        <w:tc>
          <w:tcPr>
            <w:tcW w:w="1060" w:type="dxa"/>
            <w:vAlign w:val="bottom"/>
            <w:tcBorders>
              <w:bottom w:val="single" w:sz="8" w:color="B2B2B2"/>
            </w:tcBorders>
            <w:gridSpan w:val="2"/>
          </w:tcPr>
          <w:p>
            <w:pPr>
              <w:jc w:val="right"/>
              <w:ind w:right="40"/>
              <w:spacing w:after="0"/>
              <w:rPr>
                <w:sz w:val="20"/>
                <w:szCs w:val="20"/>
                <w:color w:val="auto"/>
              </w:rPr>
            </w:pPr>
            <w:r>
              <w:rPr>
                <w:rFonts w:ascii="Arial" w:cs="Arial" w:eastAsia="Arial" w:hAnsi="Arial"/>
                <w:sz w:val="14"/>
                <w:szCs w:val="14"/>
                <w:color w:val="auto"/>
              </w:rPr>
              <w:t>$2,925,000</w:t>
            </w:r>
          </w:p>
        </w:tc>
      </w:tr>
      <w:tr>
        <w:trPr>
          <w:trHeight w:val="237"/>
        </w:trPr>
        <w:tc>
          <w:tcPr>
            <w:tcW w:w="32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Michael J. Mas</w:t>
            </w:r>
          </w:p>
        </w:tc>
        <w:tc>
          <w:tcPr>
            <w:tcW w:w="12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$820,000</w:t>
            </w:r>
          </w:p>
        </w:tc>
        <w:tc>
          <w:tcPr>
            <w:tcW w:w="136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$205,000</w:t>
            </w:r>
          </w:p>
        </w:tc>
        <w:tc>
          <w:tcPr>
            <w:tcW w:w="1400" w:type="dxa"/>
            <w:vAlign w:val="bottom"/>
            <w:tcBorders>
              <w:bottom w:val="single" w:sz="8" w:color="B2B2B2"/>
            </w:tcBorders>
            <w:gridSpan w:val="2"/>
          </w:tcPr>
          <w:p>
            <w:pPr>
              <w:jc w:val="right"/>
              <w:ind w:right="480"/>
              <w:spacing w:after="0"/>
              <w:rPr>
                <w:sz w:val="20"/>
                <w:szCs w:val="20"/>
                <w:color w:val="auto"/>
              </w:rPr>
            </w:pPr>
            <w:r>
              <w:rPr>
                <w:rFonts w:ascii="Arial" w:cs="Arial" w:eastAsia="Arial" w:hAnsi="Arial"/>
                <w:sz w:val="14"/>
                <w:szCs w:val="14"/>
                <w:color w:val="auto"/>
              </w:rPr>
              <w:t>$1,025,000</w:t>
            </w:r>
          </w:p>
        </w:tc>
        <w:tc>
          <w:tcPr>
            <w:tcW w:w="126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$1,230,000</w:t>
            </w:r>
          </w:p>
        </w:tc>
        <w:tc>
          <w:tcPr>
            <w:tcW w:w="140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$307,500</w:t>
            </w:r>
          </w:p>
        </w:tc>
        <w:tc>
          <w:tcPr>
            <w:tcW w:w="1060" w:type="dxa"/>
            <w:vAlign w:val="bottom"/>
            <w:tcBorders>
              <w:bottom w:val="single" w:sz="8" w:color="B2B2B2"/>
            </w:tcBorders>
            <w:gridSpan w:val="2"/>
          </w:tcPr>
          <w:p>
            <w:pPr>
              <w:jc w:val="right"/>
              <w:ind w:right="40"/>
              <w:spacing w:after="0"/>
              <w:rPr>
                <w:sz w:val="20"/>
                <w:szCs w:val="20"/>
                <w:color w:val="auto"/>
              </w:rPr>
            </w:pPr>
            <w:r>
              <w:rPr>
                <w:rFonts w:ascii="Arial" w:cs="Arial" w:eastAsia="Arial" w:hAnsi="Arial"/>
                <w:sz w:val="14"/>
                <w:szCs w:val="14"/>
                <w:color w:val="auto"/>
              </w:rPr>
              <w:t>$1,537,500</w:t>
            </w:r>
          </w:p>
        </w:tc>
      </w:tr>
      <w:tr>
        <w:trPr>
          <w:trHeight w:val="236"/>
        </w:trPr>
        <w:tc>
          <w:tcPr>
            <w:tcW w:w="32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Alan T. Roth</w:t>
            </w:r>
          </w:p>
        </w:tc>
        <w:tc>
          <w:tcPr>
            <w:tcW w:w="12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$500,000</w:t>
            </w:r>
          </w:p>
        </w:tc>
        <w:tc>
          <w:tcPr>
            <w:tcW w:w="136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$125,000</w:t>
            </w:r>
          </w:p>
        </w:tc>
        <w:tc>
          <w:tcPr>
            <w:tcW w:w="1400" w:type="dxa"/>
            <w:vAlign w:val="bottom"/>
            <w:tcBorders>
              <w:bottom w:val="single" w:sz="8" w:color="B2B2B2"/>
            </w:tcBorders>
            <w:gridSpan w:val="2"/>
          </w:tcPr>
          <w:p>
            <w:pPr>
              <w:jc w:val="right"/>
              <w:ind w:right="480"/>
              <w:spacing w:after="0"/>
              <w:rPr>
                <w:sz w:val="20"/>
                <w:szCs w:val="20"/>
                <w:color w:val="auto"/>
              </w:rPr>
            </w:pPr>
            <w:r>
              <w:rPr>
                <w:rFonts w:ascii="Arial" w:cs="Arial" w:eastAsia="Arial" w:hAnsi="Arial"/>
                <w:sz w:val="14"/>
                <w:szCs w:val="14"/>
                <w:color w:val="auto"/>
              </w:rPr>
              <w:t>$625,000</w:t>
            </w:r>
          </w:p>
        </w:tc>
        <w:tc>
          <w:tcPr>
            <w:tcW w:w="126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$750,000</w:t>
            </w:r>
          </w:p>
        </w:tc>
        <w:tc>
          <w:tcPr>
            <w:tcW w:w="140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$187,500</w:t>
            </w:r>
          </w:p>
        </w:tc>
        <w:tc>
          <w:tcPr>
            <w:tcW w:w="1060" w:type="dxa"/>
            <w:vAlign w:val="bottom"/>
            <w:tcBorders>
              <w:bottom w:val="single" w:sz="8" w:color="B2B2B2"/>
            </w:tcBorders>
            <w:gridSpan w:val="2"/>
          </w:tcPr>
          <w:p>
            <w:pPr>
              <w:jc w:val="right"/>
              <w:ind w:right="40"/>
              <w:spacing w:after="0"/>
              <w:rPr>
                <w:sz w:val="20"/>
                <w:szCs w:val="20"/>
                <w:color w:val="auto"/>
              </w:rPr>
            </w:pPr>
            <w:r>
              <w:rPr>
                <w:rFonts w:ascii="Arial" w:cs="Arial" w:eastAsia="Arial" w:hAnsi="Arial"/>
                <w:sz w:val="14"/>
                <w:szCs w:val="14"/>
                <w:color w:val="auto"/>
              </w:rPr>
              <w:t>$937,500</w:t>
            </w:r>
          </w:p>
        </w:tc>
      </w:tr>
      <w:tr>
        <w:trPr>
          <w:trHeight w:val="233"/>
        </w:trPr>
        <w:tc>
          <w:tcPr>
            <w:tcW w:w="3280" w:type="dxa"/>
            <w:vAlign w:val="bottom"/>
          </w:tcPr>
          <w:p>
            <w:pPr>
              <w:ind w:left="60"/>
              <w:spacing w:after="0"/>
              <w:rPr>
                <w:sz w:val="20"/>
                <w:szCs w:val="20"/>
                <w:color w:val="auto"/>
              </w:rPr>
            </w:pPr>
            <w:r>
              <w:rPr>
                <w:rFonts w:ascii="Arial" w:cs="Arial" w:eastAsia="Arial" w:hAnsi="Arial"/>
                <w:sz w:val="14"/>
                <w:szCs w:val="14"/>
                <w:color w:val="auto"/>
              </w:rPr>
              <w:t>Nicholas A. Wibbenmeyer</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$500,000</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$125,000</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color w:val="auto"/>
              </w:rPr>
              <w:t>$625,000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$750,000</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$187,500</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$937,500</w:t>
            </w:r>
          </w:p>
        </w:tc>
      </w:tr>
      <w:tr>
        <w:trPr>
          <w:trHeight w:val="35"/>
        </w:trPr>
        <w:tc>
          <w:tcPr>
            <w:tcW w:w="3280" w:type="dxa"/>
            <w:vAlign w:val="bottom"/>
            <w:tcBorders>
              <w:bottom w:val="single" w:sz="8" w:color="E56D3D"/>
            </w:tcBorders>
          </w:tcPr>
          <w:p>
            <w:pPr>
              <w:spacing w:after="0"/>
              <w:rPr>
                <w:sz w:val="3"/>
                <w:szCs w:val="3"/>
                <w:color w:val="auto"/>
              </w:rPr>
            </w:pPr>
          </w:p>
        </w:tc>
        <w:tc>
          <w:tcPr>
            <w:tcW w:w="1260" w:type="dxa"/>
            <w:vAlign w:val="bottom"/>
            <w:tcBorders>
              <w:bottom w:val="single" w:sz="8" w:color="E56D3D"/>
            </w:tcBorders>
          </w:tcPr>
          <w:p>
            <w:pPr>
              <w:spacing w:after="0"/>
              <w:rPr>
                <w:sz w:val="3"/>
                <w:szCs w:val="3"/>
                <w:color w:val="auto"/>
              </w:rPr>
            </w:pPr>
          </w:p>
        </w:tc>
        <w:tc>
          <w:tcPr>
            <w:tcW w:w="1360" w:type="dxa"/>
            <w:vAlign w:val="bottom"/>
            <w:tcBorders>
              <w:bottom w:val="single" w:sz="8" w:color="E56D3D"/>
            </w:tcBorders>
          </w:tcPr>
          <w:p>
            <w:pPr>
              <w:spacing w:after="0"/>
              <w:rPr>
                <w:sz w:val="3"/>
                <w:szCs w:val="3"/>
                <w:color w:val="auto"/>
              </w:rPr>
            </w:pPr>
          </w:p>
        </w:tc>
        <w:tc>
          <w:tcPr>
            <w:tcW w:w="920" w:type="dxa"/>
            <w:vAlign w:val="bottom"/>
            <w:tcBorders>
              <w:bottom w:val="single" w:sz="8" w:color="E56D3D"/>
            </w:tcBorders>
          </w:tcPr>
          <w:p>
            <w:pPr>
              <w:spacing w:after="0"/>
              <w:rPr>
                <w:sz w:val="3"/>
                <w:szCs w:val="3"/>
                <w:color w:val="auto"/>
              </w:rPr>
            </w:pPr>
          </w:p>
        </w:tc>
        <w:tc>
          <w:tcPr>
            <w:tcW w:w="480" w:type="dxa"/>
            <w:vAlign w:val="bottom"/>
            <w:tcBorders>
              <w:bottom w:val="single" w:sz="8" w:color="E56D3D"/>
            </w:tcBorders>
          </w:tcPr>
          <w:p>
            <w:pPr>
              <w:spacing w:after="0"/>
              <w:rPr>
                <w:sz w:val="3"/>
                <w:szCs w:val="3"/>
                <w:color w:val="auto"/>
              </w:rPr>
            </w:pPr>
          </w:p>
        </w:tc>
        <w:tc>
          <w:tcPr>
            <w:tcW w:w="1260" w:type="dxa"/>
            <w:vAlign w:val="bottom"/>
            <w:tcBorders>
              <w:bottom w:val="single" w:sz="8" w:color="E56D3D"/>
            </w:tcBorders>
          </w:tcPr>
          <w:p>
            <w:pPr>
              <w:spacing w:after="0"/>
              <w:rPr>
                <w:sz w:val="3"/>
                <w:szCs w:val="3"/>
                <w:color w:val="auto"/>
              </w:rPr>
            </w:pPr>
          </w:p>
        </w:tc>
        <w:tc>
          <w:tcPr>
            <w:tcW w:w="1400" w:type="dxa"/>
            <w:vAlign w:val="bottom"/>
            <w:tcBorders>
              <w:bottom w:val="single" w:sz="8" w:color="E56D3D"/>
            </w:tcBorders>
          </w:tcPr>
          <w:p>
            <w:pPr>
              <w:spacing w:after="0"/>
              <w:rPr>
                <w:sz w:val="3"/>
                <w:szCs w:val="3"/>
                <w:color w:val="auto"/>
              </w:rPr>
            </w:pPr>
          </w:p>
        </w:tc>
        <w:tc>
          <w:tcPr>
            <w:tcW w:w="1020" w:type="dxa"/>
            <w:vAlign w:val="bottom"/>
            <w:tcBorders>
              <w:bottom w:val="single" w:sz="8" w:color="E56D3D"/>
            </w:tcBorders>
          </w:tcPr>
          <w:p>
            <w:pPr>
              <w:spacing w:after="0"/>
              <w:rPr>
                <w:sz w:val="3"/>
                <w:szCs w:val="3"/>
                <w:color w:val="auto"/>
              </w:rPr>
            </w:pPr>
          </w:p>
        </w:tc>
        <w:tc>
          <w:tcPr>
            <w:tcW w:w="40" w:type="dxa"/>
            <w:vAlign w:val="bottom"/>
            <w:tcBorders>
              <w:bottom w:val="single" w:sz="8" w:color="E56D3D"/>
            </w:tcBorders>
          </w:tcPr>
          <w:p>
            <w:pPr>
              <w:spacing w:after="0"/>
              <w:rPr>
                <w:sz w:val="3"/>
                <w:szCs w:val="3"/>
                <w:color w:val="auto"/>
              </w:rPr>
            </w:pPr>
          </w:p>
        </w:tc>
      </w:tr>
    </w:tbl>
    <w:p>
      <w:pPr>
        <w:spacing w:after="0" w:line="6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(1) Mr. Stein’s compensation package does not currently provide him with an annual cash incentive opportunity.</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E56D3D"/>
        </w:rPr>
        <w:t>Long-Term Incentives — Overview</w:t>
      </w:r>
    </w:p>
    <w:p>
      <w:pPr>
        <w:spacing w:after="0" w:line="71"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The Compensation Committee believes that equity awards with multi-year performance and vesting periods reinforce the alignment of the interests of executives with shareholder value creation. As such, our long-term incentive awards are structured in this way for NEOs. We also have the ability under our Omnibus Incentive Plan to grant various types of equity awards, including restricted stock awards and performance share awards, to provide incentives for NEOs and others in management to work to create shareholder value over the long-term. In addition, the multi-year nature of the performance and vesting periods encourages retention of our executives.</w:t>
      </w:r>
    </w:p>
    <w:p>
      <w:pPr>
        <w:spacing w:after="0" w:line="139"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The committee has authority and flexibility to determine eligible participants, the types and terms and conditions of awards. Awards are structured consistent with our compensation philosophy in that they provide opportunities for achievement and exceedance of the Company’s performance expectations. In 2025, the committee used two different types of stock-based awards to promote equity ownership by the participants and to emphasize the importance of relative total shareholder return. Performance share awards are earned subject to the achievement of performance goals approved by the committee as described below. Restricted share awards are earned subject to the participant’s continued employment with us.</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2025 Long-Term Incentive Weighting at Target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420" w:type="dxa"/>
            <w:vAlign w:val="bottom"/>
          </w:tcPr>
          <w:p>
            <w:pPr>
              <w:ind w:left="60"/>
              <w:spacing w:after="0"/>
              <w:rPr>
                <w:sz w:val="20"/>
                <w:szCs w:val="20"/>
                <w:color w:val="auto"/>
              </w:rPr>
            </w:pPr>
            <w:r>
              <w:rPr>
                <w:rFonts w:ascii="Arial" w:cs="Arial" w:eastAsia="Arial" w:hAnsi="Arial"/>
                <w:sz w:val="14"/>
                <w:szCs w:val="14"/>
                <w:b w:val="1"/>
                <w:bCs w:val="1"/>
                <w:color w:val="6A6E6F"/>
              </w:rPr>
              <w:t>Long-Term Incentive Component</w:t>
            </w:r>
          </w:p>
        </w:tc>
        <w:tc>
          <w:tcPr>
            <w:tcW w:w="3600" w:type="dxa"/>
            <w:vAlign w:val="bottom"/>
          </w:tcPr>
          <w:p>
            <w:pPr>
              <w:jc w:val="right"/>
              <w:spacing w:after="0"/>
              <w:rPr>
                <w:sz w:val="20"/>
                <w:szCs w:val="20"/>
                <w:color w:val="auto"/>
              </w:rPr>
            </w:pPr>
            <w:r>
              <w:rPr>
                <w:rFonts w:ascii="Arial" w:cs="Arial" w:eastAsia="Arial" w:hAnsi="Arial"/>
                <w:sz w:val="14"/>
                <w:szCs w:val="14"/>
                <w:b w:val="1"/>
                <w:bCs w:val="1"/>
                <w:color w:val="6A6E6F"/>
              </w:rPr>
              <w:t>NEOs at Target</w:t>
            </w:r>
          </w:p>
        </w:tc>
      </w:tr>
      <w:tr>
        <w:trPr>
          <w:trHeight w:val="43"/>
        </w:trPr>
        <w:tc>
          <w:tcPr>
            <w:tcW w:w="7420" w:type="dxa"/>
            <w:vAlign w:val="bottom"/>
            <w:tcBorders>
              <w:bottom w:val="single" w:sz="8" w:color="E56D3D"/>
            </w:tcBorders>
          </w:tcPr>
          <w:p>
            <w:pPr>
              <w:spacing w:after="0"/>
              <w:rPr>
                <w:sz w:val="3"/>
                <w:szCs w:val="3"/>
                <w:color w:val="auto"/>
              </w:rPr>
            </w:pPr>
          </w:p>
        </w:tc>
        <w:tc>
          <w:tcPr>
            <w:tcW w:w="3600" w:type="dxa"/>
            <w:vAlign w:val="bottom"/>
            <w:tcBorders>
              <w:bottom w:val="single" w:sz="8" w:color="E56D3D"/>
            </w:tcBorders>
          </w:tcPr>
          <w:p>
            <w:pPr>
              <w:spacing w:after="0"/>
              <w:rPr>
                <w:sz w:val="3"/>
                <w:szCs w:val="3"/>
                <w:color w:val="auto"/>
              </w:rPr>
            </w:pPr>
          </w:p>
        </w:tc>
      </w:tr>
      <w:tr>
        <w:trPr>
          <w:trHeight w:val="233"/>
        </w:trPr>
        <w:tc>
          <w:tcPr>
            <w:tcW w:w="74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Performance Shares: 2025 – 2027 Relative Total Shareholder Return (TSR)</w:t>
            </w:r>
          </w:p>
        </w:tc>
        <w:tc>
          <w:tcPr>
            <w:tcW w:w="36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80%</w:t>
            </w:r>
          </w:p>
        </w:tc>
      </w:tr>
      <w:tr>
        <w:trPr>
          <w:trHeight w:val="236"/>
        </w:trPr>
        <w:tc>
          <w:tcPr>
            <w:tcW w:w="7420" w:type="dxa"/>
            <w:vAlign w:val="bottom"/>
            <w:tcBorders>
              <w:bottom w:val="single" w:sz="8" w:color="E56D3D"/>
            </w:tcBorders>
          </w:tcPr>
          <w:p>
            <w:pPr>
              <w:ind w:left="60"/>
              <w:spacing w:after="0"/>
              <w:rPr>
                <w:sz w:val="20"/>
                <w:szCs w:val="20"/>
                <w:color w:val="auto"/>
              </w:rPr>
            </w:pPr>
            <w:r>
              <w:rPr>
                <w:rFonts w:ascii="Arial" w:cs="Arial" w:eastAsia="Arial" w:hAnsi="Arial"/>
                <w:sz w:val="14"/>
                <w:szCs w:val="14"/>
                <w:color w:val="auto"/>
              </w:rPr>
              <w:t>Time-based Restricted Shares</w:t>
            </w:r>
          </w:p>
        </w:tc>
        <w:tc>
          <w:tcPr>
            <w:tcW w:w="3600" w:type="dxa"/>
            <w:vAlign w:val="bottom"/>
            <w:tcBorders>
              <w:bottom w:val="single" w:sz="8" w:color="E56D3D"/>
            </w:tcBorders>
          </w:tcPr>
          <w:p>
            <w:pPr>
              <w:jc w:val="right"/>
              <w:spacing w:after="0"/>
              <w:rPr>
                <w:sz w:val="20"/>
                <w:szCs w:val="20"/>
                <w:color w:val="auto"/>
              </w:rPr>
            </w:pPr>
            <w:r>
              <w:rPr>
                <w:rFonts w:ascii="Arial" w:cs="Arial" w:eastAsia="Arial" w:hAnsi="Arial"/>
                <w:sz w:val="14"/>
                <w:szCs w:val="14"/>
                <w:color w:val="auto"/>
              </w:rPr>
              <w:t>20%</w:t>
            </w: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34</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 </w:t>
      </w:r>
      <w:r>
        <w:rPr>
          <w:rFonts w:ascii="Arial" w:cs="Arial" w:eastAsia="Arial" w:hAnsi="Arial"/>
          <w:sz w:val="19"/>
          <w:szCs w:val="19"/>
          <w:b w:val="1"/>
          <w:bCs w:val="1"/>
          <w:color w:val="E56D3D"/>
        </w:rPr>
        <w:t>|</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E56D3D"/>
        </w:rPr>
        <w:t>Long-Term Incentives — Performance Shares</w:t>
      </w:r>
    </w:p>
    <w:p>
      <w:pPr>
        <w:spacing w:after="0" w:line="71"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Performance goals are established for a multi-year performance period to tie incentive compensation to long-term results. Following the end of the period, performance is calculated versus targets and reviewed by the Compensation Committee, awards are determined, and the corresponding number of shares vest. Dividend equivalents are accrued during the performance period and will vest when the underlying share award vests. No shares or dividends are earned if performance levels are not achieved at or in excess of threshold levels.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Performance Share Awards</w:t>
      </w:r>
    </w:p>
    <w:p>
      <w:pPr>
        <w:spacing w:after="0" w:line="106"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Performance shares awarded in 2025 are based on relative total shareholder return goals over the 2025 – 2027 performance period. We believe total shareholder return is akin to a scorecard for our investors, and it is a discerning measure of how our executives and our Company have performed over an extended period.</w:t>
      </w:r>
    </w:p>
    <w:p>
      <w:pPr>
        <w:spacing w:after="0" w:line="171" w:lineRule="exact"/>
        <w:rPr>
          <w:sz w:val="20"/>
          <w:szCs w:val="20"/>
          <w:color w:val="auto"/>
        </w:rPr>
      </w:pPr>
    </w:p>
    <w:p>
      <w:pPr>
        <w:ind w:left="120" w:right="380"/>
        <w:spacing w:after="0" w:line="259" w:lineRule="auto"/>
        <w:rPr>
          <w:sz w:val="20"/>
          <w:szCs w:val="20"/>
          <w:color w:val="auto"/>
        </w:rPr>
      </w:pPr>
      <w:r>
        <w:rPr>
          <w:rFonts w:ascii="Arial" w:cs="Arial" w:eastAsia="Arial" w:hAnsi="Arial"/>
          <w:sz w:val="16"/>
          <w:szCs w:val="16"/>
          <w:color w:val="auto"/>
        </w:rPr>
        <w:t>The performance share goals for the 2025 long-term incentive plan, which are set in relation to the FTSE Nareit Equity Shopping Centers Index, are outlined below and articulated in terms of three-year aggregate performance. Total shareholder return considers stock price growth as well as reinvestment of dividends. Performance between levels will be interpolated and the determination of the vesting of such performance shares will take place after the end of 2027.</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2025 – 2027 Performance Criteria for Total Shareholder Return</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(Relative to FTSE Nareit Equity Shopping Centers Index)</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4080" w:type="dxa"/>
            <w:vAlign w:val="bottom"/>
          </w:tcPr>
          <w:p>
            <w:pPr>
              <w:jc w:val="right"/>
              <w:ind w:right="168"/>
              <w:spacing w:after="0"/>
              <w:rPr>
                <w:sz w:val="20"/>
                <w:szCs w:val="20"/>
                <w:color w:val="auto"/>
              </w:rPr>
            </w:pPr>
            <w:r>
              <w:rPr>
                <w:rFonts w:ascii="Arial" w:cs="Arial" w:eastAsia="Arial" w:hAnsi="Arial"/>
                <w:sz w:val="14"/>
                <w:szCs w:val="14"/>
                <w:b w:val="1"/>
                <w:bCs w:val="1"/>
                <w:color w:val="6A6E6F"/>
              </w:rPr>
              <w:t>Performance</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6A6E6F"/>
              </w:rPr>
              <w:t>Multiple of</w:t>
            </w:r>
          </w:p>
        </w:tc>
      </w:tr>
      <w:tr>
        <w:trPr>
          <w:trHeight w:val="196"/>
        </w:trPr>
        <w:tc>
          <w:tcPr>
            <w:tcW w:w="5880" w:type="dxa"/>
            <w:vAlign w:val="bottom"/>
          </w:tcPr>
          <w:p>
            <w:pPr>
              <w:ind w:left="60"/>
              <w:spacing w:after="0"/>
              <w:rPr>
                <w:sz w:val="20"/>
                <w:szCs w:val="20"/>
                <w:color w:val="auto"/>
              </w:rPr>
            </w:pPr>
            <w:r>
              <w:rPr>
                <w:rFonts w:ascii="Arial" w:cs="Arial" w:eastAsia="Arial" w:hAnsi="Arial"/>
                <w:sz w:val="14"/>
                <w:szCs w:val="14"/>
                <w:b w:val="1"/>
                <w:bCs w:val="1"/>
                <w:color w:val="6A6E6F"/>
              </w:rPr>
              <w:t>Cumulative 3-Year Performance vs. Index</w:t>
            </w:r>
          </w:p>
        </w:tc>
        <w:tc>
          <w:tcPr>
            <w:tcW w:w="4080" w:type="dxa"/>
            <w:vAlign w:val="bottom"/>
          </w:tcPr>
          <w:p>
            <w:pPr>
              <w:jc w:val="right"/>
              <w:ind w:right="168"/>
              <w:spacing w:after="0"/>
              <w:rPr>
                <w:sz w:val="20"/>
                <w:szCs w:val="20"/>
                <w:color w:val="auto"/>
              </w:rPr>
            </w:pPr>
            <w:r>
              <w:rPr>
                <w:rFonts w:ascii="Arial" w:cs="Arial" w:eastAsia="Arial" w:hAnsi="Arial"/>
                <w:sz w:val="14"/>
                <w:szCs w:val="14"/>
                <w:b w:val="1"/>
                <w:bCs w:val="1"/>
                <w:color w:val="6A6E6F"/>
              </w:rPr>
              <w:t>Level</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6A6E6F"/>
              </w:rPr>
              <w:t>Target</w:t>
            </w:r>
          </w:p>
        </w:tc>
      </w:tr>
      <w:tr>
        <w:trPr>
          <w:trHeight w:val="43"/>
        </w:trPr>
        <w:tc>
          <w:tcPr>
            <w:tcW w:w="5880" w:type="dxa"/>
            <w:vAlign w:val="bottom"/>
            <w:tcBorders>
              <w:bottom w:val="single" w:sz="8" w:color="E56D3D"/>
            </w:tcBorders>
          </w:tcPr>
          <w:p>
            <w:pPr>
              <w:spacing w:after="0"/>
              <w:rPr>
                <w:sz w:val="3"/>
                <w:szCs w:val="3"/>
                <w:color w:val="auto"/>
              </w:rPr>
            </w:pPr>
          </w:p>
        </w:tc>
        <w:tc>
          <w:tcPr>
            <w:tcW w:w="4080" w:type="dxa"/>
            <w:vAlign w:val="bottom"/>
            <w:tcBorders>
              <w:bottom w:val="single" w:sz="8" w:color="E56D3D"/>
            </w:tcBorders>
          </w:tcPr>
          <w:p>
            <w:pPr>
              <w:spacing w:after="0"/>
              <w:rPr>
                <w:sz w:val="3"/>
                <w:szCs w:val="3"/>
                <w:color w:val="auto"/>
              </w:rPr>
            </w:pPr>
          </w:p>
        </w:tc>
        <w:tc>
          <w:tcPr>
            <w:tcW w:w="1060" w:type="dxa"/>
            <w:vAlign w:val="bottom"/>
            <w:tcBorders>
              <w:bottom w:val="single" w:sz="8" w:color="E56D3D"/>
            </w:tcBorders>
          </w:tcPr>
          <w:p>
            <w:pPr>
              <w:spacing w:after="0"/>
              <w:rPr>
                <w:sz w:val="3"/>
                <w:szCs w:val="3"/>
                <w:color w:val="auto"/>
              </w:rPr>
            </w:pPr>
          </w:p>
        </w:tc>
      </w:tr>
      <w:tr>
        <w:trPr>
          <w:trHeight w:val="233"/>
        </w:trPr>
        <w:tc>
          <w:tcPr>
            <w:tcW w:w="58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+20%</w:t>
            </w:r>
          </w:p>
        </w:tc>
        <w:tc>
          <w:tcPr>
            <w:tcW w:w="408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Maximum</w:t>
            </w:r>
          </w:p>
        </w:tc>
        <w:tc>
          <w:tcPr>
            <w:tcW w:w="10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2.00</w:t>
            </w:r>
          </w:p>
        </w:tc>
      </w:tr>
      <w:tr>
        <w:trPr>
          <w:trHeight w:val="250"/>
        </w:trPr>
        <w:tc>
          <w:tcPr>
            <w:tcW w:w="58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+10%</w:t>
            </w:r>
          </w:p>
        </w:tc>
        <w:tc>
          <w:tcPr>
            <w:tcW w:w="408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1.50</w:t>
            </w:r>
          </w:p>
        </w:tc>
      </w:tr>
      <w:tr>
        <w:trPr>
          <w:trHeight w:val="237"/>
        </w:trPr>
        <w:tc>
          <w:tcPr>
            <w:tcW w:w="58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0%</w:t>
            </w:r>
          </w:p>
        </w:tc>
        <w:tc>
          <w:tcPr>
            <w:tcW w:w="408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Target</w:t>
            </w:r>
          </w:p>
        </w:tc>
        <w:tc>
          <w:tcPr>
            <w:tcW w:w="10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1.00</w:t>
            </w:r>
          </w:p>
        </w:tc>
      </w:tr>
      <w:tr>
        <w:trPr>
          <w:trHeight w:val="250"/>
        </w:trPr>
        <w:tc>
          <w:tcPr>
            <w:tcW w:w="58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-10%</w:t>
            </w:r>
          </w:p>
        </w:tc>
        <w:tc>
          <w:tcPr>
            <w:tcW w:w="408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0.50</w:t>
            </w:r>
          </w:p>
        </w:tc>
      </w:tr>
      <w:tr>
        <w:trPr>
          <w:trHeight w:val="236"/>
        </w:trPr>
        <w:tc>
          <w:tcPr>
            <w:tcW w:w="5880" w:type="dxa"/>
            <w:vAlign w:val="bottom"/>
            <w:tcBorders>
              <w:bottom w:val="single" w:sz="8" w:color="E56D3D"/>
            </w:tcBorders>
          </w:tcPr>
          <w:p>
            <w:pPr>
              <w:ind w:left="60"/>
              <w:spacing w:after="0"/>
              <w:rPr>
                <w:sz w:val="20"/>
                <w:szCs w:val="20"/>
                <w:color w:val="auto"/>
              </w:rPr>
            </w:pPr>
            <w:r>
              <w:rPr>
                <w:rFonts w:ascii="Arial" w:cs="Arial" w:eastAsia="Arial" w:hAnsi="Arial"/>
                <w:sz w:val="14"/>
                <w:szCs w:val="14"/>
                <w:color w:val="auto"/>
              </w:rPr>
              <w:t>-20%</w:t>
            </w:r>
          </w:p>
        </w:tc>
        <w:tc>
          <w:tcPr>
            <w:tcW w:w="4080" w:type="dxa"/>
            <w:vAlign w:val="bottom"/>
            <w:tcBorders>
              <w:bottom w:val="single" w:sz="8" w:color="E56D3D"/>
            </w:tcBorders>
          </w:tcPr>
          <w:p>
            <w:pPr>
              <w:jc w:val="right"/>
              <w:ind w:right="168"/>
              <w:spacing w:after="0"/>
              <w:rPr>
                <w:sz w:val="20"/>
                <w:szCs w:val="20"/>
                <w:color w:val="auto"/>
              </w:rPr>
            </w:pPr>
            <w:r>
              <w:rPr>
                <w:rFonts w:ascii="Arial" w:cs="Arial" w:eastAsia="Arial" w:hAnsi="Arial"/>
                <w:sz w:val="14"/>
                <w:szCs w:val="14"/>
                <w:color w:val="auto"/>
              </w:rPr>
              <w:t>Threshold</w:t>
            </w:r>
          </w:p>
        </w:tc>
        <w:tc>
          <w:tcPr>
            <w:tcW w:w="106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color w:val="auto"/>
              </w:rPr>
              <w:t>0.00</w:t>
            </w:r>
          </w:p>
        </w:tc>
      </w:tr>
    </w:tbl>
    <w:p>
      <w:pPr>
        <w:spacing w:after="0" w:line="161"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Performance shares awarded to our NEOs in 2023, 2024 and 2025, respectively, are set forth in the table for outstanding equity awards at fiscal year-end 2025 on page 42 in this proxy statement.</w:t>
      </w:r>
    </w:p>
    <w:p>
      <w:pPr>
        <w:spacing w:after="0" w:line="129"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The performance shares awarded for the 2023 – 2025 performance period were measured based on the same performance criteria as the 2025 – 2027 awards. Our NEOs earned 90% of the target performance share award, which was based upon total shareholder return for the 2023 – 2025 performance period versus the FTSE Nareit Equity Shopping Centers Index. Our relative total shareholder return for this performance period was 21% versus 23% for the FTSE Nareit Equity Shopping Centers Index.</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Scorecard for Relative Total Shareholder Return Performance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4400" w:type="dxa"/>
            <w:vAlign w:val="bottom"/>
          </w:tcPr>
          <w:p>
            <w:pPr>
              <w:jc w:val="right"/>
              <w:ind w:right="288"/>
              <w:spacing w:after="0"/>
              <w:rPr>
                <w:sz w:val="20"/>
                <w:szCs w:val="20"/>
                <w:color w:val="auto"/>
              </w:rPr>
            </w:pPr>
            <w:r>
              <w:rPr>
                <w:rFonts w:ascii="Arial" w:cs="Arial" w:eastAsia="Arial" w:hAnsi="Arial"/>
                <w:sz w:val="14"/>
                <w:szCs w:val="14"/>
                <w:b w:val="1"/>
                <w:bCs w:val="1"/>
                <w:color w:val="6A6E6F"/>
              </w:rPr>
              <w:t>FTSE Nareit Equity</w:t>
            </w:r>
          </w:p>
        </w:tc>
        <w:tc>
          <w:tcPr>
            <w:tcW w:w="118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b w:val="1"/>
                <w:bCs w:val="1"/>
                <w:color w:val="6A6E6F"/>
              </w:rPr>
              <w:t>% of Target</w:t>
            </w:r>
          </w:p>
        </w:tc>
      </w:tr>
      <w:tr>
        <w:trPr>
          <w:trHeight w:val="210"/>
        </w:trPr>
        <w:tc>
          <w:tcPr>
            <w:tcW w:w="4160" w:type="dxa"/>
            <w:vAlign w:val="bottom"/>
          </w:tcPr>
          <w:p>
            <w:pPr>
              <w:ind w:left="60"/>
              <w:spacing w:after="0"/>
              <w:rPr>
                <w:sz w:val="20"/>
                <w:szCs w:val="20"/>
                <w:color w:val="auto"/>
              </w:rPr>
            </w:pPr>
            <w:r>
              <w:rPr>
                <w:rFonts w:ascii="Arial" w:cs="Arial" w:eastAsia="Arial" w:hAnsi="Arial"/>
                <w:sz w:val="14"/>
                <w:szCs w:val="14"/>
                <w:b w:val="1"/>
                <w:bCs w:val="1"/>
                <w:color w:val="6A6E6F"/>
              </w:rPr>
              <w:t>Performance Period</w:t>
            </w:r>
          </w:p>
        </w:tc>
        <w:tc>
          <w:tcPr>
            <w:tcW w:w="4400" w:type="dxa"/>
            <w:vAlign w:val="bottom"/>
          </w:tcPr>
          <w:p>
            <w:pPr>
              <w:jc w:val="right"/>
              <w:ind w:right="288"/>
              <w:spacing w:after="0"/>
              <w:rPr>
                <w:sz w:val="20"/>
                <w:szCs w:val="20"/>
                <w:color w:val="auto"/>
              </w:rPr>
            </w:pPr>
            <w:r>
              <w:rPr>
                <w:rFonts w:ascii="Arial" w:cs="Arial" w:eastAsia="Arial" w:hAnsi="Arial"/>
                <w:sz w:val="14"/>
                <w:szCs w:val="14"/>
                <w:b w:val="1"/>
                <w:bCs w:val="1"/>
                <w:color w:val="6A6E6F"/>
              </w:rPr>
              <w:t>Shopping Centers</w:t>
            </w: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6A6E6F"/>
              </w:rPr>
              <w:t>Regency</w:t>
            </w:r>
          </w:p>
        </w:tc>
        <w:tc>
          <w:tcPr>
            <w:tcW w:w="1280" w:type="dxa"/>
            <w:vAlign w:val="bottom"/>
          </w:tcPr>
          <w:p>
            <w:pPr>
              <w:jc w:val="right"/>
              <w:ind w:right="188"/>
              <w:spacing w:after="0"/>
              <w:rPr>
                <w:sz w:val="20"/>
                <w:szCs w:val="20"/>
                <w:color w:val="auto"/>
              </w:rPr>
            </w:pPr>
            <w:r>
              <w:rPr>
                <w:rFonts w:ascii="Arial" w:cs="Arial" w:eastAsia="Arial" w:hAnsi="Arial"/>
                <w:sz w:val="14"/>
                <w:szCs w:val="14"/>
                <w:b w:val="1"/>
                <w:bCs w:val="1"/>
                <w:color w:val="6A6E6F"/>
              </w:rPr>
              <w:t>Payout</w:t>
            </w:r>
          </w:p>
        </w:tc>
      </w:tr>
      <w:tr>
        <w:trPr>
          <w:trHeight w:val="43"/>
        </w:trPr>
        <w:tc>
          <w:tcPr>
            <w:tcW w:w="4160" w:type="dxa"/>
            <w:vAlign w:val="bottom"/>
            <w:tcBorders>
              <w:bottom w:val="single" w:sz="8" w:color="E56D3D"/>
            </w:tcBorders>
          </w:tcPr>
          <w:p>
            <w:pPr>
              <w:spacing w:after="0"/>
              <w:rPr>
                <w:sz w:val="3"/>
                <w:szCs w:val="3"/>
                <w:color w:val="auto"/>
              </w:rPr>
            </w:pPr>
          </w:p>
        </w:tc>
        <w:tc>
          <w:tcPr>
            <w:tcW w:w="4400" w:type="dxa"/>
            <w:vAlign w:val="bottom"/>
            <w:tcBorders>
              <w:bottom w:val="single" w:sz="8" w:color="E56D3D"/>
            </w:tcBorders>
          </w:tcPr>
          <w:p>
            <w:pPr>
              <w:spacing w:after="0"/>
              <w:rPr>
                <w:sz w:val="3"/>
                <w:szCs w:val="3"/>
                <w:color w:val="auto"/>
              </w:rPr>
            </w:pPr>
          </w:p>
        </w:tc>
        <w:tc>
          <w:tcPr>
            <w:tcW w:w="1180" w:type="dxa"/>
            <w:vAlign w:val="bottom"/>
            <w:tcBorders>
              <w:bottom w:val="single" w:sz="8" w:color="E56D3D"/>
            </w:tcBorders>
          </w:tcPr>
          <w:p>
            <w:pPr>
              <w:spacing w:after="0"/>
              <w:rPr>
                <w:sz w:val="3"/>
                <w:szCs w:val="3"/>
                <w:color w:val="auto"/>
              </w:rPr>
            </w:pPr>
          </w:p>
        </w:tc>
        <w:tc>
          <w:tcPr>
            <w:tcW w:w="1280" w:type="dxa"/>
            <w:vAlign w:val="bottom"/>
            <w:tcBorders>
              <w:bottom w:val="single" w:sz="8" w:color="E56D3D"/>
            </w:tcBorders>
          </w:tcPr>
          <w:p>
            <w:pPr>
              <w:spacing w:after="0"/>
              <w:rPr>
                <w:sz w:val="3"/>
                <w:szCs w:val="3"/>
                <w:color w:val="auto"/>
              </w:rPr>
            </w:pPr>
          </w:p>
        </w:tc>
      </w:tr>
      <w:tr>
        <w:trPr>
          <w:trHeight w:val="233"/>
        </w:trPr>
        <w:tc>
          <w:tcPr>
            <w:tcW w:w="41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2021—2023</w:t>
            </w:r>
          </w:p>
        </w:tc>
        <w:tc>
          <w:tcPr>
            <w:tcW w:w="4400" w:type="dxa"/>
            <w:vAlign w:val="bottom"/>
            <w:tcBorders>
              <w:bottom w:val="single" w:sz="8" w:color="B2B2B2"/>
            </w:tcBorders>
          </w:tcPr>
          <w:p>
            <w:pPr>
              <w:jc w:val="right"/>
              <w:ind w:right="288"/>
              <w:spacing w:after="0"/>
              <w:rPr>
                <w:sz w:val="20"/>
                <w:szCs w:val="20"/>
                <w:color w:val="auto"/>
              </w:rPr>
            </w:pPr>
            <w:r>
              <w:rPr>
                <w:rFonts w:ascii="Arial" w:cs="Arial" w:eastAsia="Arial" w:hAnsi="Arial"/>
                <w:sz w:val="14"/>
                <w:szCs w:val="14"/>
                <w:color w:val="auto"/>
              </w:rPr>
              <w:t>58%</w:t>
            </w:r>
          </w:p>
        </w:tc>
        <w:tc>
          <w:tcPr>
            <w:tcW w:w="11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59%</w:t>
            </w:r>
          </w:p>
        </w:tc>
        <w:tc>
          <w:tcPr>
            <w:tcW w:w="1280" w:type="dxa"/>
            <w:vAlign w:val="bottom"/>
            <w:tcBorders>
              <w:bottom w:val="single" w:sz="8" w:color="B2B2B2"/>
            </w:tcBorders>
          </w:tcPr>
          <w:p>
            <w:pPr>
              <w:jc w:val="right"/>
              <w:ind w:right="188"/>
              <w:spacing w:after="0"/>
              <w:rPr>
                <w:sz w:val="20"/>
                <w:szCs w:val="20"/>
                <w:color w:val="auto"/>
              </w:rPr>
            </w:pPr>
            <w:r>
              <w:rPr>
                <w:rFonts w:ascii="Arial" w:cs="Arial" w:eastAsia="Arial" w:hAnsi="Arial"/>
                <w:sz w:val="14"/>
                <w:szCs w:val="14"/>
                <w:color w:val="auto"/>
              </w:rPr>
              <w:t>105%</w:t>
            </w:r>
          </w:p>
        </w:tc>
      </w:tr>
      <w:tr>
        <w:trPr>
          <w:trHeight w:val="236"/>
        </w:trPr>
        <w:tc>
          <w:tcPr>
            <w:tcW w:w="41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2022—2024</w:t>
            </w:r>
          </w:p>
        </w:tc>
        <w:tc>
          <w:tcPr>
            <w:tcW w:w="4400" w:type="dxa"/>
            <w:vAlign w:val="bottom"/>
            <w:tcBorders>
              <w:bottom w:val="single" w:sz="8" w:color="B2B2B2"/>
            </w:tcBorders>
          </w:tcPr>
          <w:p>
            <w:pPr>
              <w:jc w:val="right"/>
              <w:ind w:right="288"/>
              <w:spacing w:after="0"/>
              <w:rPr>
                <w:sz w:val="20"/>
                <w:szCs w:val="20"/>
                <w:color w:val="auto"/>
              </w:rPr>
            </w:pPr>
            <w:r>
              <w:rPr>
                <w:rFonts w:ascii="Arial" w:cs="Arial" w:eastAsia="Arial" w:hAnsi="Arial"/>
                <w:sz w:val="14"/>
                <w:szCs w:val="14"/>
                <w:color w:val="auto"/>
              </w:rPr>
              <w:t>21%</w:t>
            </w:r>
          </w:p>
        </w:tc>
        <w:tc>
          <w:tcPr>
            <w:tcW w:w="11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15%</w:t>
            </w:r>
          </w:p>
        </w:tc>
        <w:tc>
          <w:tcPr>
            <w:tcW w:w="1280" w:type="dxa"/>
            <w:vAlign w:val="bottom"/>
            <w:tcBorders>
              <w:bottom w:val="single" w:sz="8" w:color="B2B2B2"/>
            </w:tcBorders>
          </w:tcPr>
          <w:p>
            <w:pPr>
              <w:jc w:val="right"/>
              <w:ind w:right="188"/>
              <w:spacing w:after="0"/>
              <w:rPr>
                <w:sz w:val="20"/>
                <w:szCs w:val="20"/>
                <w:color w:val="auto"/>
              </w:rPr>
            </w:pPr>
            <w:r>
              <w:rPr>
                <w:rFonts w:ascii="Arial" w:cs="Arial" w:eastAsia="Arial" w:hAnsi="Arial"/>
                <w:sz w:val="14"/>
                <w:szCs w:val="14"/>
                <w:color w:val="auto"/>
              </w:rPr>
              <w:t>70%</w:t>
            </w:r>
          </w:p>
        </w:tc>
      </w:tr>
      <w:tr>
        <w:trPr>
          <w:trHeight w:val="237"/>
        </w:trPr>
        <w:tc>
          <w:tcPr>
            <w:tcW w:w="4160" w:type="dxa"/>
            <w:vAlign w:val="bottom"/>
            <w:tcBorders>
              <w:bottom w:val="single" w:sz="8" w:color="E56D3D"/>
            </w:tcBorders>
          </w:tcPr>
          <w:p>
            <w:pPr>
              <w:ind w:left="60"/>
              <w:spacing w:after="0"/>
              <w:rPr>
                <w:sz w:val="20"/>
                <w:szCs w:val="20"/>
                <w:color w:val="auto"/>
              </w:rPr>
            </w:pPr>
            <w:r>
              <w:rPr>
                <w:rFonts w:ascii="Arial" w:cs="Arial" w:eastAsia="Arial" w:hAnsi="Arial"/>
                <w:sz w:val="14"/>
                <w:szCs w:val="14"/>
                <w:color w:val="auto"/>
              </w:rPr>
              <w:t>2023—2025</w:t>
            </w:r>
          </w:p>
        </w:tc>
        <w:tc>
          <w:tcPr>
            <w:tcW w:w="4400" w:type="dxa"/>
            <w:vAlign w:val="bottom"/>
            <w:tcBorders>
              <w:bottom w:val="single" w:sz="8" w:color="E56D3D"/>
            </w:tcBorders>
          </w:tcPr>
          <w:p>
            <w:pPr>
              <w:jc w:val="right"/>
              <w:ind w:right="288"/>
              <w:spacing w:after="0"/>
              <w:rPr>
                <w:sz w:val="20"/>
                <w:szCs w:val="20"/>
                <w:color w:val="auto"/>
              </w:rPr>
            </w:pPr>
            <w:r>
              <w:rPr>
                <w:rFonts w:ascii="Arial" w:cs="Arial" w:eastAsia="Arial" w:hAnsi="Arial"/>
                <w:sz w:val="14"/>
                <w:szCs w:val="14"/>
                <w:color w:val="auto"/>
              </w:rPr>
              <w:t>23%</w:t>
            </w:r>
          </w:p>
        </w:tc>
        <w:tc>
          <w:tcPr>
            <w:tcW w:w="1180" w:type="dxa"/>
            <w:vAlign w:val="bottom"/>
            <w:tcBorders>
              <w:bottom w:val="single" w:sz="8" w:color="E56D3D"/>
            </w:tcBorders>
          </w:tcPr>
          <w:p>
            <w:pPr>
              <w:jc w:val="right"/>
              <w:ind w:right="148"/>
              <w:spacing w:after="0"/>
              <w:rPr>
                <w:sz w:val="20"/>
                <w:szCs w:val="20"/>
                <w:color w:val="auto"/>
              </w:rPr>
            </w:pPr>
            <w:r>
              <w:rPr>
                <w:rFonts w:ascii="Arial" w:cs="Arial" w:eastAsia="Arial" w:hAnsi="Arial"/>
                <w:sz w:val="14"/>
                <w:szCs w:val="14"/>
                <w:color w:val="auto"/>
              </w:rPr>
              <w:t>21%</w:t>
            </w:r>
          </w:p>
        </w:tc>
        <w:tc>
          <w:tcPr>
            <w:tcW w:w="1280" w:type="dxa"/>
            <w:vAlign w:val="bottom"/>
            <w:tcBorders>
              <w:bottom w:val="single" w:sz="8" w:color="E56D3D"/>
            </w:tcBorders>
          </w:tcPr>
          <w:p>
            <w:pPr>
              <w:jc w:val="right"/>
              <w:ind w:right="188"/>
              <w:spacing w:after="0"/>
              <w:rPr>
                <w:sz w:val="20"/>
                <w:szCs w:val="20"/>
                <w:color w:val="auto"/>
              </w:rPr>
            </w:pPr>
            <w:r>
              <w:rPr>
                <w:rFonts w:ascii="Arial" w:cs="Arial" w:eastAsia="Arial" w:hAnsi="Arial"/>
                <w:sz w:val="14"/>
                <w:szCs w:val="14"/>
                <w:color w:val="auto"/>
              </w:rPr>
              <w:t>90%</w:t>
            </w:r>
          </w:p>
        </w:tc>
      </w:tr>
    </w:tbl>
    <w:p>
      <w:pPr>
        <w:spacing w:after="0" w:line="130"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35</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Compensation Discussion and Analysis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E56D3D"/>
        </w:rPr>
        <w:t>Long-Term Incentives — Restricted Shares / Stock Rights Awards</w:t>
      </w:r>
    </w:p>
    <w:p>
      <w:pPr>
        <w:spacing w:after="0" w:line="71"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A restricted share award is a grant of stock that vests based on continued service over time. Restricted shares are used to motivate and retain employees as well as promote employee stock ownership. The restricted share awards we grant are time-based and vest in equal installments over a four-year period, subject to continued employment with Regency. We also refer to them as “stock rights awards” because we do not issue the shares until the vesting conditions have been satisfied. We do not currently use stock options, stock appreciation rights, or similar option-like instruments as part of our compensation package. Our stock-based awards are full-value shares that vest based upon continued service.</w:t>
      </w:r>
    </w:p>
    <w:p>
      <w:pPr>
        <w:spacing w:after="0" w:line="212" w:lineRule="exact"/>
        <w:rPr>
          <w:sz w:val="20"/>
          <w:szCs w:val="20"/>
          <w:color w:val="auto"/>
        </w:rPr>
      </w:pPr>
    </w:p>
    <w:p>
      <w:pPr>
        <w:ind w:left="5940"/>
        <w:spacing w:after="0"/>
        <w:tabs>
          <w:tab w:leader="none" w:pos="10200" w:val="left"/>
        </w:tabs>
        <w:rPr>
          <w:sz w:val="20"/>
          <w:szCs w:val="20"/>
          <w:color w:val="auto"/>
        </w:rPr>
      </w:pPr>
      <w:r>
        <w:rPr>
          <w:rFonts w:ascii="Arial" w:cs="Arial" w:eastAsia="Arial" w:hAnsi="Arial"/>
          <w:sz w:val="14"/>
          <w:szCs w:val="14"/>
          <w:b w:val="1"/>
          <w:bCs w:val="1"/>
          <w:color w:val="6A6E6F"/>
        </w:rPr>
        <w:t>Name</w:t>
      </w:r>
      <w:r>
        <w:rPr>
          <w:sz w:val="20"/>
          <w:szCs w:val="20"/>
          <w:color w:val="auto"/>
        </w:rPr>
        <w:tab/>
      </w:r>
      <w:r>
        <w:rPr>
          <w:rFonts w:ascii="Arial" w:cs="Arial" w:eastAsia="Arial" w:hAnsi="Arial"/>
          <w:sz w:val="14"/>
          <w:szCs w:val="14"/>
          <w:b w:val="1"/>
          <w:bCs w:val="1"/>
          <w:color w:val="6A6E6F"/>
        </w:rPr>
        <w:t>Grant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120"/>
        <w:spacing w:after="0" w:line="263" w:lineRule="auto"/>
        <w:rPr>
          <w:sz w:val="20"/>
          <w:szCs w:val="20"/>
          <w:color w:val="auto"/>
        </w:rPr>
      </w:pPr>
      <w:r>
        <w:rPr>
          <w:rFonts w:ascii="Arial" w:cs="Arial" w:eastAsia="Arial" w:hAnsi="Arial"/>
          <w:sz w:val="14"/>
          <w:szCs w:val="14"/>
          <w:color w:val="auto"/>
        </w:rPr>
        <w:t>In February 2025, we granted restricted shares to Mr. Stein, Ms. Palmer, Mr. Mas, Mr. Roth and Mr. Wibbenmeyer representing 20% of their total 2025 long-term equity incentive target as follows: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180" w:type="dxa"/>
            <w:vAlign w:val="bottom"/>
          </w:tcPr>
          <w:p>
            <w:pPr>
              <w:ind w:left="180"/>
              <w:spacing w:after="0"/>
              <w:rPr>
                <w:sz w:val="20"/>
                <w:szCs w:val="20"/>
                <w:color w:val="auto"/>
              </w:rPr>
            </w:pPr>
            <w:r>
              <w:rPr>
                <w:rFonts w:ascii="Arial" w:cs="Arial" w:eastAsia="Arial" w:hAnsi="Arial"/>
                <w:sz w:val="14"/>
                <w:szCs w:val="14"/>
                <w:color w:val="auto"/>
              </w:rPr>
              <w:t>Martin E. Stein, Jr.</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$150,000</w:t>
            </w:r>
          </w:p>
        </w:tc>
      </w:tr>
      <w:tr>
        <w:trPr>
          <w:trHeight w:val="22"/>
        </w:trPr>
        <w:tc>
          <w:tcPr>
            <w:tcW w:w="3180" w:type="dxa"/>
            <w:vAlign w:val="bottom"/>
            <w:tcBorders>
              <w:bottom w:val="single" w:sz="8" w:color="B2B2B2"/>
            </w:tcBorders>
          </w:tcPr>
          <w:p>
            <w:pPr>
              <w:spacing w:after="0" w:line="20" w:lineRule="exact"/>
              <w:rPr>
                <w:sz w:val="1"/>
                <w:szCs w:val="1"/>
                <w:color w:val="auto"/>
              </w:rPr>
            </w:pPr>
          </w:p>
        </w:tc>
        <w:tc>
          <w:tcPr>
            <w:tcW w:w="2200" w:type="dxa"/>
            <w:vAlign w:val="bottom"/>
            <w:tcBorders>
              <w:bottom w:val="single" w:sz="8" w:color="B2B2B2"/>
            </w:tcBorders>
          </w:tcPr>
          <w:p>
            <w:pPr>
              <w:spacing w:after="0" w:line="20" w:lineRule="exact"/>
              <w:rPr>
                <w:sz w:val="1"/>
                <w:szCs w:val="1"/>
                <w:color w:val="auto"/>
              </w:rPr>
            </w:pPr>
          </w:p>
        </w:tc>
      </w:tr>
      <w:tr>
        <w:trPr>
          <w:trHeight w:val="201"/>
        </w:trPr>
        <w:tc>
          <w:tcPr>
            <w:tcW w:w="3180" w:type="dxa"/>
            <w:vAlign w:val="bottom"/>
          </w:tcPr>
          <w:p>
            <w:pPr>
              <w:ind w:left="180"/>
              <w:spacing w:after="0"/>
              <w:rPr>
                <w:sz w:val="20"/>
                <w:szCs w:val="20"/>
                <w:color w:val="auto"/>
              </w:rPr>
            </w:pPr>
            <w:r>
              <w:rPr>
                <w:rFonts w:ascii="Arial" w:cs="Arial" w:eastAsia="Arial" w:hAnsi="Arial"/>
                <w:sz w:val="14"/>
                <w:szCs w:val="14"/>
                <w:color w:val="auto"/>
              </w:rPr>
              <w:t>Lisa Palmer</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$1,250,000</w:t>
            </w:r>
          </w:p>
        </w:tc>
      </w:tr>
      <w:tr>
        <w:trPr>
          <w:trHeight w:val="22"/>
        </w:trPr>
        <w:tc>
          <w:tcPr>
            <w:tcW w:w="3180" w:type="dxa"/>
            <w:vAlign w:val="bottom"/>
            <w:tcBorders>
              <w:bottom w:val="single" w:sz="8" w:color="B2B2B2"/>
            </w:tcBorders>
          </w:tcPr>
          <w:p>
            <w:pPr>
              <w:spacing w:after="0" w:line="20" w:lineRule="exact"/>
              <w:rPr>
                <w:sz w:val="1"/>
                <w:szCs w:val="1"/>
                <w:color w:val="auto"/>
              </w:rPr>
            </w:pPr>
          </w:p>
        </w:tc>
        <w:tc>
          <w:tcPr>
            <w:tcW w:w="2200" w:type="dxa"/>
            <w:vAlign w:val="bottom"/>
            <w:tcBorders>
              <w:bottom w:val="single" w:sz="8" w:color="B2B2B2"/>
            </w:tcBorders>
          </w:tcPr>
          <w:p>
            <w:pPr>
              <w:spacing w:after="0" w:line="20" w:lineRule="exact"/>
              <w:rPr>
                <w:sz w:val="1"/>
                <w:szCs w:val="1"/>
                <w:color w:val="auto"/>
              </w:rPr>
            </w:pPr>
          </w:p>
        </w:tc>
      </w:tr>
      <w:tr>
        <w:trPr>
          <w:trHeight w:val="202"/>
        </w:trPr>
        <w:tc>
          <w:tcPr>
            <w:tcW w:w="3180" w:type="dxa"/>
            <w:vAlign w:val="bottom"/>
          </w:tcPr>
          <w:p>
            <w:pPr>
              <w:ind w:left="180"/>
              <w:spacing w:after="0"/>
              <w:rPr>
                <w:sz w:val="20"/>
                <w:szCs w:val="20"/>
                <w:color w:val="auto"/>
              </w:rPr>
            </w:pPr>
            <w:r>
              <w:rPr>
                <w:rFonts w:ascii="Arial" w:cs="Arial" w:eastAsia="Arial" w:hAnsi="Arial"/>
                <w:sz w:val="14"/>
                <w:szCs w:val="14"/>
                <w:color w:val="auto"/>
              </w:rPr>
              <w:t>Michael J. Mas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$392,000</w:t>
            </w:r>
          </w:p>
        </w:tc>
      </w:tr>
      <w:tr>
        <w:trPr>
          <w:trHeight w:val="22"/>
        </w:trPr>
        <w:tc>
          <w:tcPr>
            <w:tcW w:w="3180" w:type="dxa"/>
            <w:vAlign w:val="bottom"/>
            <w:tcBorders>
              <w:bottom w:val="single" w:sz="8" w:color="B2B2B2"/>
            </w:tcBorders>
          </w:tcPr>
          <w:p>
            <w:pPr>
              <w:spacing w:after="0" w:line="20" w:lineRule="exact"/>
              <w:rPr>
                <w:sz w:val="1"/>
                <w:szCs w:val="1"/>
                <w:color w:val="auto"/>
              </w:rPr>
            </w:pPr>
          </w:p>
        </w:tc>
        <w:tc>
          <w:tcPr>
            <w:tcW w:w="2200" w:type="dxa"/>
            <w:vAlign w:val="bottom"/>
            <w:tcBorders>
              <w:bottom w:val="single" w:sz="8" w:color="B2B2B2"/>
            </w:tcBorders>
          </w:tcPr>
          <w:p>
            <w:pPr>
              <w:spacing w:after="0" w:line="20" w:lineRule="exact"/>
              <w:rPr>
                <w:sz w:val="1"/>
                <w:szCs w:val="1"/>
                <w:color w:val="auto"/>
              </w:rPr>
            </w:pPr>
          </w:p>
        </w:tc>
      </w:tr>
      <w:tr>
        <w:trPr>
          <w:trHeight w:val="202"/>
        </w:trPr>
        <w:tc>
          <w:tcPr>
            <w:tcW w:w="3180" w:type="dxa"/>
            <w:vAlign w:val="bottom"/>
          </w:tcPr>
          <w:p>
            <w:pPr>
              <w:ind w:left="180"/>
              <w:spacing w:after="0"/>
              <w:rPr>
                <w:sz w:val="20"/>
                <w:szCs w:val="20"/>
                <w:color w:val="auto"/>
              </w:rPr>
            </w:pPr>
            <w:r>
              <w:rPr>
                <w:rFonts w:ascii="Arial" w:cs="Arial" w:eastAsia="Arial" w:hAnsi="Arial"/>
                <w:sz w:val="14"/>
                <w:szCs w:val="14"/>
                <w:color w:val="auto"/>
              </w:rPr>
              <w:t>Alan T. Roth</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$300,000</w:t>
            </w:r>
          </w:p>
        </w:tc>
      </w:tr>
      <w:tr>
        <w:trPr>
          <w:trHeight w:val="22"/>
        </w:trPr>
        <w:tc>
          <w:tcPr>
            <w:tcW w:w="3180" w:type="dxa"/>
            <w:vAlign w:val="bottom"/>
            <w:tcBorders>
              <w:bottom w:val="single" w:sz="8" w:color="B2B2B2"/>
            </w:tcBorders>
          </w:tcPr>
          <w:p>
            <w:pPr>
              <w:spacing w:after="0" w:line="20" w:lineRule="exact"/>
              <w:rPr>
                <w:sz w:val="1"/>
                <w:szCs w:val="1"/>
                <w:color w:val="auto"/>
              </w:rPr>
            </w:pPr>
          </w:p>
        </w:tc>
        <w:tc>
          <w:tcPr>
            <w:tcW w:w="2200" w:type="dxa"/>
            <w:vAlign w:val="bottom"/>
            <w:tcBorders>
              <w:bottom w:val="single" w:sz="8" w:color="B2B2B2"/>
            </w:tcBorders>
          </w:tcPr>
          <w:p>
            <w:pPr>
              <w:spacing w:after="0" w:line="20" w:lineRule="exact"/>
              <w:rPr>
                <w:sz w:val="1"/>
                <w:szCs w:val="1"/>
                <w:color w:val="auto"/>
              </w:rPr>
            </w:pPr>
          </w:p>
        </w:tc>
      </w:tr>
      <w:tr>
        <w:trPr>
          <w:trHeight w:val="201"/>
        </w:trPr>
        <w:tc>
          <w:tcPr>
            <w:tcW w:w="3180" w:type="dxa"/>
            <w:vAlign w:val="bottom"/>
          </w:tcPr>
          <w:p>
            <w:pPr>
              <w:ind w:left="180"/>
              <w:spacing w:after="0"/>
              <w:rPr>
                <w:sz w:val="20"/>
                <w:szCs w:val="20"/>
                <w:color w:val="auto"/>
              </w:rPr>
            </w:pPr>
            <w:r>
              <w:rPr>
                <w:rFonts w:ascii="Arial" w:cs="Arial" w:eastAsia="Arial" w:hAnsi="Arial"/>
                <w:sz w:val="14"/>
                <w:szCs w:val="14"/>
                <w:color w:val="auto"/>
              </w:rPr>
              <w:t>Nicholas A. Wibbenmeyer</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13970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460"/>
            <w:col w:w="5380"/>
          </w:cols>
          <w:pgMar w:left="320" w:top="482" w:right="43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Restricted shares awarded to our NEOs in 2025 are set forth in the Grant of Plan Based Awards table on page 41 in this proxy statement.</w:t>
      </w:r>
    </w:p>
    <w:p>
      <w:pPr>
        <w:spacing w:after="0" w:line="3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E56D3D"/>
        </w:rPr>
        <w:t>401(k) Profit-Sharing Plan</w:t>
      </w:r>
    </w:p>
    <w:p>
      <w:pPr>
        <w:spacing w:after="0" w:line="71"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We encourage all employees to save for retirement. To provide employees with the opportunity to save for retirement on a tax-deferred basis, we sponsor a 401(k) profit-sharing plan pursuant to which we match employee contributions at 100% up to $5,000 for 2025. The Compensation Committee has the right to approve additional contributions in its discretion, as it deems appropriate.</w:t>
      </w:r>
    </w:p>
    <w:p>
      <w:pPr>
        <w:spacing w:after="0" w:line="171"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For 2025, because of the Company’s strong financial performance, the Compensation Committee approved an incremental discretionary profit-sharing award totaling $3.5 million, and the pool of funds is distributed pro-rata to all eligible employees subject to the application of a presumed salary cap of $76,000. We review our Company match, employee participation levels and communication programs throughout the year to ensure that this benefit remains competitive with comparable companies as well as national benchmarks.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E56D3D"/>
        </w:rPr>
        <w:t>Compensation on Termination of Employment</w:t>
      </w:r>
    </w:p>
    <w:p>
      <w:pPr>
        <w:spacing w:after="0" w:line="84"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While we do not offer employment agreements to our NEOs, we believe providing severance protection is important for retention purposes, as many companies that we compete with for talent offer it, particularly in connection with a change of control. Accordingly, our NEOs have severance and change of control agreements that provide the right to receive severance compensation if they are terminated without cause or they leave for good reason, as such terms are defined in the agreements. In a change of control situation, the agreements provide for severance using a “double trigger,” i.e., severance is payable only if a change of control occurs and the officer is terminated without cause or leaves for “good reason” (as described under Executive Compensation – Potential Payments Upon Termination or Change-in-Control on page 44) within two years after the change of control. We believe that such compensation gives our named executive officers incentive (1) to stay with the Company despite the possibility of losing employment after a change of control and (2) to focus on obtaining the best possible value for shareholders in a change of control transaction.</w:t>
      </w:r>
    </w:p>
    <w:p>
      <w:pPr>
        <w:spacing w:after="0" w:line="142"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The agreements also provide that severance payments are subject to recoupment as required by any recoupment or “clawback” policy approved by our Board or similar requirement imposed by law. The Company has robust executive compensation clawback policies; see “Recoupment/Clawback Policies” in the next section.</w:t>
      </w:r>
    </w:p>
    <w:p>
      <w:pPr>
        <w:spacing w:after="0" w:line="13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For details on compensation on termination of employment, including death, disability and retirement, see “Executive Compensation – Potential Payments Upon Termination or Change-in-Control” on page 44 of this proxy statement.</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36</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40"/>
          </w:cols>
          <w:pgMar w:left="320" w:top="482" w:right="4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Compensation Discussion and Analysis </w:t>
      </w:r>
      <w:r>
        <w:rPr>
          <w:rFonts w:ascii="Arial" w:cs="Arial" w:eastAsia="Arial" w:hAnsi="Arial"/>
          <w:sz w:val="19"/>
          <w:szCs w:val="19"/>
          <w:b w:val="1"/>
          <w:bCs w:val="1"/>
          <w:color w:val="E56D3D"/>
        </w:rPr>
        <w: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Recoupment/Clawback Policies</w:t>
      </w:r>
    </w:p>
    <w:p>
      <w:pPr>
        <w:spacing w:after="0" w:line="72"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Board has approved and the Company has implemented a Restatement Clawback Policy (the “Restatement Clawback Policy”), a copy of which has been filed with the Company’s annual report on Form 10-K and which also can be located on our website at https://investors.regencycenters.com. The Restatement Clawback Policy (with all capitalized but undefined terms in this paragraph used as defined in the Restatement Clawback Policy) has been drafted to comply with the requirements of the applicable rules of the SEC, including, without limitation, Rule 10D-1 promulgated under the Securities Exchange Act of 1934, as amended, and applicable listing standard of the Nasdaq Stock Market, the exchange on which the Company is listed. Under the Restatement Clawback Policy, if the Company issues an accounting restatement of its financial statements due to the Company’s material noncompliance with any financial reporting requirement under U.S. securities laws, the Board (or committee of the Board designated by the Board) shall, unless the Board or a Board committee determines it to be Impracticable, take reasonably prompt action to recoup all Recoverable Compensation received by Covered Persons during the Applicable Period. Pursuant to the Restatement Clawback Policy, the Company is not permitted to indemnify any Covered Person for any compensation that the Covered Person is required to reimburse or forfeit pursuant to the Policy.</w:t>
      </w:r>
    </w:p>
    <w:p>
      <w:pPr>
        <w:spacing w:after="0" w:line="149"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In addition to the Restatement Clawback Policy, under a separate Misconduct Clawback Policy, if the Board or applicable committee determines that any officer of the Company has committed an act or acts constituting fraud, gross negligence or intentional misconduct, the Board or committee has the authority in its sole discretion, upon evaluating the associated costs and benefits, to recover any incentive compensation received by any covered person during the three fiscal years preceding the period from the date on which the misconduct first occurred or thereafter, calculated on a pre-tax basis. Recovery of such incentive compensation shall not be the Company’s exclusive remedy for any such misconduct.</w:t>
      </w:r>
    </w:p>
    <w:p>
      <w:pPr>
        <w:spacing w:after="0" w:line="153"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In making any such determination relating to clawback of incentive compensation under the Misconduct Clawback Policy, the Board or applicable committee may consider such factors as it deems appropriate, including, without limitation (1) the practicability of obtaining such recovery and the costs to the Company and/or its shareholders of pursuing such recovery, (2) the likelihood of success of enforcement under governing law versus the cost and effort involved, (3) whether the assertion of a claim may prejudice other interests of the Company, including in any related proceeding or investigation,</w:t>
      </w:r>
    </w:p>
    <w:p>
      <w:pPr>
        <w:spacing w:after="0" w:line="2" w:lineRule="exact"/>
        <w:rPr>
          <w:sz w:val="20"/>
          <w:szCs w:val="20"/>
          <w:color w:val="auto"/>
        </w:rPr>
      </w:pPr>
    </w:p>
    <w:p>
      <w:pPr>
        <w:ind w:left="120" w:right="200" w:hanging="4"/>
        <w:spacing w:after="0" w:line="265" w:lineRule="auto"/>
        <w:tabs>
          <w:tab w:leader="none" w:pos="363"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pending legal proceeding relating to any applicable fraud gross negligence or intentional misconduct, and (5) any other factors deemed relevant by the Board or committee.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Risk Consideration in our Compensation Program</w:t>
      </w:r>
    </w:p>
    <w:p>
      <w:pPr>
        <w:spacing w:after="0" w:line="72"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The Compensation Committee and Board believe that our compensation policies and practices are reasonable and align our employees’ interests with those of our shareholders. In addition, the committee and Board believe that our compensation policies and practices are not reasonably likely to have a material adverse effect on the Company. The committee believes that the fact that our executive officers have their annual and long-term incentive compensation tied to financial metrics and corporate responsibility objectives (in the case of annual incentives), as well as relative total shareholder return (in the case of long-term incentive awards) as compared to a peer group index, encourages actions that focus on both annual and longer-term profitability and value creation for the benefit of shareholders. Our stock ownership policy and our policy prohibiting hedging and pledging transactions relating to our Company stock further align the interest of our senior officers with the long-term interests of our shareholders. Moreover, there are significant checks in place within our compensation structure so that employees whose compensation may have a shorter-term focus are closely managed by employees and officers whose compensation is in large part based on the Company’s and its shareholders’ interests over the long term.</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Compensation Committee Interlocks and Insider Participation</w:t>
      </w:r>
    </w:p>
    <w:p>
      <w:pPr>
        <w:spacing w:after="0" w:line="72"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During the last fiscal year, no member of the Compensation Committee had a relationship with Regency that required disclosure under Item 404 of Regulation S-K. No executive officer of the Company served as: (i) a member of the Compensation Committee of another entity, one of whose executive officers served on the Compensation Committee of the Company; (ii) a member of the Board of Directors of another entity, one of whose executive officers served on the Compensation Committee of the Company; or (iii) a member of the Compensation Committee of another entity, one of whose executive officers served on the Board of the Company. None of the members of our Compensation Committee is an officer or employee of our Company, nor have they ever been an officer or employee of our Company.</w:t>
      </w:r>
    </w:p>
    <w:p>
      <w:pPr>
        <w:spacing w:after="0" w:line="109"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37</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Compensation Discussion and Analysis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Stock Ownership Policy</w:t>
      </w:r>
    </w:p>
    <w:p>
      <w:pPr>
        <w:spacing w:after="0" w:line="72"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Our stock ownership policy is designed to focus our senior officers and directors on long-term shareholder value creation. Our policy sets stock ownership targets for senior officers as a multiple of base salary and for non-employee directors as a multiple of their annual retainer (exclusive of fees for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134620</wp:posOffset>
            </wp:positionV>
            <wp:extent cx="5134610" cy="1954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3461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targets, which are measured based on the Company’s trailing 36-month average common stock price, are to be achieved by directors and senior officers over a maximum five-year period. Our stock ownership policy also requires all covered participants to retain 25% of the shares they receive as direct compensation (on a pre-tax basis) after being hired, promoted or elected into such positions so long as they remain a senior officer or director. With respect to Senior Vice Presidents, the retention requirement only applies until the Senior Vice President meets his or her stock ownership target.</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Policy Prohibiting Hedging and Pledging of Our Stock</w:t>
      </w:r>
    </w:p>
    <w:p>
      <w:pPr>
        <w:spacing w:after="0" w:line="72"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We have adopted a stringent policy that prohibits our officers and directors from engaging in hedging transactions or arrangements designed to lock in the value of their holdings of our securities, as well as short sales and the trading of options in our securities. This prevents our officers and directors from engaging in transactions involving our securities without having the full risks and rewards of ownership.</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also prohibit our officers and directors from holding our securities in a margin account or pledging our securities as collateral for a loan.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Policy Statement on Insider Trading</w:t>
      </w:r>
    </w:p>
    <w:p>
      <w:pPr>
        <w:spacing w:after="0" w:line="72"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We have adopted a Policy Statement on Insider Trading that governs the purchase, sale, and/or other dispositions of our securities by directors, officers and employees that is reasonably designed to promote compliance with insider trading laws, rules and regulations and Nasdaq Stock Market listing standards.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Deductibility of Compensation</w:t>
      </w:r>
    </w:p>
    <w:p>
      <w:pPr>
        <w:spacing w:after="0" w:line="72"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To the extent allowable by applicable law, executive compensation will be deductible by the Company for federal income tax purposes. However, the Compensation Committee may design compensation program components that are not deductible. In addition, in December 2020, the Internal Revenue Service released final regulations under Internal Revenue Code (IRC) section 162(m), which limit the deductibility of certain executive compensation amounts. Because we intend to qualify as a REIT under the IRC, we generally distribute 100% of our net taxable income each year and, as a result, do not pay U.S. federal income tax. As such, we do not expect limitations on executive compensation deductions to have a material impact on us. In addition, we expense base salaries and annual bonuses awarded in the year they are earned. In accordance with Accounting Standards Committee (ASC) Topic 718, we expense the value of equity awards granted over the vesting period of such grants.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38</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20"/>
          </w:cols>
          <w:pgMar w:left="320" w:top="482" w:right="45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 Report </w:t>
      </w:r>
      <w:r>
        <w:rPr>
          <w:rFonts w:ascii="Arial" w:cs="Arial" w:eastAsia="Arial" w:hAnsi="Arial"/>
          <w:sz w:val="19"/>
          <w:szCs w:val="19"/>
          <w:b w:val="1"/>
          <w:bCs w:val="1"/>
          <w:color w:val="E56D3D"/>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E56D3D"/>
        </w:rPr>
        <w:t>Compensation Committee Report</w:t>
      </w:r>
    </w:p>
    <w:p>
      <w:pPr>
        <w:spacing w:after="0" w:line="21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following Report of our Compensation Committee (this “Compensation Committee Report”) does not constitute soliciting material and should not be deemed filed or incorporated by reference into any other previous or future filings by us under the Securities Act of 1933, as amended (the Securities Act), or the Exchange Act, except to the extent that we specifically incorporate this Compensation Committee Report by reference therein.</w:t>
      </w:r>
    </w:p>
    <w:p>
      <w:pPr>
        <w:spacing w:after="0" w:line="14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For the year ended December 31, 2025, the Compensation Committee reviewed and discussed the Compensation Discussion and Analysis section of this proxy statement with our management. Based on this review and discussion, the Compensation Committee recommended to our Board that the Compensation Discussion and Analysis be included in this proxy statement.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Submitted by the Compensation Committee of the Board of Regency Centers Corporation.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Deirdre J. Evens,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E. Anderson</w:t>
      </w:r>
    </w:p>
    <w:p>
      <w:pPr>
        <w:spacing w:after="0" w:line="234" w:lineRule="auto"/>
        <w:rPr>
          <w:sz w:val="20"/>
          <w:szCs w:val="20"/>
          <w:color w:val="auto"/>
        </w:rPr>
      </w:pPr>
      <w:r>
        <w:rPr>
          <w:rFonts w:ascii="Arial" w:cs="Arial" w:eastAsia="Arial" w:hAnsi="Arial"/>
          <w:sz w:val="18"/>
          <w:szCs w:val="18"/>
          <w:color w:val="auto"/>
        </w:rPr>
        <w:t>C. Ronald Blankenship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Kristin A. Campbell</w:t>
      </w:r>
    </w:p>
    <w:p>
      <w:pPr>
        <w:spacing w:after="0" w:line="126" w:lineRule="exact"/>
        <w:rPr>
          <w:sz w:val="20"/>
          <w:szCs w:val="20"/>
          <w:color w:val="auto"/>
        </w:rPr>
      </w:pPr>
    </w:p>
    <w:p>
      <w:pPr>
        <w:ind w:left="788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39</w:t>
      </w:r>
    </w:p>
    <w:p>
      <w:pPr>
        <w:sectPr>
          <w:pgSz w:w="11900" w:h="16838" w:orient="portrait"/>
          <w:cols w:equalWidth="0" w:num="1">
            <w:col w:w="11020"/>
          </w:cols>
          <w:pgMar w:left="440" w:top="291" w:right="439" w:bottom="1440" w:gutter="0" w:footer="0" w:header="0"/>
        </w:sectPr>
      </w:pPr>
    </w:p>
    <w:bookmarkStart w:id="45" w:name="page46"/>
    <w:bookmarkEnd w:id="45"/>
    <w:p>
      <w:pPr>
        <w:ind w:left="4"/>
        <w:spacing w:after="0"/>
        <w:rPr>
          <w:sz w:val="20"/>
          <w:szCs w:val="20"/>
          <w:color w:val="auto"/>
        </w:rPr>
      </w:pPr>
      <w:r>
        <w:rPr>
          <w:rFonts w:ascii="Arial" w:cs="Arial" w:eastAsia="Arial" w:hAnsi="Arial"/>
          <w:sz w:val="20"/>
          <w:szCs w:val="20"/>
          <w:b w:val="1"/>
          <w:bCs w:val="1"/>
          <w:color w:val="E56D3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t>
      </w:r>
      <w:r>
        <w:rPr>
          <w:rFonts w:ascii="Arial" w:cs="Arial" w:eastAsia="Arial" w:hAnsi="Arial"/>
          <w:sz w:val="16"/>
          <w:szCs w:val="16"/>
          <w:b w:val="1"/>
          <w:bCs w:val="1"/>
          <w:color w:val="000000"/>
        </w:rPr>
        <w:t> Executive Compensation</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36"/>
          <w:szCs w:val="36"/>
          <w:b w:val="1"/>
          <w:bCs w:val="1"/>
          <w:color w:val="E56D3D"/>
        </w:rPr>
        <w:t>Executive Compensation</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6A6E6F"/>
        </w:rPr>
        <w:t>Summary Compensation Table</w:t>
      </w:r>
    </w:p>
    <w:p>
      <w:pPr>
        <w:spacing w:after="0" w:line="85" w:lineRule="exact"/>
        <w:rPr>
          <w:sz w:val="20"/>
          <w:szCs w:val="20"/>
          <w:color w:val="auto"/>
        </w:rPr>
      </w:pPr>
    </w:p>
    <w:p>
      <w:pPr>
        <w:ind w:left="4" w:right="340"/>
        <w:spacing w:after="0" w:line="266" w:lineRule="auto"/>
        <w:rPr>
          <w:sz w:val="20"/>
          <w:szCs w:val="20"/>
          <w:color w:val="auto"/>
        </w:rPr>
      </w:pPr>
      <w:r>
        <w:rPr>
          <w:rFonts w:ascii="Arial" w:cs="Arial" w:eastAsia="Arial" w:hAnsi="Arial"/>
          <w:sz w:val="16"/>
          <w:szCs w:val="16"/>
          <w:color w:val="auto"/>
        </w:rPr>
        <w:t>The following table summarizes the compensation of each named executive officer (“NEO”) for 2025, 2024 and 2023. The amounts reported for stock awards may not represent the amounts that the NEOs will actually realize from the awards. Whether, and to what extent, a named executive officer realizes value will depend on Regency’s performance, stock price and continued employment.</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SUMMARY COMPENSATION TABLE FOR 2025</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6A6E6F"/>
              </w:rPr>
              <w:t>Non-Equity</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6A6E6F"/>
              </w:rPr>
              <w:t>Stock</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6A6E6F"/>
              </w:rPr>
              <w:t>Incentive Plan</w:t>
            </w:r>
          </w:p>
        </w:tc>
        <w:tc>
          <w:tcPr>
            <w:tcW w:w="1440" w:type="dxa"/>
            <w:vAlign w:val="bottom"/>
          </w:tcPr>
          <w:p>
            <w:pPr>
              <w:jc w:val="right"/>
              <w:ind w:right="128"/>
              <w:spacing w:after="0"/>
              <w:rPr>
                <w:sz w:val="20"/>
                <w:szCs w:val="20"/>
                <w:color w:val="auto"/>
              </w:rPr>
            </w:pPr>
            <w:r>
              <w:rPr>
                <w:rFonts w:ascii="Arial" w:cs="Arial" w:eastAsia="Arial" w:hAnsi="Arial"/>
                <w:sz w:val="14"/>
                <w:szCs w:val="14"/>
                <w:b w:val="1"/>
                <w:bCs w:val="1"/>
                <w:color w:val="6A6E6F"/>
              </w:rPr>
              <w:t>All Other</w:t>
            </w:r>
          </w:p>
        </w:tc>
        <w:tc>
          <w:tcPr>
            <w:tcW w:w="1100" w:type="dxa"/>
            <w:vAlign w:val="bottom"/>
          </w:tcPr>
          <w:p>
            <w:pPr>
              <w:spacing w:after="0"/>
              <w:rPr>
                <w:sz w:val="14"/>
                <w:szCs w:val="14"/>
                <w:color w:val="auto"/>
              </w:rPr>
            </w:pPr>
          </w:p>
        </w:tc>
      </w:tr>
      <w:tr>
        <w:trPr>
          <w:trHeight w:val="171"/>
        </w:trPr>
        <w:tc>
          <w:tcPr>
            <w:tcW w:w="3160" w:type="dxa"/>
            <w:vAlign w:val="bottom"/>
            <w:tcBorders>
              <w:bottom w:val="single" w:sz="8" w:color="E56D3D"/>
            </w:tcBorders>
          </w:tcPr>
          <w:p>
            <w:pPr>
              <w:ind w:left="60"/>
              <w:spacing w:after="0" w:line="172" w:lineRule="exact"/>
              <w:rPr>
                <w:sz w:val="20"/>
                <w:szCs w:val="20"/>
                <w:color w:val="auto"/>
              </w:rPr>
            </w:pPr>
            <w:r>
              <w:rPr>
                <w:rFonts w:ascii="Arial" w:cs="Arial" w:eastAsia="Arial" w:hAnsi="Arial"/>
                <w:sz w:val="14"/>
                <w:szCs w:val="14"/>
                <w:b w:val="1"/>
                <w:bCs w:val="1"/>
                <w:color w:val="6A6E6F"/>
              </w:rPr>
              <w:t>Name and Principal Position</w:t>
            </w:r>
            <w:r>
              <w:rPr>
                <w:rFonts w:ascii="Arial" w:cs="Arial" w:eastAsia="Arial" w:hAnsi="Arial"/>
                <w:sz w:val="17"/>
                <w:szCs w:val="17"/>
                <w:b w:val="1"/>
                <w:bCs w:val="1"/>
                <w:color w:val="6A6E6F"/>
                <w:vertAlign w:val="superscript"/>
              </w:rPr>
              <w:t>(1)</w:t>
            </w:r>
          </w:p>
        </w:tc>
        <w:tc>
          <w:tcPr>
            <w:tcW w:w="1600" w:type="dxa"/>
            <w:vAlign w:val="bottom"/>
            <w:tcBorders>
              <w:bottom w:val="single" w:sz="8" w:color="E56D3D"/>
            </w:tcBorders>
          </w:tcPr>
          <w:p>
            <w:pPr>
              <w:jc w:val="right"/>
              <w:ind w:right="168"/>
              <w:spacing w:after="0"/>
              <w:rPr>
                <w:sz w:val="20"/>
                <w:szCs w:val="20"/>
                <w:color w:val="auto"/>
              </w:rPr>
            </w:pPr>
            <w:r>
              <w:rPr>
                <w:rFonts w:ascii="Arial" w:cs="Arial" w:eastAsia="Arial" w:hAnsi="Arial"/>
                <w:sz w:val="14"/>
                <w:szCs w:val="14"/>
                <w:b w:val="1"/>
                <w:bCs w:val="1"/>
                <w:color w:val="6A6E6F"/>
              </w:rPr>
              <w:t>Year</w:t>
            </w:r>
          </w:p>
        </w:tc>
        <w:tc>
          <w:tcPr>
            <w:tcW w:w="1220" w:type="dxa"/>
            <w:vAlign w:val="bottom"/>
            <w:tcBorders>
              <w:bottom w:val="single" w:sz="8" w:color="E56D3D"/>
            </w:tcBorders>
          </w:tcPr>
          <w:p>
            <w:pPr>
              <w:jc w:val="right"/>
              <w:ind w:right="168"/>
              <w:spacing w:after="0"/>
              <w:rPr>
                <w:sz w:val="20"/>
                <w:szCs w:val="20"/>
                <w:color w:val="auto"/>
              </w:rPr>
            </w:pPr>
            <w:r>
              <w:rPr>
                <w:rFonts w:ascii="Arial" w:cs="Arial" w:eastAsia="Arial" w:hAnsi="Arial"/>
                <w:sz w:val="14"/>
                <w:szCs w:val="14"/>
                <w:b w:val="1"/>
                <w:bCs w:val="1"/>
                <w:color w:val="6A6E6F"/>
              </w:rPr>
              <w:t>Salary</w:t>
            </w:r>
          </w:p>
        </w:tc>
        <w:tc>
          <w:tcPr>
            <w:tcW w:w="1120" w:type="dxa"/>
            <w:vAlign w:val="bottom"/>
            <w:tcBorders>
              <w:bottom w:val="single" w:sz="8" w:color="E56D3D"/>
            </w:tcBorders>
          </w:tcPr>
          <w:p>
            <w:pPr>
              <w:jc w:val="right"/>
              <w:ind w:right="68"/>
              <w:spacing w:after="0" w:line="172" w:lineRule="exact"/>
              <w:rPr>
                <w:sz w:val="20"/>
                <w:szCs w:val="20"/>
                <w:color w:val="auto"/>
              </w:rPr>
            </w:pPr>
            <w:r>
              <w:rPr>
                <w:rFonts w:ascii="Arial" w:cs="Arial" w:eastAsia="Arial" w:hAnsi="Arial"/>
                <w:sz w:val="14"/>
                <w:szCs w:val="14"/>
                <w:b w:val="1"/>
                <w:bCs w:val="1"/>
                <w:color w:val="6A6E6F"/>
              </w:rPr>
              <w:t>Awards</w:t>
            </w:r>
            <w:r>
              <w:rPr>
                <w:rFonts w:ascii="Arial" w:cs="Arial" w:eastAsia="Arial" w:hAnsi="Arial"/>
                <w:sz w:val="17"/>
                <w:szCs w:val="17"/>
                <w:b w:val="1"/>
                <w:bCs w:val="1"/>
                <w:color w:val="6A6E6F"/>
                <w:vertAlign w:val="superscript"/>
              </w:rPr>
              <w:t>(2)</w:t>
            </w:r>
          </w:p>
        </w:tc>
        <w:tc>
          <w:tcPr>
            <w:tcW w:w="1380" w:type="dxa"/>
            <w:vAlign w:val="bottom"/>
            <w:tcBorders>
              <w:bottom w:val="single" w:sz="8" w:color="E56D3D"/>
            </w:tcBorders>
          </w:tcPr>
          <w:p>
            <w:pPr>
              <w:jc w:val="right"/>
              <w:ind w:right="68"/>
              <w:spacing w:after="0" w:line="172" w:lineRule="exact"/>
              <w:rPr>
                <w:sz w:val="20"/>
                <w:szCs w:val="20"/>
                <w:color w:val="auto"/>
              </w:rPr>
            </w:pPr>
            <w:r>
              <w:rPr>
                <w:rFonts w:ascii="Arial" w:cs="Arial" w:eastAsia="Arial" w:hAnsi="Arial"/>
                <w:sz w:val="14"/>
                <w:szCs w:val="14"/>
                <w:b w:val="1"/>
                <w:bCs w:val="1"/>
                <w:color w:val="6A6E6F"/>
              </w:rPr>
              <w:t>Compensation</w:t>
            </w:r>
            <w:r>
              <w:rPr>
                <w:rFonts w:ascii="Arial" w:cs="Arial" w:eastAsia="Arial" w:hAnsi="Arial"/>
                <w:sz w:val="17"/>
                <w:szCs w:val="17"/>
                <w:b w:val="1"/>
                <w:bCs w:val="1"/>
                <w:color w:val="6A6E6F"/>
                <w:vertAlign w:val="superscript"/>
              </w:rPr>
              <w:t>(3)</w:t>
            </w:r>
          </w:p>
        </w:tc>
        <w:tc>
          <w:tcPr>
            <w:tcW w:w="1440" w:type="dxa"/>
            <w:vAlign w:val="bottom"/>
            <w:tcBorders>
              <w:bottom w:val="single" w:sz="8" w:color="E56D3D"/>
            </w:tcBorders>
          </w:tcPr>
          <w:p>
            <w:pPr>
              <w:jc w:val="right"/>
              <w:ind w:right="128"/>
              <w:spacing w:after="0" w:line="172" w:lineRule="exact"/>
              <w:rPr>
                <w:sz w:val="20"/>
                <w:szCs w:val="20"/>
                <w:color w:val="auto"/>
              </w:rPr>
            </w:pPr>
            <w:r>
              <w:rPr>
                <w:rFonts w:ascii="Arial" w:cs="Arial" w:eastAsia="Arial" w:hAnsi="Arial"/>
                <w:sz w:val="14"/>
                <w:szCs w:val="14"/>
                <w:b w:val="1"/>
                <w:bCs w:val="1"/>
                <w:color w:val="6A6E6F"/>
              </w:rPr>
              <w:t>Compensation</w:t>
            </w:r>
            <w:r>
              <w:rPr>
                <w:rFonts w:ascii="Arial" w:cs="Arial" w:eastAsia="Arial" w:hAnsi="Arial"/>
                <w:sz w:val="17"/>
                <w:szCs w:val="17"/>
                <w:b w:val="1"/>
                <w:bCs w:val="1"/>
                <w:color w:val="6A6E6F"/>
                <w:vertAlign w:val="superscript"/>
              </w:rPr>
              <w:t>(4)</w:t>
            </w:r>
          </w:p>
        </w:tc>
        <w:tc>
          <w:tcPr>
            <w:tcW w:w="110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6A6E6F"/>
              </w:rPr>
              <w:t>Total</w:t>
            </w:r>
          </w:p>
        </w:tc>
      </w:tr>
      <w:tr>
        <w:trPr>
          <w:trHeight w:val="200"/>
        </w:trPr>
        <w:tc>
          <w:tcPr>
            <w:tcW w:w="3160" w:type="dxa"/>
            <w:vAlign w:val="bottom"/>
          </w:tcPr>
          <w:p>
            <w:pPr>
              <w:ind w:left="60"/>
              <w:spacing w:after="0"/>
              <w:rPr>
                <w:sz w:val="20"/>
                <w:szCs w:val="20"/>
                <w:color w:val="auto"/>
              </w:rPr>
            </w:pPr>
            <w:r>
              <w:rPr>
                <w:rFonts w:ascii="Arial" w:cs="Arial" w:eastAsia="Arial" w:hAnsi="Arial"/>
                <w:sz w:val="14"/>
                <w:szCs w:val="14"/>
                <w:b w:val="1"/>
                <w:bCs w:val="1"/>
                <w:color w:val="auto"/>
              </w:rPr>
              <w:t>Martin E. Stein, Jr.</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2025</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$500,000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$851,905</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$40,828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$1,392,733</w:t>
            </w:r>
          </w:p>
        </w:tc>
      </w:tr>
      <w:tr>
        <w:trPr>
          <w:trHeight w:val="162"/>
        </w:trPr>
        <w:tc>
          <w:tcPr>
            <w:tcW w:w="3160" w:type="dxa"/>
            <w:vAlign w:val="bottom"/>
          </w:tcPr>
          <w:p>
            <w:pPr>
              <w:ind w:left="60"/>
              <w:spacing w:after="0"/>
              <w:rPr>
                <w:sz w:val="20"/>
                <w:szCs w:val="20"/>
                <w:color w:val="auto"/>
              </w:rPr>
            </w:pPr>
            <w:r>
              <w:rPr>
                <w:rFonts w:ascii="Arial" w:cs="Arial" w:eastAsia="Arial" w:hAnsi="Arial"/>
                <w:sz w:val="14"/>
                <w:szCs w:val="14"/>
                <w:color w:val="auto"/>
              </w:rPr>
              <w:t>Executive Chairman</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2024</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$500,000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$712,882</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$40,628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$1,253,510</w:t>
            </w:r>
          </w:p>
        </w:tc>
      </w:tr>
      <w:tr>
        <w:trPr>
          <w:trHeight w:val="194"/>
        </w:trPr>
        <w:tc>
          <w:tcPr>
            <w:tcW w:w="31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of the Board</w:t>
            </w:r>
          </w:p>
        </w:tc>
        <w:tc>
          <w:tcPr>
            <w:tcW w:w="160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$500,000</w:t>
            </w:r>
          </w:p>
        </w:tc>
        <w:tc>
          <w:tcPr>
            <w:tcW w:w="11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$1,034,858</w:t>
            </w:r>
          </w:p>
        </w:tc>
        <w:tc>
          <w:tcPr>
            <w:tcW w:w="138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$0</w:t>
            </w:r>
          </w:p>
        </w:tc>
        <w:tc>
          <w:tcPr>
            <w:tcW w:w="144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$40,728</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$1,575,586</w:t>
            </w:r>
          </w:p>
        </w:tc>
      </w:tr>
      <w:tr>
        <w:trPr>
          <w:trHeight w:val="204"/>
        </w:trPr>
        <w:tc>
          <w:tcPr>
            <w:tcW w:w="3160" w:type="dxa"/>
            <w:vAlign w:val="bottom"/>
          </w:tcPr>
          <w:p>
            <w:pPr>
              <w:ind w:left="60"/>
              <w:spacing w:after="0"/>
              <w:rPr>
                <w:sz w:val="20"/>
                <w:szCs w:val="20"/>
                <w:color w:val="auto"/>
              </w:rPr>
            </w:pPr>
            <w:r>
              <w:rPr>
                <w:rFonts w:ascii="Arial" w:cs="Arial" w:eastAsia="Arial" w:hAnsi="Arial"/>
                <w:sz w:val="14"/>
                <w:szCs w:val="14"/>
                <w:b w:val="1"/>
                <w:bCs w:val="1"/>
                <w:color w:val="auto"/>
              </w:rPr>
              <w:t>Lisa Palmer</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2025</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$1,050,000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$7,099,098</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$2,925,000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$18,334</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$11,092,432</w:t>
            </w:r>
          </w:p>
        </w:tc>
      </w:tr>
      <w:tr>
        <w:trPr>
          <w:trHeight w:val="162"/>
        </w:trPr>
        <w:tc>
          <w:tcPr>
            <w:tcW w:w="3160" w:type="dxa"/>
            <w:vAlign w:val="bottom"/>
          </w:tcPr>
          <w:p>
            <w:pPr>
              <w:ind w:left="60"/>
              <w:spacing w:after="0"/>
              <w:rPr>
                <w:sz w:val="20"/>
                <w:szCs w:val="20"/>
                <w:color w:val="auto"/>
              </w:rPr>
            </w:pPr>
            <w:r>
              <w:rPr>
                <w:rFonts w:ascii="Arial" w:cs="Arial" w:eastAsia="Arial" w:hAnsi="Arial"/>
                <w:sz w:val="14"/>
                <w:szCs w:val="14"/>
                <w:color w:val="auto"/>
              </w:rPr>
              <w:t>President and Chief</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2024</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$1,030,000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$5,702,941</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$2,805,000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$21,322</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$9,559,263</w:t>
            </w:r>
          </w:p>
        </w:tc>
      </w:tr>
      <w:tr>
        <w:trPr>
          <w:trHeight w:val="194"/>
        </w:trPr>
        <w:tc>
          <w:tcPr>
            <w:tcW w:w="31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Executive Officer</w:t>
            </w:r>
          </w:p>
        </w:tc>
        <w:tc>
          <w:tcPr>
            <w:tcW w:w="160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$1,000,000</w:t>
            </w:r>
          </w:p>
        </w:tc>
        <w:tc>
          <w:tcPr>
            <w:tcW w:w="11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$5,536,318</w:t>
            </w:r>
          </w:p>
        </w:tc>
        <w:tc>
          <w:tcPr>
            <w:tcW w:w="138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$2,712,500</w:t>
            </w:r>
          </w:p>
        </w:tc>
        <w:tc>
          <w:tcPr>
            <w:tcW w:w="144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$20,217</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$9,269,035</w:t>
            </w:r>
          </w:p>
        </w:tc>
      </w:tr>
      <w:tr>
        <w:trPr>
          <w:trHeight w:val="204"/>
        </w:trPr>
        <w:tc>
          <w:tcPr>
            <w:tcW w:w="3160" w:type="dxa"/>
            <w:vAlign w:val="bottom"/>
          </w:tcPr>
          <w:p>
            <w:pPr>
              <w:ind w:left="60"/>
              <w:spacing w:after="0"/>
              <w:rPr>
                <w:sz w:val="20"/>
                <w:szCs w:val="20"/>
                <w:color w:val="auto"/>
              </w:rPr>
            </w:pPr>
            <w:r>
              <w:rPr>
                <w:rFonts w:ascii="Arial" w:cs="Arial" w:eastAsia="Arial" w:hAnsi="Arial"/>
                <w:sz w:val="14"/>
                <w:szCs w:val="14"/>
                <w:b w:val="1"/>
                <w:bCs w:val="1"/>
                <w:color w:val="auto"/>
              </w:rPr>
              <w:t>Michael J. Mas</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2025</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$640,000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$2,226,325</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$1,537,500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$15,574</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$4,419,399</w:t>
            </w:r>
          </w:p>
        </w:tc>
      </w:tr>
      <w:tr>
        <w:trPr>
          <w:trHeight w:val="162"/>
        </w:trPr>
        <w:tc>
          <w:tcPr>
            <w:tcW w:w="3160" w:type="dxa"/>
            <w:vAlign w:val="bottom"/>
          </w:tcPr>
          <w:p>
            <w:pPr>
              <w:ind w:left="60"/>
              <w:spacing w:after="0"/>
              <w:rPr>
                <w:sz w:val="20"/>
                <w:szCs w:val="20"/>
                <w:color w:val="auto"/>
              </w:rPr>
            </w:pPr>
            <w:r>
              <w:rPr>
                <w:rFonts w:ascii="Arial" w:cs="Arial" w:eastAsia="Arial" w:hAnsi="Arial"/>
                <w:sz w:val="14"/>
                <w:szCs w:val="14"/>
                <w:color w:val="auto"/>
              </w:rPr>
              <w:t>Executive Vice President,</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2024</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$620,000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$1,805,910</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$1,470,000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$15,630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$3,911,540</w:t>
            </w:r>
          </w:p>
        </w:tc>
      </w:tr>
      <w:tr>
        <w:trPr>
          <w:trHeight w:val="194"/>
        </w:trPr>
        <w:tc>
          <w:tcPr>
            <w:tcW w:w="31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Chief Financial Officer</w:t>
            </w:r>
          </w:p>
        </w:tc>
        <w:tc>
          <w:tcPr>
            <w:tcW w:w="160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$600,000</w:t>
            </w:r>
          </w:p>
        </w:tc>
        <w:tc>
          <w:tcPr>
            <w:tcW w:w="11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$1,759,195</w:t>
            </w:r>
          </w:p>
        </w:tc>
        <w:tc>
          <w:tcPr>
            <w:tcW w:w="138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$1,116,000</w:t>
            </w:r>
          </w:p>
        </w:tc>
        <w:tc>
          <w:tcPr>
            <w:tcW w:w="144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$17,078</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$3,492,273</w:t>
            </w:r>
          </w:p>
        </w:tc>
      </w:tr>
      <w:tr>
        <w:trPr>
          <w:trHeight w:val="204"/>
        </w:trPr>
        <w:tc>
          <w:tcPr>
            <w:tcW w:w="3160" w:type="dxa"/>
            <w:vAlign w:val="bottom"/>
          </w:tcPr>
          <w:p>
            <w:pPr>
              <w:ind w:left="60"/>
              <w:spacing w:after="0"/>
              <w:rPr>
                <w:sz w:val="20"/>
                <w:szCs w:val="20"/>
                <w:color w:val="auto"/>
              </w:rPr>
            </w:pPr>
            <w:r>
              <w:rPr>
                <w:rFonts w:ascii="Arial" w:cs="Arial" w:eastAsia="Arial" w:hAnsi="Arial"/>
                <w:sz w:val="14"/>
                <w:szCs w:val="14"/>
                <w:b w:val="1"/>
                <w:bCs w:val="1"/>
                <w:color w:val="auto"/>
              </w:rPr>
              <w:t>Alan T. Roth</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2025</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$625,000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$1,703,810</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$937,500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$21,438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$3,287,748</w:t>
            </w:r>
          </w:p>
        </w:tc>
      </w:tr>
      <w:tr>
        <w:trPr>
          <w:trHeight w:val="162"/>
        </w:trPr>
        <w:tc>
          <w:tcPr>
            <w:tcW w:w="3160" w:type="dxa"/>
            <w:vAlign w:val="bottom"/>
          </w:tcPr>
          <w:p>
            <w:pPr>
              <w:ind w:left="60"/>
              <w:spacing w:after="0"/>
              <w:rPr>
                <w:sz w:val="20"/>
                <w:szCs w:val="20"/>
                <w:color w:val="auto"/>
              </w:rPr>
            </w:pPr>
            <w:r>
              <w:rPr>
                <w:rFonts w:ascii="Arial" w:cs="Arial" w:eastAsia="Arial" w:hAnsi="Arial"/>
                <w:sz w:val="14"/>
                <w:szCs w:val="14"/>
                <w:color w:val="auto"/>
              </w:rPr>
              <w:t>East Region President and</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2024</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$600,000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$1,330,713</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$900,000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$14,270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$2,844,983</w:t>
            </w:r>
          </w:p>
        </w:tc>
      </w:tr>
      <w:tr>
        <w:trPr>
          <w:trHeight w:val="194"/>
        </w:trPr>
        <w:tc>
          <w:tcPr>
            <w:tcW w:w="31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Chief Operating Officer</w:t>
            </w:r>
          </w:p>
        </w:tc>
        <w:tc>
          <w:tcPr>
            <w:tcW w:w="160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$500,000</w:t>
            </w:r>
          </w:p>
        </w:tc>
        <w:tc>
          <w:tcPr>
            <w:tcW w:w="11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$1,134,858</w:t>
            </w:r>
          </w:p>
        </w:tc>
        <w:tc>
          <w:tcPr>
            <w:tcW w:w="138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$775,000</w:t>
            </w:r>
          </w:p>
        </w:tc>
        <w:tc>
          <w:tcPr>
            <w:tcW w:w="144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$17,126</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$2,426,984</w:t>
            </w:r>
          </w:p>
        </w:tc>
      </w:tr>
      <w:tr>
        <w:trPr>
          <w:trHeight w:val="204"/>
        </w:trPr>
        <w:tc>
          <w:tcPr>
            <w:tcW w:w="3160" w:type="dxa"/>
            <w:vAlign w:val="bottom"/>
          </w:tcPr>
          <w:p>
            <w:pPr>
              <w:ind w:left="60"/>
              <w:spacing w:after="0"/>
              <w:rPr>
                <w:sz w:val="20"/>
                <w:szCs w:val="20"/>
                <w:color w:val="auto"/>
              </w:rPr>
            </w:pPr>
            <w:r>
              <w:rPr>
                <w:rFonts w:ascii="Arial" w:cs="Arial" w:eastAsia="Arial" w:hAnsi="Arial"/>
                <w:sz w:val="14"/>
                <w:szCs w:val="14"/>
                <w:b w:val="1"/>
                <w:bCs w:val="1"/>
                <w:color w:val="auto"/>
              </w:rPr>
              <w:t>Nicholas A. Wibbenmeyer</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2025</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$625,000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$1,703,810</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$937,500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$14,470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$3,280,780</w:t>
            </w:r>
          </w:p>
        </w:tc>
      </w:tr>
      <w:tr>
        <w:trPr>
          <w:trHeight w:val="162"/>
        </w:trPr>
        <w:tc>
          <w:tcPr>
            <w:tcW w:w="3160" w:type="dxa"/>
            <w:vAlign w:val="bottom"/>
          </w:tcPr>
          <w:p>
            <w:pPr>
              <w:ind w:left="60"/>
              <w:spacing w:after="0"/>
              <w:rPr>
                <w:sz w:val="20"/>
                <w:szCs w:val="20"/>
                <w:color w:val="auto"/>
              </w:rPr>
            </w:pPr>
            <w:r>
              <w:rPr>
                <w:rFonts w:ascii="Arial" w:cs="Arial" w:eastAsia="Arial" w:hAnsi="Arial"/>
                <w:sz w:val="14"/>
                <w:szCs w:val="14"/>
                <w:color w:val="auto"/>
              </w:rPr>
              <w:t>West Region President and</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2024</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$600,000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$1,330,713</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$900,000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$13,580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$2,844,293</w:t>
            </w:r>
          </w:p>
        </w:tc>
      </w:tr>
      <w:tr>
        <w:trPr>
          <w:trHeight w:val="190"/>
        </w:trPr>
        <w:tc>
          <w:tcPr>
            <w:tcW w:w="3160" w:type="dxa"/>
            <w:vAlign w:val="bottom"/>
          </w:tcPr>
          <w:p>
            <w:pPr>
              <w:ind w:left="60"/>
              <w:spacing w:after="0"/>
              <w:rPr>
                <w:sz w:val="20"/>
                <w:szCs w:val="20"/>
                <w:color w:val="auto"/>
              </w:rPr>
            </w:pPr>
            <w:r>
              <w:rPr>
                <w:rFonts w:ascii="Arial" w:cs="Arial" w:eastAsia="Arial" w:hAnsi="Arial"/>
                <w:sz w:val="14"/>
                <w:szCs w:val="14"/>
                <w:color w:val="auto"/>
              </w:rPr>
              <w:t>Chief Investment Officer</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2023</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$500,000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$1,134,858</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$775,000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$13,680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$2,423,538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2" w:lineRule="exact"/>
        <w:rPr>
          <w:sz w:val="20"/>
          <w:szCs w:val="20"/>
          <w:color w:val="auto"/>
        </w:rPr>
      </w:pPr>
    </w:p>
    <w:p>
      <w:pPr>
        <w:ind w:left="4" w:right="60" w:hanging="4"/>
        <w:spacing w:after="0" w:line="233" w:lineRule="auto"/>
        <w:tabs>
          <w:tab w:leader="none" w:pos="193" w:val="left"/>
        </w:tabs>
        <w:numPr>
          <w:ilvl w:val="0"/>
          <w:numId w:val="63"/>
        </w:numPr>
        <w:rPr>
          <w:rFonts w:ascii="Arial" w:cs="Arial" w:eastAsia="Arial" w:hAnsi="Arial"/>
          <w:sz w:val="13"/>
          <w:szCs w:val="13"/>
          <w:color w:val="auto"/>
        </w:rPr>
      </w:pPr>
      <w:r>
        <w:rPr>
          <w:rFonts w:ascii="Arial" w:cs="Arial" w:eastAsia="Arial" w:hAnsi="Arial"/>
          <w:sz w:val="13"/>
          <w:szCs w:val="13"/>
          <w:color w:val="auto"/>
        </w:rPr>
        <w:t>Alan T. Roth was promoted to Senior Managing Director, East Region effective January 1, 2022 and was again promoted to Executive Vice President, National Property Operations and East Region President, effective January 1, 2023. He was then appointed on January 1, 2024 to East Region President and Chief Operating Officer. Nicholas A. Wibbenmeyer was promoted to Executive Vice President, West Region President, effective January 1, 2023 and was then appointed on January 1, 2024 to West Region President and Chief Investment Officer.</w:t>
      </w:r>
    </w:p>
    <w:p>
      <w:pPr>
        <w:spacing w:after="0" w:line="37" w:lineRule="exact"/>
        <w:rPr>
          <w:rFonts w:ascii="Arial" w:cs="Arial" w:eastAsia="Arial" w:hAnsi="Arial"/>
          <w:sz w:val="13"/>
          <w:szCs w:val="13"/>
          <w:color w:val="auto"/>
        </w:rPr>
      </w:pPr>
    </w:p>
    <w:p>
      <w:pPr>
        <w:ind w:left="4" w:right="100" w:hanging="4"/>
        <w:spacing w:after="0" w:line="233" w:lineRule="auto"/>
        <w:tabs>
          <w:tab w:leader="none" w:pos="193"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amounts in this column represent the aggregate grant date fair value computed in accordance with FASB ASC Topic 718 for restricted share awards and performance-based and market-based performance share awards. We use a Monte Carlo simulation model to value market-based awards, i.e., for performance awards tied to relative total shareholder return. Our model estimates the fair value of the award based on our data and that of the FTSE Nareit Equity Shopping Centers Index.</w:t>
      </w:r>
    </w:p>
    <w:p>
      <w:pPr>
        <w:spacing w:after="0" w:line="51" w:lineRule="exact"/>
        <w:rPr>
          <w:sz w:val="20"/>
          <w:szCs w:val="20"/>
          <w:color w:val="auto"/>
        </w:rPr>
      </w:pPr>
    </w:p>
    <w:p>
      <w:pPr>
        <w:ind w:left="4" w:right="140"/>
        <w:spacing w:after="0" w:line="243" w:lineRule="auto"/>
        <w:rPr>
          <w:sz w:val="20"/>
          <w:szCs w:val="20"/>
          <w:color w:val="auto"/>
        </w:rPr>
      </w:pPr>
      <w:r>
        <w:rPr>
          <w:rFonts w:ascii="Arial" w:cs="Arial" w:eastAsia="Arial" w:hAnsi="Arial"/>
          <w:sz w:val="13"/>
          <w:szCs w:val="13"/>
          <w:u w:val="single" w:color="auto"/>
          <w:color w:val="auto"/>
        </w:rPr>
        <w:t>2025 Stock Awards.</w:t>
      </w:r>
      <w:r>
        <w:rPr>
          <w:rFonts w:ascii="Arial" w:cs="Arial" w:eastAsia="Arial" w:hAnsi="Arial"/>
          <w:sz w:val="13"/>
          <w:szCs w:val="13"/>
          <w:color w:val="auto"/>
        </w:rPr>
        <w:t xml:space="preserve"> The goals for performance share awards granted in 2025 based upon total shareholder return are entirely market-based as compared to other publicly traded companies in our sector, as represented by the FTSE Nareit Equity Shopping Centers Index.</w:t>
      </w:r>
    </w:p>
    <w:p>
      <w:pPr>
        <w:spacing w:after="0" w:line="35" w:lineRule="exact"/>
        <w:rPr>
          <w:sz w:val="20"/>
          <w:szCs w:val="20"/>
          <w:color w:val="auto"/>
        </w:rPr>
      </w:pPr>
    </w:p>
    <w:p>
      <w:pPr>
        <w:ind w:left="4" w:right="20"/>
        <w:spacing w:after="0" w:line="233" w:lineRule="auto"/>
        <w:rPr>
          <w:sz w:val="20"/>
          <w:szCs w:val="20"/>
          <w:color w:val="auto"/>
        </w:rPr>
      </w:pPr>
      <w:r>
        <w:rPr>
          <w:rFonts w:ascii="Arial" w:cs="Arial" w:eastAsia="Arial" w:hAnsi="Arial"/>
          <w:sz w:val="13"/>
          <w:szCs w:val="13"/>
          <w:color w:val="auto"/>
        </w:rPr>
        <w:t>The awards granted on February 4, 2025, assumed (a) stock price volatility of 23.8% for Regency and 23.3% for the index, (b) risk-free interest rates of 4.25%, (c) Regency’s beta versus the index of 0.941, and (d) no dividend yield assumption given that the award includes dividend equivalents that are earned only to the extent that the underlying shares are earned. Based on the performance goals and these capital market assumptions, the market-based awards issued on February 4, 2025, were valued at $83.97 per share using the Monte Carlo model.</w:t>
      </w:r>
    </w:p>
    <w:p>
      <w:pPr>
        <w:spacing w:after="0" w:line="37" w:lineRule="exact"/>
        <w:rPr>
          <w:sz w:val="20"/>
          <w:szCs w:val="20"/>
          <w:color w:val="auto"/>
        </w:rPr>
      </w:pPr>
    </w:p>
    <w:p>
      <w:pPr>
        <w:ind w:left="4"/>
        <w:spacing w:after="0"/>
        <w:rPr>
          <w:sz w:val="20"/>
          <w:szCs w:val="20"/>
          <w:color w:val="auto"/>
        </w:rPr>
      </w:pPr>
      <w:r>
        <w:rPr>
          <w:rFonts w:ascii="Arial" w:cs="Arial" w:eastAsia="Arial" w:hAnsi="Arial"/>
          <w:sz w:val="13"/>
          <w:szCs w:val="13"/>
          <w:color w:val="auto"/>
        </w:rPr>
        <w:t>The 2025 stock awards also include the grant date fair value of restricted share awards to Ms. Palmer and Messrs. Stein, Mas, Roth and Wibbenmeyer.</w:t>
      </w:r>
    </w:p>
    <w:p>
      <w:pPr>
        <w:spacing w:after="0" w:line="67" w:lineRule="exact"/>
        <w:rPr>
          <w:sz w:val="20"/>
          <w:szCs w:val="20"/>
          <w:color w:val="auto"/>
        </w:rPr>
      </w:pPr>
    </w:p>
    <w:p>
      <w:pPr>
        <w:ind w:left="184" w:hanging="184"/>
        <w:spacing w:after="0"/>
        <w:tabs>
          <w:tab w:leader="none" w:pos="184"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amounts in this column represent the annual cash bonus payable for 2025 performance as discussed in the CD&amp;A on page 34.</w:t>
      </w:r>
    </w:p>
    <w:p>
      <w:pPr>
        <w:spacing w:after="0" w:line="53" w:lineRule="exact"/>
        <w:rPr>
          <w:rFonts w:ascii="Arial" w:cs="Arial" w:eastAsia="Arial" w:hAnsi="Arial"/>
          <w:sz w:val="13"/>
          <w:szCs w:val="13"/>
          <w:color w:val="auto"/>
        </w:rPr>
      </w:pPr>
    </w:p>
    <w:p>
      <w:pPr>
        <w:ind w:left="4" w:right="180" w:hanging="4"/>
        <w:spacing w:after="0" w:line="243" w:lineRule="auto"/>
        <w:tabs>
          <w:tab w:leader="none" w:pos="193"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amounts in this column for 2025 consist of the following: (a) a $12,400 contribution to our 401(k) and profit-sharing plan for each NEO; (b) life insurance premiums of $28,428 for Mr. Stein, $5,934 for Ms. Palmer, $3,174 for Mr. Mas and Mr. Roth, and $2,070 for Mr. Wibbenmeyer; and (c) executive physical reimbursements of $5,864 for Mr. Roth.</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6A6E6F"/>
        </w:rPr>
        <w:t>Grants of Plan-Based Awards</w:t>
      </w:r>
    </w:p>
    <w:p>
      <w:pPr>
        <w:spacing w:after="0" w:line="72" w:lineRule="exact"/>
        <w:rPr>
          <w:sz w:val="20"/>
          <w:szCs w:val="20"/>
          <w:color w:val="auto"/>
        </w:rPr>
      </w:pPr>
    </w:p>
    <w:p>
      <w:pPr>
        <w:ind w:left="4" w:right="220"/>
        <w:spacing w:after="0" w:line="259" w:lineRule="auto"/>
        <w:rPr>
          <w:sz w:val="20"/>
          <w:szCs w:val="20"/>
          <w:color w:val="auto"/>
        </w:rPr>
      </w:pPr>
      <w:r>
        <w:rPr>
          <w:rFonts w:ascii="Arial" w:cs="Arial" w:eastAsia="Arial" w:hAnsi="Arial"/>
          <w:sz w:val="16"/>
          <w:szCs w:val="16"/>
          <w:color w:val="auto"/>
        </w:rPr>
        <w:t>As described in the Compensation Discussion &amp; Analysis section of this proxy statement, annual cash incentive awards under our 2025 incentive plan were based on Core Operating Earnings per Share and achievement of our Corporate Responsibility objectives by our NEOs during the year ended December 31, 2025. Mr. Stein’s compensation package does not currently provide him with an annual cash incentive opportunity. As determined by the Compensation Committee, annual cash incentive awards were awarded at 1.5 times the target level under the 2025 annual incentive plan.</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40</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024"/>
          </w:cols>
          <w:pgMar w:left="436" w:top="291" w:right="439" w:bottom="1440" w:gutter="0" w:footer="0" w:header="0"/>
        </w:sectPr>
      </w:pPr>
    </w:p>
    <w:bookmarkStart w:id="46" w:name="page47"/>
    <w:bookmarkEnd w:id="46"/>
    <w:p>
      <w:pPr>
        <w:ind w:left="900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 </w:t>
      </w:r>
      <w:r>
        <w:rPr>
          <w:rFonts w:ascii="Arial" w:cs="Arial" w:eastAsia="Arial" w:hAnsi="Arial"/>
          <w:sz w:val="19"/>
          <w:szCs w:val="19"/>
          <w:b w:val="1"/>
          <w:bCs w:val="1"/>
          <w:color w:val="E56D3D"/>
        </w:rPr>
        <w:t>|</w:t>
      </w:r>
    </w:p>
    <w:p>
      <w:pPr>
        <w:spacing w:after="0" w:line="156" w:lineRule="exact"/>
        <w:rPr>
          <w:sz w:val="20"/>
          <w:szCs w:val="20"/>
          <w:color w:val="auto"/>
        </w:rPr>
      </w:pPr>
    </w:p>
    <w:p>
      <w:pPr>
        <w:ind w:left="4" w:right="200"/>
        <w:spacing w:after="0" w:line="266" w:lineRule="auto"/>
        <w:rPr>
          <w:sz w:val="20"/>
          <w:szCs w:val="20"/>
          <w:color w:val="auto"/>
        </w:rPr>
      </w:pPr>
      <w:r>
        <w:rPr>
          <w:rFonts w:ascii="Arial" w:cs="Arial" w:eastAsia="Arial" w:hAnsi="Arial"/>
          <w:sz w:val="16"/>
          <w:szCs w:val="16"/>
          <w:color w:val="auto"/>
        </w:rPr>
        <w:t>Equity awards that may be earned under our 2025 long-term incentive plan are issued under our Omnibus Incentive Plan. Our 2025 incentive plan provides for issuance to the NEOs of performance share awards that are based on specified thresholds for relative total shareholder return during 2025 through 2027.</w:t>
      </w:r>
    </w:p>
    <w:p>
      <w:pPr>
        <w:spacing w:after="0" w:line="131" w:lineRule="exact"/>
        <w:rPr>
          <w:sz w:val="20"/>
          <w:szCs w:val="20"/>
          <w:color w:val="auto"/>
        </w:rPr>
      </w:pPr>
    </w:p>
    <w:p>
      <w:pPr>
        <w:ind w:left="4" w:right="40"/>
        <w:spacing w:after="0" w:line="259" w:lineRule="auto"/>
        <w:rPr>
          <w:sz w:val="20"/>
          <w:szCs w:val="20"/>
          <w:color w:val="auto"/>
        </w:rPr>
      </w:pPr>
      <w:r>
        <w:rPr>
          <w:rFonts w:ascii="Arial" w:cs="Arial" w:eastAsia="Arial" w:hAnsi="Arial"/>
          <w:sz w:val="16"/>
          <w:szCs w:val="16"/>
          <w:color w:val="auto"/>
        </w:rPr>
        <w:t>Each performance share award provides for a specific number of shares depending on the extent to which the performance levels are achieved. No performance shares will be earned if the threshold levels are not achieved. Earned awards will vest, if at all, at the end of the performance period, and will be paid in shares. Dividend equivalents will vest when the underlying share award vests and will be paid in shares, as if dividends paid on unvested shares at the same rate as paid on our common stock were reinvested annually.</w:t>
      </w:r>
    </w:p>
    <w:p>
      <w:pPr>
        <w:spacing w:after="0" w:line="151" w:lineRule="exact"/>
        <w:rPr>
          <w:sz w:val="20"/>
          <w:szCs w:val="20"/>
          <w:color w:val="auto"/>
        </w:rPr>
      </w:pPr>
    </w:p>
    <w:p>
      <w:pPr>
        <w:ind w:left="4" w:right="260"/>
        <w:spacing w:after="0" w:line="286" w:lineRule="auto"/>
        <w:rPr>
          <w:sz w:val="20"/>
          <w:szCs w:val="20"/>
          <w:color w:val="auto"/>
        </w:rPr>
      </w:pPr>
      <w:r>
        <w:rPr>
          <w:rFonts w:ascii="Arial" w:cs="Arial" w:eastAsia="Arial" w:hAnsi="Arial"/>
          <w:sz w:val="16"/>
          <w:szCs w:val="16"/>
          <w:color w:val="auto"/>
        </w:rPr>
        <w:t>The following table sets forth information about plan-based awards granted to our NEOs during 2025, all of which were made under our 2025 incentive plan. Threshold amounts reflect the amounts that can be earned at minimum performance by our NEOs.</w:t>
      </w:r>
    </w:p>
    <w:p>
      <w:pPr>
        <w:spacing w:after="0" w:line="15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GRANTS OF PLAN BASED AWARDS DURING 2025</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E56D3D"/>
              </w:rPr>
              <w:t>Estimated Possible Payouts Under</w:t>
            </w:r>
          </w:p>
        </w:tc>
        <w:tc>
          <w:tcPr>
            <w:tcW w:w="2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E56D3D"/>
              </w:rPr>
              <w:t>Estimated Future Payouts</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E56D3D"/>
              </w:rPr>
              <w:t>Non-Equity Incentive Plan</w:t>
            </w:r>
          </w:p>
        </w:tc>
        <w:tc>
          <w:tcPr>
            <w:tcW w:w="2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E56D3D"/>
              </w:rPr>
              <w:t>Under Equity Incentive Plan</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Borders>
              <w:bottom w:val="single" w:sz="8" w:color="E56D3D"/>
            </w:tcBorders>
          </w:tcPr>
          <w:p>
            <w:pPr>
              <w:spacing w:after="0"/>
              <w:rPr>
                <w:sz w:val="14"/>
                <w:szCs w:val="14"/>
                <w:color w:val="auto"/>
              </w:rPr>
            </w:pPr>
          </w:p>
        </w:tc>
        <w:tc>
          <w:tcPr>
            <w:tcW w:w="980" w:type="dxa"/>
            <w:vAlign w:val="bottom"/>
            <w:tcBorders>
              <w:bottom w:val="single" w:sz="8" w:color="E56D3D"/>
            </w:tcBorders>
          </w:tcPr>
          <w:p>
            <w:pPr>
              <w:jc w:val="center"/>
              <w:spacing w:after="0"/>
              <w:rPr>
                <w:sz w:val="20"/>
                <w:szCs w:val="20"/>
                <w:color w:val="auto"/>
              </w:rPr>
            </w:pPr>
            <w:r>
              <w:rPr>
                <w:rFonts w:ascii="Arial" w:cs="Arial" w:eastAsia="Arial" w:hAnsi="Arial"/>
                <w:sz w:val="14"/>
                <w:szCs w:val="14"/>
                <w:b w:val="1"/>
                <w:bCs w:val="1"/>
                <w:color w:val="E56D3D"/>
              </w:rPr>
              <w:t>Awards</w:t>
            </w:r>
          </w:p>
        </w:tc>
        <w:tc>
          <w:tcPr>
            <w:tcW w:w="860" w:type="dxa"/>
            <w:vAlign w:val="bottom"/>
            <w:tcBorders>
              <w:bottom w:val="single" w:sz="8" w:color="E56D3D"/>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E56D3D"/>
            </w:tcBorders>
          </w:tcPr>
          <w:p>
            <w:pPr>
              <w:spacing w:after="0"/>
              <w:rPr>
                <w:sz w:val="14"/>
                <w:szCs w:val="14"/>
                <w:color w:val="auto"/>
              </w:rPr>
            </w:pPr>
          </w:p>
        </w:tc>
        <w:tc>
          <w:tcPr>
            <w:tcW w:w="760" w:type="dxa"/>
            <w:vAlign w:val="bottom"/>
            <w:tcBorders>
              <w:bottom w:val="single" w:sz="8" w:color="E56D3D"/>
            </w:tcBorders>
          </w:tcPr>
          <w:p>
            <w:pPr>
              <w:jc w:val="center"/>
              <w:spacing w:after="0"/>
              <w:rPr>
                <w:sz w:val="20"/>
                <w:szCs w:val="20"/>
                <w:color w:val="auto"/>
              </w:rPr>
            </w:pPr>
            <w:r>
              <w:rPr>
                <w:rFonts w:ascii="Arial" w:cs="Arial" w:eastAsia="Arial" w:hAnsi="Arial"/>
                <w:sz w:val="14"/>
                <w:szCs w:val="14"/>
                <w:b w:val="1"/>
                <w:bCs w:val="1"/>
                <w:color w:val="E56D3D"/>
              </w:rPr>
              <w:t>Awards</w:t>
            </w:r>
          </w:p>
        </w:tc>
        <w:tc>
          <w:tcPr>
            <w:tcW w:w="780" w:type="dxa"/>
            <w:vAlign w:val="bottom"/>
            <w:tcBorders>
              <w:bottom w:val="single" w:sz="8" w:color="E56D3D"/>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6A6E6F"/>
              </w:rPr>
              <w:t>All Other</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6A6E6F"/>
              </w:rPr>
              <w:t>Grant</w:t>
            </w: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6A6E6F"/>
              </w:rPr>
              <w:t>Stock</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6A6E6F"/>
              </w:rPr>
              <w:t>Date</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640" w:type="dxa"/>
            <w:vAlign w:val="bottom"/>
          </w:tcPr>
          <w:p>
            <w:pPr>
              <w:jc w:val="right"/>
              <w:ind w:right="328"/>
              <w:spacing w:after="0"/>
              <w:rPr>
                <w:sz w:val="20"/>
                <w:szCs w:val="20"/>
                <w:color w:val="auto"/>
              </w:rPr>
            </w:pPr>
            <w:r>
              <w:rPr>
                <w:rFonts w:ascii="Arial" w:cs="Arial" w:eastAsia="Arial" w:hAnsi="Arial"/>
                <w:sz w:val="14"/>
                <w:szCs w:val="14"/>
                <w:b w:val="1"/>
                <w:bCs w:val="1"/>
                <w:color w:val="6A6E6F"/>
              </w:rPr>
              <w:t>Grant Date</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6A6E6F"/>
              </w:rPr>
              <w:t>Awards:</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6A6E6F"/>
              </w:rPr>
              <w:t>Fair</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640" w:type="dxa"/>
            <w:vAlign w:val="bottom"/>
          </w:tcPr>
          <w:p>
            <w:pPr>
              <w:jc w:val="right"/>
              <w:ind w:right="328"/>
              <w:spacing w:after="0"/>
              <w:rPr>
                <w:sz w:val="20"/>
                <w:szCs w:val="20"/>
                <w:color w:val="auto"/>
              </w:rPr>
            </w:pPr>
            <w:r>
              <w:rPr>
                <w:rFonts w:ascii="Arial" w:cs="Arial" w:eastAsia="Arial" w:hAnsi="Arial"/>
                <w:sz w:val="14"/>
                <w:szCs w:val="14"/>
                <w:b w:val="1"/>
                <w:bCs w:val="1"/>
                <w:color w:val="6A6E6F"/>
              </w:rPr>
              <w:t>of Equity</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6A6E6F"/>
              </w:rPr>
              <w:t>#</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6A6E6F"/>
              </w:rPr>
              <w:t>Value</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640" w:type="dxa"/>
            <w:vAlign w:val="bottom"/>
          </w:tcPr>
          <w:p>
            <w:pPr>
              <w:jc w:val="right"/>
              <w:ind w:right="328"/>
              <w:spacing w:after="0"/>
              <w:rPr>
                <w:sz w:val="20"/>
                <w:szCs w:val="20"/>
                <w:color w:val="auto"/>
              </w:rPr>
            </w:pPr>
            <w:r>
              <w:rPr>
                <w:rFonts w:ascii="Arial" w:cs="Arial" w:eastAsia="Arial" w:hAnsi="Arial"/>
                <w:sz w:val="14"/>
                <w:szCs w:val="14"/>
                <w:b w:val="1"/>
                <w:bCs w:val="1"/>
                <w:color w:val="6A6E6F"/>
              </w:rPr>
              <w:t>Incentive</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6A6E6F"/>
              </w:rPr>
              <w:t>Threshold</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6A6E6F"/>
              </w:rPr>
              <w:t>Target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6A6E6F"/>
              </w:rPr>
              <w:t>Maximum</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6A6E6F"/>
              </w:rPr>
              <w:t>Threshold</w:t>
            </w: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6A6E6F"/>
              </w:rPr>
              <w:t>Target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6A6E6F"/>
              </w:rPr>
              <w:t>Maximum</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6A6E6F"/>
              </w:rPr>
              <w:t>of Shares</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6A6E6F"/>
              </w:rPr>
              <w:t>of Stock</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6A6E6F"/>
              </w:rPr>
              <w:t>Name</w:t>
            </w:r>
          </w:p>
        </w:tc>
        <w:tc>
          <w:tcPr>
            <w:tcW w:w="1640" w:type="dxa"/>
            <w:vAlign w:val="bottom"/>
            <w:tcBorders>
              <w:bottom w:val="single" w:sz="8" w:color="E56D3D"/>
            </w:tcBorders>
          </w:tcPr>
          <w:p>
            <w:pPr>
              <w:jc w:val="right"/>
              <w:ind w:right="328"/>
              <w:spacing w:after="0"/>
              <w:rPr>
                <w:sz w:val="20"/>
                <w:szCs w:val="20"/>
                <w:color w:val="auto"/>
              </w:rPr>
            </w:pPr>
            <w:r>
              <w:rPr>
                <w:rFonts w:ascii="Arial" w:cs="Arial" w:eastAsia="Arial" w:hAnsi="Arial"/>
                <w:sz w:val="14"/>
                <w:szCs w:val="14"/>
                <w:b w:val="1"/>
                <w:bCs w:val="1"/>
                <w:color w:val="6A6E6F"/>
              </w:rPr>
              <w:t>Plan Awards</w:t>
            </w:r>
          </w:p>
        </w:tc>
        <w:tc>
          <w:tcPr>
            <w:tcW w:w="860" w:type="dxa"/>
            <w:vAlign w:val="bottom"/>
            <w:tcBorders>
              <w:bottom w:val="single" w:sz="8" w:color="E56D3D"/>
            </w:tcBorders>
          </w:tcPr>
          <w:p>
            <w:pPr>
              <w:jc w:val="right"/>
              <w:ind w:right="68"/>
              <w:spacing w:after="0"/>
              <w:rPr>
                <w:sz w:val="20"/>
                <w:szCs w:val="20"/>
                <w:color w:val="auto"/>
              </w:rPr>
            </w:pPr>
            <w:r>
              <w:rPr>
                <w:rFonts w:ascii="Arial" w:cs="Arial" w:eastAsia="Arial" w:hAnsi="Arial"/>
                <w:sz w:val="14"/>
                <w:szCs w:val="14"/>
                <w:b w:val="1"/>
                <w:bCs w:val="1"/>
                <w:color w:val="6A6E6F"/>
              </w:rPr>
              <w:t>($)</w:t>
            </w:r>
          </w:p>
        </w:tc>
        <w:tc>
          <w:tcPr>
            <w:tcW w:w="98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6A6E6F"/>
              </w:rPr>
              <w:t>($)</w:t>
            </w:r>
          </w:p>
        </w:tc>
        <w:tc>
          <w:tcPr>
            <w:tcW w:w="1100" w:type="dxa"/>
            <w:vAlign w:val="bottom"/>
            <w:tcBorders>
              <w:bottom w:val="single" w:sz="8" w:color="E56D3D"/>
            </w:tcBorders>
            <w:gridSpan w:val="2"/>
          </w:tcPr>
          <w:p>
            <w:pPr>
              <w:jc w:val="right"/>
              <w:ind w:right="240"/>
              <w:spacing w:after="0"/>
              <w:rPr>
                <w:sz w:val="20"/>
                <w:szCs w:val="20"/>
                <w:color w:val="auto"/>
              </w:rPr>
            </w:pPr>
            <w:r>
              <w:rPr>
                <w:rFonts w:ascii="Arial" w:cs="Arial" w:eastAsia="Arial" w:hAnsi="Arial"/>
                <w:sz w:val="14"/>
                <w:szCs w:val="14"/>
                <w:b w:val="1"/>
                <w:bCs w:val="1"/>
                <w:color w:val="6A6E6F"/>
              </w:rPr>
              <w:t>($)</w:t>
            </w:r>
          </w:p>
        </w:tc>
        <w:tc>
          <w:tcPr>
            <w:tcW w:w="800" w:type="dxa"/>
            <w:vAlign w:val="bottom"/>
            <w:tcBorders>
              <w:bottom w:val="single" w:sz="8" w:color="E56D3D"/>
            </w:tcBorders>
          </w:tcPr>
          <w:p>
            <w:pPr>
              <w:jc w:val="right"/>
              <w:ind w:right="28"/>
              <w:spacing w:after="0"/>
              <w:rPr>
                <w:sz w:val="20"/>
                <w:szCs w:val="20"/>
                <w:color w:val="auto"/>
              </w:rPr>
            </w:pPr>
            <w:r>
              <w:rPr>
                <w:rFonts w:ascii="Arial" w:cs="Arial" w:eastAsia="Arial" w:hAnsi="Arial"/>
                <w:sz w:val="14"/>
                <w:szCs w:val="14"/>
                <w:b w:val="1"/>
                <w:bCs w:val="1"/>
                <w:color w:val="6A6E6F"/>
              </w:rPr>
              <w:t>(#)</w:t>
            </w:r>
          </w:p>
        </w:tc>
        <w:tc>
          <w:tcPr>
            <w:tcW w:w="760" w:type="dxa"/>
            <w:vAlign w:val="bottom"/>
            <w:tcBorders>
              <w:bottom w:val="single" w:sz="8" w:color="E56D3D"/>
            </w:tcBorders>
          </w:tcPr>
          <w:p>
            <w:pPr>
              <w:jc w:val="right"/>
              <w:ind w:right="68"/>
              <w:spacing w:after="0"/>
              <w:rPr>
                <w:sz w:val="20"/>
                <w:szCs w:val="20"/>
                <w:color w:val="auto"/>
              </w:rPr>
            </w:pPr>
            <w:r>
              <w:rPr>
                <w:rFonts w:ascii="Arial" w:cs="Arial" w:eastAsia="Arial" w:hAnsi="Arial"/>
                <w:sz w:val="14"/>
                <w:szCs w:val="14"/>
                <w:b w:val="1"/>
                <w:bCs w:val="1"/>
                <w:color w:val="6A6E6F"/>
              </w:rPr>
              <w:t>(#)</w:t>
            </w:r>
          </w:p>
        </w:tc>
        <w:tc>
          <w:tcPr>
            <w:tcW w:w="920" w:type="dxa"/>
            <w:vAlign w:val="bottom"/>
            <w:tcBorders>
              <w:bottom w:val="single" w:sz="8" w:color="E56D3D"/>
            </w:tcBorders>
            <w:gridSpan w:val="2"/>
          </w:tcPr>
          <w:p>
            <w:pPr>
              <w:jc w:val="right"/>
              <w:ind w:right="140"/>
              <w:spacing w:after="0"/>
              <w:rPr>
                <w:sz w:val="20"/>
                <w:szCs w:val="20"/>
                <w:color w:val="auto"/>
              </w:rPr>
            </w:pPr>
            <w:r>
              <w:rPr>
                <w:rFonts w:ascii="Arial" w:cs="Arial" w:eastAsia="Arial" w:hAnsi="Arial"/>
                <w:sz w:val="14"/>
                <w:szCs w:val="14"/>
                <w:b w:val="1"/>
                <w:bCs w:val="1"/>
                <w:color w:val="6A6E6F"/>
              </w:rPr>
              <w:t>(#)</w:t>
            </w:r>
          </w:p>
        </w:tc>
        <w:tc>
          <w:tcPr>
            <w:tcW w:w="880" w:type="dxa"/>
            <w:vAlign w:val="bottom"/>
            <w:tcBorders>
              <w:bottom w:val="single" w:sz="8" w:color="E56D3D"/>
            </w:tcBorders>
          </w:tcPr>
          <w:p>
            <w:pPr>
              <w:jc w:val="right"/>
              <w:ind w:right="28"/>
              <w:spacing w:after="0"/>
              <w:rPr>
                <w:sz w:val="20"/>
                <w:szCs w:val="20"/>
                <w:color w:val="auto"/>
              </w:rPr>
            </w:pPr>
            <w:r>
              <w:rPr>
                <w:rFonts w:ascii="Arial" w:cs="Arial" w:eastAsia="Arial" w:hAnsi="Arial"/>
                <w:sz w:val="14"/>
                <w:szCs w:val="14"/>
                <w:b w:val="1"/>
                <w:bCs w:val="1"/>
                <w:color w:val="6A6E6F"/>
              </w:rPr>
              <w:t>of Stock</w:t>
            </w:r>
          </w:p>
        </w:tc>
        <w:tc>
          <w:tcPr>
            <w:tcW w:w="980" w:type="dxa"/>
            <w:vAlign w:val="bottom"/>
            <w:tcBorders>
              <w:bottom w:val="single" w:sz="8" w:color="E56D3D"/>
            </w:tcBorders>
          </w:tcPr>
          <w:p>
            <w:pPr>
              <w:jc w:val="right"/>
              <w:ind w:right="88"/>
              <w:spacing w:after="0"/>
              <w:rPr>
                <w:sz w:val="20"/>
                <w:szCs w:val="20"/>
                <w:color w:val="auto"/>
              </w:rPr>
            </w:pPr>
            <w:r>
              <w:rPr>
                <w:rFonts w:ascii="Arial" w:cs="Arial" w:eastAsia="Arial" w:hAnsi="Arial"/>
                <w:sz w:val="14"/>
                <w:szCs w:val="14"/>
                <w:b w:val="1"/>
                <w:bCs w:val="1"/>
                <w:color w:val="6A6E6F"/>
              </w:rPr>
              <w:t>Awards</w:t>
            </w:r>
          </w:p>
        </w:tc>
        <w:tc>
          <w:tcPr>
            <w:tcW w:w="0" w:type="dxa"/>
            <w:vAlign w:val="bottom"/>
          </w:tcPr>
          <w:p>
            <w:pPr>
              <w:spacing w:after="0"/>
              <w:rPr>
                <w:sz w:val="1"/>
                <w:szCs w:val="1"/>
                <w:color w:val="auto"/>
              </w:rPr>
            </w:pPr>
          </w:p>
        </w:tc>
      </w:tr>
      <w:tr>
        <w:trPr>
          <w:trHeight w:val="200"/>
        </w:trPr>
        <w:tc>
          <w:tcPr>
            <w:tcW w:w="2100" w:type="dxa"/>
            <w:vAlign w:val="bottom"/>
          </w:tcPr>
          <w:p>
            <w:pPr>
              <w:ind w:left="60"/>
              <w:spacing w:after="0"/>
              <w:rPr>
                <w:sz w:val="20"/>
                <w:szCs w:val="20"/>
                <w:color w:val="auto"/>
              </w:rPr>
            </w:pPr>
            <w:r>
              <w:rPr>
                <w:rFonts w:ascii="Arial" w:cs="Arial" w:eastAsia="Arial" w:hAnsi="Arial"/>
                <w:sz w:val="14"/>
                <w:szCs w:val="14"/>
                <w:color w:val="auto"/>
              </w:rPr>
              <w:t>Martin E. Stein. Jr.</w:t>
            </w:r>
          </w:p>
        </w:tc>
        <w:tc>
          <w:tcPr>
            <w:tcW w:w="1640" w:type="dxa"/>
            <w:vAlign w:val="bottom"/>
          </w:tcPr>
          <w:p>
            <w:pPr>
              <w:ind w:left="840"/>
              <w:spacing w:after="0"/>
              <w:rPr>
                <w:sz w:val="20"/>
                <w:szCs w:val="20"/>
                <w:color w:val="auto"/>
              </w:rPr>
            </w:pPr>
            <w:r>
              <w:rPr>
                <w:rFonts w:ascii="Arial" w:cs="Arial" w:eastAsia="Arial" w:hAnsi="Arial"/>
                <w:sz w:val="14"/>
                <w:szCs w:val="14"/>
                <w:color w:val="auto"/>
              </w:rPr>
              <w:t>2/4/25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100" w:type="dxa"/>
            <w:vAlign w:val="bottom"/>
          </w:tcPr>
          <w:p>
            <w:pPr>
              <w:spacing w:after="0"/>
              <w:rPr>
                <w:sz w:val="15"/>
                <w:szCs w:val="15"/>
                <w:color w:val="auto"/>
              </w:rPr>
            </w:pPr>
          </w:p>
        </w:tc>
        <w:tc>
          <w:tcPr>
            <w:tcW w:w="1640" w:type="dxa"/>
            <w:vAlign w:val="bottom"/>
          </w:tcPr>
          <w:p>
            <w:pPr>
              <w:ind w:left="840"/>
              <w:spacing w:after="0" w:line="176" w:lineRule="exact"/>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(1)</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4,180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8,359</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16,718</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4"/>
                <w:szCs w:val="14"/>
                <w:color w:val="auto"/>
              </w:rPr>
              <w:t>$701,905</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98"/>
        </w:trPr>
        <w:tc>
          <w:tcPr>
            <w:tcW w:w="2100" w:type="dxa"/>
            <w:vAlign w:val="bottom"/>
            <w:tcBorders>
              <w:bottom w:val="single" w:sz="8" w:color="B2B2B2"/>
            </w:tcBorders>
          </w:tcPr>
          <w:p>
            <w:pPr>
              <w:spacing w:after="0"/>
              <w:rPr>
                <w:sz w:val="17"/>
                <w:szCs w:val="17"/>
                <w:color w:val="auto"/>
              </w:rPr>
            </w:pPr>
          </w:p>
        </w:tc>
        <w:tc>
          <w:tcPr>
            <w:tcW w:w="1640" w:type="dxa"/>
            <w:vAlign w:val="bottom"/>
            <w:tcBorders>
              <w:bottom w:val="single" w:sz="8" w:color="B2B2B2"/>
            </w:tcBorders>
          </w:tcPr>
          <w:p>
            <w:pPr>
              <w:ind w:left="840"/>
              <w:spacing w:after="0"/>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(3)</w:t>
            </w:r>
          </w:p>
        </w:tc>
        <w:tc>
          <w:tcPr>
            <w:tcW w:w="86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2,090</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$150,000</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200"/>
        </w:trPr>
        <w:tc>
          <w:tcPr>
            <w:tcW w:w="2100" w:type="dxa"/>
            <w:vAlign w:val="bottom"/>
          </w:tcPr>
          <w:p>
            <w:pPr>
              <w:ind w:left="60"/>
              <w:spacing w:after="0"/>
              <w:rPr>
                <w:sz w:val="20"/>
                <w:szCs w:val="20"/>
                <w:color w:val="auto"/>
              </w:rPr>
            </w:pPr>
            <w:r>
              <w:rPr>
                <w:rFonts w:ascii="Arial" w:cs="Arial" w:eastAsia="Arial" w:hAnsi="Arial"/>
                <w:sz w:val="14"/>
                <w:szCs w:val="14"/>
                <w:color w:val="auto"/>
              </w:rPr>
              <w:t>Lisa Palmer</w:t>
            </w:r>
          </w:p>
        </w:tc>
        <w:tc>
          <w:tcPr>
            <w:tcW w:w="1640" w:type="dxa"/>
            <w:vAlign w:val="bottom"/>
          </w:tcPr>
          <w:p>
            <w:pPr>
              <w:ind w:left="840"/>
              <w:spacing w:after="0"/>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(4)</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$975,000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$1,950,000</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$3,900,000</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100" w:type="dxa"/>
            <w:vAlign w:val="bottom"/>
          </w:tcPr>
          <w:p>
            <w:pPr>
              <w:spacing w:after="0"/>
              <w:rPr>
                <w:sz w:val="15"/>
                <w:szCs w:val="15"/>
                <w:color w:val="auto"/>
              </w:rPr>
            </w:pPr>
          </w:p>
        </w:tc>
        <w:tc>
          <w:tcPr>
            <w:tcW w:w="1640" w:type="dxa"/>
            <w:vAlign w:val="bottom"/>
          </w:tcPr>
          <w:p>
            <w:pPr>
              <w:ind w:left="840"/>
              <w:spacing w:after="0" w:line="176" w:lineRule="exact"/>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(1)</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34,829</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69,657</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139,314</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4"/>
                <w:szCs w:val="14"/>
                <w:color w:val="auto"/>
              </w:rPr>
              <w:t>$5,849,098</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98"/>
        </w:trPr>
        <w:tc>
          <w:tcPr>
            <w:tcW w:w="2100" w:type="dxa"/>
            <w:vAlign w:val="bottom"/>
            <w:tcBorders>
              <w:bottom w:val="single" w:sz="8" w:color="B2B2B2"/>
            </w:tcBorders>
          </w:tcPr>
          <w:p>
            <w:pPr>
              <w:spacing w:after="0"/>
              <w:rPr>
                <w:sz w:val="17"/>
                <w:szCs w:val="17"/>
                <w:color w:val="auto"/>
              </w:rPr>
            </w:pPr>
          </w:p>
        </w:tc>
        <w:tc>
          <w:tcPr>
            <w:tcW w:w="1640" w:type="dxa"/>
            <w:vAlign w:val="bottom"/>
            <w:tcBorders>
              <w:bottom w:val="single" w:sz="8" w:color="B2B2B2"/>
            </w:tcBorders>
          </w:tcPr>
          <w:p>
            <w:pPr>
              <w:ind w:left="840"/>
              <w:spacing w:after="0"/>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(3)</w:t>
            </w:r>
          </w:p>
        </w:tc>
        <w:tc>
          <w:tcPr>
            <w:tcW w:w="86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17,414</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$1,250,000</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200"/>
        </w:trPr>
        <w:tc>
          <w:tcPr>
            <w:tcW w:w="2100" w:type="dxa"/>
            <w:vAlign w:val="bottom"/>
          </w:tcPr>
          <w:p>
            <w:pPr>
              <w:ind w:left="60"/>
              <w:spacing w:after="0"/>
              <w:rPr>
                <w:sz w:val="20"/>
                <w:szCs w:val="20"/>
                <w:color w:val="auto"/>
              </w:rPr>
            </w:pPr>
            <w:r>
              <w:rPr>
                <w:rFonts w:ascii="Arial" w:cs="Arial" w:eastAsia="Arial" w:hAnsi="Arial"/>
                <w:sz w:val="14"/>
                <w:szCs w:val="14"/>
                <w:color w:val="auto"/>
              </w:rPr>
              <w:t>Michael J. Mas</w:t>
            </w:r>
          </w:p>
        </w:tc>
        <w:tc>
          <w:tcPr>
            <w:tcW w:w="1640" w:type="dxa"/>
            <w:vAlign w:val="bottom"/>
          </w:tcPr>
          <w:p>
            <w:pPr>
              <w:ind w:left="840"/>
              <w:spacing w:after="0"/>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(4)</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$512,500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$1,025,000</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$2,050,000</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1640" w:type="dxa"/>
            <w:vAlign w:val="bottom"/>
          </w:tcPr>
          <w:p>
            <w:pPr>
              <w:ind w:left="840"/>
              <w:spacing w:after="0" w:line="176" w:lineRule="exact"/>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(1)</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10,923</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21,845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43,690</w:t>
            </w:r>
          </w:p>
        </w:tc>
        <w:tc>
          <w:tcPr>
            <w:tcW w:w="8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4"/>
                <w:szCs w:val="14"/>
                <w:color w:val="auto"/>
              </w:rPr>
              <w:t>$1,834,325</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98"/>
        </w:trPr>
        <w:tc>
          <w:tcPr>
            <w:tcW w:w="2100" w:type="dxa"/>
            <w:vAlign w:val="bottom"/>
            <w:tcBorders>
              <w:bottom w:val="single" w:sz="8" w:color="B2B2B2"/>
            </w:tcBorders>
          </w:tcPr>
          <w:p>
            <w:pPr>
              <w:spacing w:after="0"/>
              <w:rPr>
                <w:sz w:val="17"/>
                <w:szCs w:val="17"/>
                <w:color w:val="auto"/>
              </w:rPr>
            </w:pPr>
          </w:p>
        </w:tc>
        <w:tc>
          <w:tcPr>
            <w:tcW w:w="1640" w:type="dxa"/>
            <w:vAlign w:val="bottom"/>
            <w:tcBorders>
              <w:bottom w:val="single" w:sz="8" w:color="B2B2B2"/>
            </w:tcBorders>
          </w:tcPr>
          <w:p>
            <w:pPr>
              <w:ind w:left="840"/>
              <w:spacing w:after="0"/>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(3)</w:t>
            </w:r>
          </w:p>
        </w:tc>
        <w:tc>
          <w:tcPr>
            <w:tcW w:w="86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5,461</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$392,000</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200"/>
        </w:trPr>
        <w:tc>
          <w:tcPr>
            <w:tcW w:w="2100" w:type="dxa"/>
            <w:vAlign w:val="bottom"/>
          </w:tcPr>
          <w:p>
            <w:pPr>
              <w:ind w:left="60"/>
              <w:spacing w:after="0"/>
              <w:rPr>
                <w:sz w:val="20"/>
                <w:szCs w:val="20"/>
                <w:color w:val="auto"/>
              </w:rPr>
            </w:pPr>
            <w:r>
              <w:rPr>
                <w:rFonts w:ascii="Arial" w:cs="Arial" w:eastAsia="Arial" w:hAnsi="Arial"/>
                <w:sz w:val="14"/>
                <w:szCs w:val="14"/>
                <w:color w:val="auto"/>
              </w:rPr>
              <w:t>Alan T. Roth</w:t>
            </w:r>
          </w:p>
        </w:tc>
        <w:tc>
          <w:tcPr>
            <w:tcW w:w="1640" w:type="dxa"/>
            <w:vAlign w:val="bottom"/>
          </w:tcPr>
          <w:p>
            <w:pPr>
              <w:ind w:left="840"/>
              <w:spacing w:after="0"/>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(4)</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$312,500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$625,000</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$1,250,000</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1640" w:type="dxa"/>
            <w:vAlign w:val="bottom"/>
          </w:tcPr>
          <w:p>
            <w:pPr>
              <w:ind w:left="840"/>
              <w:spacing w:after="0" w:line="176" w:lineRule="exact"/>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(1)</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8,359</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16,718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33,436</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4"/>
                <w:szCs w:val="14"/>
                <w:color w:val="auto"/>
              </w:rPr>
              <w:t>$1,403,810</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98"/>
        </w:trPr>
        <w:tc>
          <w:tcPr>
            <w:tcW w:w="2100" w:type="dxa"/>
            <w:vAlign w:val="bottom"/>
            <w:tcBorders>
              <w:bottom w:val="single" w:sz="8" w:color="B2B2B2"/>
            </w:tcBorders>
          </w:tcPr>
          <w:p>
            <w:pPr>
              <w:spacing w:after="0"/>
              <w:rPr>
                <w:sz w:val="17"/>
                <w:szCs w:val="17"/>
                <w:color w:val="auto"/>
              </w:rPr>
            </w:pPr>
          </w:p>
        </w:tc>
        <w:tc>
          <w:tcPr>
            <w:tcW w:w="1640" w:type="dxa"/>
            <w:vAlign w:val="bottom"/>
            <w:tcBorders>
              <w:bottom w:val="single" w:sz="8" w:color="B2B2B2"/>
            </w:tcBorders>
          </w:tcPr>
          <w:p>
            <w:pPr>
              <w:ind w:left="840"/>
              <w:spacing w:after="0"/>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(3)</w:t>
            </w:r>
          </w:p>
        </w:tc>
        <w:tc>
          <w:tcPr>
            <w:tcW w:w="86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4,179</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$300,000</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200"/>
        </w:trPr>
        <w:tc>
          <w:tcPr>
            <w:tcW w:w="2100" w:type="dxa"/>
            <w:vAlign w:val="bottom"/>
          </w:tcPr>
          <w:p>
            <w:pPr>
              <w:ind w:left="60"/>
              <w:spacing w:after="0"/>
              <w:rPr>
                <w:sz w:val="20"/>
                <w:szCs w:val="20"/>
                <w:color w:val="auto"/>
              </w:rPr>
            </w:pPr>
            <w:r>
              <w:rPr>
                <w:rFonts w:ascii="Arial" w:cs="Arial" w:eastAsia="Arial" w:hAnsi="Arial"/>
                <w:sz w:val="14"/>
                <w:szCs w:val="14"/>
                <w:color w:val="auto"/>
              </w:rPr>
              <w:t>Nicholas A. Wibbenmeyer</w:t>
            </w:r>
          </w:p>
        </w:tc>
        <w:tc>
          <w:tcPr>
            <w:tcW w:w="1640" w:type="dxa"/>
            <w:vAlign w:val="bottom"/>
          </w:tcPr>
          <w:p>
            <w:pPr>
              <w:ind w:left="840"/>
              <w:spacing w:after="0"/>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(4)</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$312,500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$625,000</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$1,250,000</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640" w:type="dxa"/>
            <w:vAlign w:val="bottom"/>
          </w:tcPr>
          <w:p>
            <w:pPr>
              <w:ind w:left="840"/>
              <w:spacing w:after="0" w:line="162" w:lineRule="exact"/>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(1)</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8,359</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16,718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33,436</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62" w:lineRule="exact"/>
              <w:rPr>
                <w:sz w:val="20"/>
                <w:szCs w:val="20"/>
                <w:color w:val="auto"/>
              </w:rPr>
            </w:pPr>
            <w:r>
              <w:rPr>
                <w:rFonts w:ascii="Arial" w:cs="Arial" w:eastAsia="Arial" w:hAnsi="Arial"/>
                <w:sz w:val="14"/>
                <w:szCs w:val="14"/>
                <w:color w:val="auto"/>
              </w:rPr>
              <w:t>$1,403,810</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98"/>
        </w:trPr>
        <w:tc>
          <w:tcPr>
            <w:tcW w:w="2100" w:type="dxa"/>
            <w:vAlign w:val="bottom"/>
            <w:tcBorders>
              <w:bottom w:val="single" w:sz="8" w:color="E56D3D"/>
            </w:tcBorders>
          </w:tcPr>
          <w:p>
            <w:pPr>
              <w:spacing w:after="0"/>
              <w:rPr>
                <w:sz w:val="17"/>
                <w:szCs w:val="17"/>
                <w:color w:val="auto"/>
              </w:rPr>
            </w:pPr>
          </w:p>
        </w:tc>
        <w:tc>
          <w:tcPr>
            <w:tcW w:w="1640" w:type="dxa"/>
            <w:vAlign w:val="bottom"/>
            <w:tcBorders>
              <w:bottom w:val="single" w:sz="8" w:color="E56D3D"/>
            </w:tcBorders>
          </w:tcPr>
          <w:p>
            <w:pPr>
              <w:ind w:left="840"/>
              <w:spacing w:after="0"/>
              <w:rPr>
                <w:sz w:val="20"/>
                <w:szCs w:val="20"/>
                <w:color w:val="auto"/>
              </w:rPr>
            </w:pPr>
            <w:r>
              <w:rPr>
                <w:rFonts w:ascii="Arial" w:cs="Arial" w:eastAsia="Arial" w:hAnsi="Arial"/>
                <w:sz w:val="14"/>
                <w:szCs w:val="14"/>
                <w:color w:val="auto"/>
              </w:rPr>
              <w:t>2/4/25</w:t>
            </w:r>
            <w:r>
              <w:rPr>
                <w:rFonts w:ascii="Arial" w:cs="Arial" w:eastAsia="Arial" w:hAnsi="Arial"/>
                <w:sz w:val="17"/>
                <w:szCs w:val="17"/>
                <w:color w:val="auto"/>
                <w:vertAlign w:val="superscript"/>
              </w:rPr>
              <w:t>(3)</w:t>
            </w:r>
          </w:p>
        </w:tc>
        <w:tc>
          <w:tcPr>
            <w:tcW w:w="860" w:type="dxa"/>
            <w:vAlign w:val="bottom"/>
            <w:tcBorders>
              <w:bottom w:val="single" w:sz="8" w:color="E56D3D"/>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E56D3D"/>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6D3D"/>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6D3D"/>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6D3D"/>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56D3D"/>
            </w:tcBorders>
          </w:tcPr>
          <w:p>
            <w:pPr>
              <w:jc w:val="right"/>
              <w:ind w:right="28"/>
              <w:spacing w:after="0"/>
              <w:rPr>
                <w:sz w:val="20"/>
                <w:szCs w:val="20"/>
                <w:color w:val="auto"/>
              </w:rPr>
            </w:pPr>
            <w:r>
              <w:rPr>
                <w:rFonts w:ascii="Arial" w:cs="Arial" w:eastAsia="Arial" w:hAnsi="Arial"/>
                <w:sz w:val="14"/>
                <w:szCs w:val="14"/>
                <w:color w:val="auto"/>
              </w:rPr>
              <w:t>4,179</w:t>
            </w:r>
          </w:p>
        </w:tc>
        <w:tc>
          <w:tcPr>
            <w:tcW w:w="980" w:type="dxa"/>
            <w:vAlign w:val="bottom"/>
            <w:tcBorders>
              <w:bottom w:val="single" w:sz="8" w:color="E56D3D"/>
            </w:tcBorders>
          </w:tcPr>
          <w:p>
            <w:pPr>
              <w:jc w:val="right"/>
              <w:spacing w:after="0"/>
              <w:rPr>
                <w:sz w:val="20"/>
                <w:szCs w:val="20"/>
                <w:color w:val="auto"/>
              </w:rPr>
            </w:pPr>
            <w:r>
              <w:rPr>
                <w:rFonts w:ascii="Arial" w:cs="Arial" w:eastAsia="Arial" w:hAnsi="Arial"/>
                <w:sz w:val="14"/>
                <w:szCs w:val="14"/>
                <w:color w:val="auto"/>
              </w:rPr>
              <w:t>$300,000</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4" w:right="80" w:hanging="4"/>
        <w:spacing w:after="0" w:line="221" w:lineRule="auto"/>
        <w:tabs>
          <w:tab w:leader="none" w:pos="193"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shown represent the range of stock awards that may be earned under our 2025 long-term incentive plan during 2025 through 2027 based on relative total shareholder return as against the FTSE Nareit Equity Shopping Centers Index. The threshold level represents 50% of target, but there can be a payout interpolated between 0% and 50% depending on performance. The amounts are based upon $71.78, which was the closing market price per share of our common stock on the grant date. Any earned award, together with dividend equivalents on the earned awards, will vest on February 4, 2028, and be paid in shares. For additional information, see “Compensation Discussion and Analysis” in this proxy statement.</w:t>
      </w:r>
    </w:p>
    <w:p>
      <w:pPr>
        <w:spacing w:after="0" w:line="1" w:lineRule="exact"/>
        <w:rPr>
          <w:rFonts w:ascii="Arial" w:cs="Arial" w:eastAsia="Arial" w:hAnsi="Arial"/>
          <w:sz w:val="13"/>
          <w:szCs w:val="13"/>
          <w:color w:val="auto"/>
        </w:rPr>
      </w:pPr>
    </w:p>
    <w:p>
      <w:pPr>
        <w:ind w:left="4" w:right="60" w:hanging="4"/>
        <w:spacing w:after="0" w:line="234" w:lineRule="auto"/>
        <w:tabs>
          <w:tab w:leader="none" w:pos="193" w:val="left"/>
        </w:tabs>
        <w:numPr>
          <w:ilvl w:val="0"/>
          <w:numId w:val="65"/>
        </w:numPr>
        <w:rPr>
          <w:rFonts w:ascii="Arial" w:cs="Arial" w:eastAsia="Arial" w:hAnsi="Arial"/>
          <w:sz w:val="12"/>
          <w:szCs w:val="12"/>
          <w:color w:val="auto"/>
        </w:rPr>
      </w:pPr>
      <w:r>
        <w:rPr>
          <w:rFonts w:ascii="Arial" w:cs="Arial" w:eastAsia="Arial" w:hAnsi="Arial"/>
          <w:sz w:val="12"/>
          <w:szCs w:val="12"/>
          <w:color w:val="auto"/>
        </w:rPr>
        <w:t>We use a Monte Carlo simulation model to value market-based awards, i.e., for performance awards based upon relative total shareholder return. Our model estimates the fair value of the award based on our data and that of the FTSE Nareit Equity Shopping Centers Index. The February 4, 2025 awards assumed (a) stock price volatility of 23.8.% for Regency and 23.3% for the index,</w:t>
      </w:r>
    </w:p>
    <w:p>
      <w:pPr>
        <w:jc w:val="both"/>
        <w:ind w:left="4" w:right="60"/>
        <w:spacing w:after="0" w:line="234" w:lineRule="auto"/>
        <w:rPr>
          <w:rFonts w:ascii="Arial" w:cs="Arial" w:eastAsia="Arial" w:hAnsi="Arial"/>
          <w:sz w:val="12"/>
          <w:szCs w:val="12"/>
          <w:color w:val="auto"/>
        </w:rPr>
      </w:pPr>
      <w:r>
        <w:rPr>
          <w:rFonts w:ascii="Arial" w:cs="Arial" w:eastAsia="Arial" w:hAnsi="Arial"/>
          <w:sz w:val="12"/>
          <w:szCs w:val="12"/>
          <w:color w:val="auto"/>
        </w:rPr>
        <w:t>(b) risk-free interest rates of 4.25%, (c) Regency’s beta versus the index of 0.941, and (d) no dividend yield assumption given that the award includes dividend equivalents that are earned only to the extent that the underlying shares are earned. Based on the performance goals and these capital markets assumptions, the market-based awards granted on February 4, 2025 were valued at $83.97 per share on the probable outcome of the performance conditions as of the grant date of such awards (which was at target) and were determined as of the grant date using the Monte Carlo model.</w:t>
      </w:r>
    </w:p>
    <w:p>
      <w:pPr>
        <w:spacing w:after="0" w:line="1" w:lineRule="exact"/>
        <w:rPr>
          <w:rFonts w:ascii="Arial" w:cs="Arial" w:eastAsia="Arial" w:hAnsi="Arial"/>
          <w:sz w:val="12"/>
          <w:szCs w:val="12"/>
          <w:color w:val="auto"/>
        </w:rPr>
      </w:pPr>
    </w:p>
    <w:p>
      <w:pPr>
        <w:ind w:left="184" w:hanging="184"/>
        <w:spacing w:after="0" w:line="216" w:lineRule="auto"/>
        <w:tabs>
          <w:tab w:leader="none" w:pos="184"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amounts shown are for restricted share awards granted in 2025 that vest 25% per year over four years beginning in 2026.</w:t>
      </w:r>
    </w:p>
    <w:p>
      <w:pPr>
        <w:ind w:left="4" w:right="80" w:hanging="4"/>
        <w:spacing w:after="0" w:line="231" w:lineRule="auto"/>
        <w:tabs>
          <w:tab w:leader="none" w:pos="193"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amount shown represents the range of possible cash incentive awards that could have been earned under our 2025 incentive plan for our Core Operating Earnings per Share and Corporate Responsibility performance in 2025.</w:t>
      </w:r>
    </w:p>
    <w:p>
      <w:pPr>
        <w:spacing w:after="0" w:line="118" w:lineRule="exact"/>
        <w:rPr>
          <w:sz w:val="20"/>
          <w:szCs w:val="20"/>
          <w:color w:val="auto"/>
        </w:rPr>
      </w:pPr>
    </w:p>
    <w:p>
      <w:pPr>
        <w:ind w:left="7884"/>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41</w:t>
      </w:r>
    </w:p>
    <w:p>
      <w:pPr>
        <w:sectPr>
          <w:pgSz w:w="11900" w:h="16838" w:orient="portrait"/>
          <w:cols w:equalWidth="0" w:num="1">
            <w:col w:w="11024"/>
          </w:cols>
          <w:pgMar w:left="436" w:top="291" w:right="439" w:bottom="1440" w:gutter="0" w:footer="0" w:header="0"/>
        </w:sectPr>
      </w:pPr>
    </w:p>
    <w:bookmarkStart w:id="47" w:name="page48"/>
    <w:bookmarkEnd w:id="47"/>
    <w:p>
      <w:pPr>
        <w:ind w:left="4"/>
        <w:spacing w:after="0"/>
        <w:rPr>
          <w:sz w:val="20"/>
          <w:szCs w:val="20"/>
          <w:color w:val="auto"/>
        </w:rPr>
      </w:pPr>
      <w:r>
        <w:rPr>
          <w:rFonts w:ascii="Arial" w:cs="Arial" w:eastAsia="Arial" w:hAnsi="Arial"/>
          <w:sz w:val="20"/>
          <w:szCs w:val="20"/>
          <w:b w:val="1"/>
          <w:bCs w:val="1"/>
          <w:color w:val="E56D3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t>
      </w:r>
      <w:r>
        <w:rPr>
          <w:rFonts w:ascii="Arial" w:cs="Arial" w:eastAsia="Arial" w:hAnsi="Arial"/>
          <w:sz w:val="16"/>
          <w:szCs w:val="16"/>
          <w:b w:val="1"/>
          <w:bCs w:val="1"/>
          <w:color w:val="000000"/>
        </w:rPr>
        <w:t> Executive Compensation</w:t>
      </w:r>
    </w:p>
    <w:p>
      <w:pPr>
        <w:spacing w:after="0" w:line="130"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6A6E6F"/>
        </w:rPr>
        <w:t>Outstanding Equity Awards</w:t>
      </w:r>
    </w:p>
    <w:p>
      <w:pPr>
        <w:spacing w:after="0" w:line="72" w:lineRule="exact"/>
        <w:rPr>
          <w:sz w:val="20"/>
          <w:szCs w:val="20"/>
          <w:color w:val="auto"/>
        </w:rPr>
      </w:pPr>
    </w:p>
    <w:p>
      <w:pPr>
        <w:ind w:left="4" w:right="420"/>
        <w:spacing w:after="0" w:line="286" w:lineRule="auto"/>
        <w:rPr>
          <w:sz w:val="20"/>
          <w:szCs w:val="20"/>
          <w:color w:val="auto"/>
        </w:rPr>
      </w:pPr>
      <w:r>
        <w:rPr>
          <w:rFonts w:ascii="Arial" w:cs="Arial" w:eastAsia="Arial" w:hAnsi="Arial"/>
          <w:sz w:val="16"/>
          <w:szCs w:val="16"/>
          <w:color w:val="auto"/>
        </w:rPr>
        <w:t>The following table sets forth information about outstanding equity awards held on December 31, 2025 by our NEOs. The amounts include unvested dividend equivalent units earned as of December 31, 2025.</w:t>
      </w:r>
    </w:p>
    <w:p>
      <w:pPr>
        <w:spacing w:after="0" w:line="15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OUTSTANDING EQUITY AWARDS AT FISCAL YEAR END 2025</w:t>
      </w:r>
    </w:p>
    <w:p>
      <w:pPr>
        <w:spacing w:after="0" w:line="262"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3160" w:type="dxa"/>
            <w:vAlign w:val="bottom"/>
            <w:tcBorders>
              <w:bottom w:val="single" w:sz="8" w:color="E56D3D"/>
            </w:tcBorders>
          </w:tcPr>
          <w:p>
            <w:pPr>
              <w:spacing w:after="0"/>
              <w:rPr>
                <w:sz w:val="17"/>
                <w:szCs w:val="17"/>
                <w:color w:val="auto"/>
              </w:rPr>
            </w:pPr>
          </w:p>
        </w:tc>
        <w:tc>
          <w:tcPr>
            <w:tcW w:w="2820" w:type="dxa"/>
            <w:vAlign w:val="bottom"/>
            <w:tcBorders>
              <w:bottom w:val="single" w:sz="8" w:color="E56D3D"/>
            </w:tcBorders>
          </w:tcPr>
          <w:p>
            <w:pPr>
              <w:spacing w:after="0"/>
              <w:rPr>
                <w:sz w:val="17"/>
                <w:szCs w:val="17"/>
                <w:color w:val="auto"/>
              </w:rPr>
            </w:pPr>
          </w:p>
        </w:tc>
        <w:tc>
          <w:tcPr>
            <w:tcW w:w="1560" w:type="dxa"/>
            <w:vAlign w:val="bottom"/>
            <w:tcBorders>
              <w:bottom w:val="single" w:sz="8" w:color="E56D3D"/>
            </w:tcBorders>
          </w:tcPr>
          <w:p>
            <w:pPr>
              <w:spacing w:after="0"/>
              <w:rPr>
                <w:sz w:val="17"/>
                <w:szCs w:val="17"/>
                <w:color w:val="auto"/>
              </w:rPr>
            </w:pPr>
          </w:p>
        </w:tc>
        <w:tc>
          <w:tcPr>
            <w:tcW w:w="1840" w:type="dxa"/>
            <w:vAlign w:val="bottom"/>
            <w:tcBorders>
              <w:bottom w:val="single" w:sz="8" w:color="E56D3D"/>
            </w:tcBorders>
          </w:tcPr>
          <w:p>
            <w:pPr>
              <w:spacing w:after="0"/>
              <w:rPr>
                <w:sz w:val="17"/>
                <w:szCs w:val="17"/>
                <w:color w:val="auto"/>
              </w:rPr>
            </w:pPr>
          </w:p>
        </w:tc>
        <w:tc>
          <w:tcPr>
            <w:tcW w:w="1640" w:type="dxa"/>
            <w:vAlign w:val="bottom"/>
            <w:tcBorders>
              <w:bottom w:val="single" w:sz="8" w:color="E56D3D"/>
            </w:tcBorders>
          </w:tcPr>
          <w:p>
            <w:pPr>
              <w:jc w:val="right"/>
              <w:spacing w:after="0"/>
              <w:rPr>
                <w:sz w:val="20"/>
                <w:szCs w:val="20"/>
                <w:color w:val="auto"/>
              </w:rPr>
            </w:pPr>
            <w:r>
              <w:rPr>
                <w:rFonts w:ascii="Arial" w:cs="Arial" w:eastAsia="Arial" w:hAnsi="Arial"/>
                <w:sz w:val="14"/>
                <w:szCs w:val="14"/>
                <w:b w:val="1"/>
                <w:bCs w:val="1"/>
                <w:color w:val="E56D3D"/>
              </w:rPr>
              <w:t>Stock Awards</w:t>
            </w:r>
          </w:p>
        </w:tc>
      </w:tr>
      <w:tr>
        <w:trPr>
          <w:trHeight w:val="201"/>
        </w:trPr>
        <w:tc>
          <w:tcPr>
            <w:tcW w:w="3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40" w:type="dxa"/>
            <w:vAlign w:val="bottom"/>
          </w:tcPr>
          <w:p>
            <w:pPr>
              <w:jc w:val="right"/>
              <w:ind w:right="188"/>
              <w:spacing w:after="0"/>
              <w:rPr>
                <w:sz w:val="20"/>
                <w:szCs w:val="20"/>
                <w:color w:val="auto"/>
              </w:rPr>
            </w:pPr>
            <w:r>
              <w:rPr>
                <w:rFonts w:ascii="Arial" w:cs="Arial" w:eastAsia="Arial" w:hAnsi="Arial"/>
                <w:sz w:val="14"/>
                <w:szCs w:val="14"/>
                <w:b w:val="1"/>
                <w:bCs w:val="1"/>
                <w:color w:val="6A6E6F"/>
              </w:rPr>
              <w:t>Equity Incentive</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6A6E6F"/>
              </w:rPr>
              <w:t>Equity Incentive</w:t>
            </w:r>
          </w:p>
        </w:tc>
      </w:tr>
      <w:tr>
        <w:trPr>
          <w:trHeight w:val="162"/>
        </w:trPr>
        <w:tc>
          <w:tcPr>
            <w:tcW w:w="3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Arial" w:cs="Arial" w:eastAsia="Arial" w:hAnsi="Arial"/>
                <w:sz w:val="14"/>
                <w:szCs w:val="14"/>
                <w:b w:val="1"/>
                <w:bCs w:val="1"/>
                <w:color w:val="6A6E6F"/>
              </w:rPr>
              <w:t>Plan Awards: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6A6E6F"/>
              </w:rPr>
              <w:t>Plan Awards:</w:t>
            </w:r>
          </w:p>
        </w:tc>
      </w:tr>
      <w:tr>
        <w:trPr>
          <w:trHeight w:val="162"/>
        </w:trPr>
        <w:tc>
          <w:tcPr>
            <w:tcW w:w="3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Arial" w:cs="Arial" w:eastAsia="Arial" w:hAnsi="Arial"/>
                <w:sz w:val="14"/>
                <w:szCs w:val="14"/>
                <w:b w:val="1"/>
                <w:bCs w:val="1"/>
                <w:color w:val="6A6E6F"/>
              </w:rPr>
              <w:t>Number of Unearned</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6A6E6F"/>
              </w:rPr>
              <w:t>Market or Payout</w:t>
            </w:r>
          </w:p>
        </w:tc>
      </w:tr>
      <w:tr>
        <w:trPr>
          <w:trHeight w:val="162"/>
        </w:trPr>
        <w:tc>
          <w:tcPr>
            <w:tcW w:w="3160" w:type="dxa"/>
            <w:vAlign w:val="bottom"/>
          </w:tcPr>
          <w:p>
            <w:pPr>
              <w:spacing w:after="0"/>
              <w:rPr>
                <w:sz w:val="14"/>
                <w:szCs w:val="14"/>
                <w:color w:val="auto"/>
              </w:rPr>
            </w:pPr>
          </w:p>
        </w:tc>
        <w:tc>
          <w:tcPr>
            <w:tcW w:w="2820" w:type="dxa"/>
            <w:vAlign w:val="bottom"/>
          </w:tcPr>
          <w:p>
            <w:pPr>
              <w:jc w:val="right"/>
              <w:ind w:right="88"/>
              <w:spacing w:after="0"/>
              <w:rPr>
                <w:sz w:val="20"/>
                <w:szCs w:val="20"/>
                <w:color w:val="auto"/>
              </w:rPr>
            </w:pPr>
            <w:r>
              <w:rPr>
                <w:rFonts w:ascii="Arial" w:cs="Arial" w:eastAsia="Arial" w:hAnsi="Arial"/>
                <w:sz w:val="14"/>
                <w:szCs w:val="14"/>
                <w:b w:val="1"/>
                <w:bCs w:val="1"/>
                <w:color w:val="6A6E6F"/>
              </w:rPr>
              <w:t>Number of Shares</w:t>
            </w: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6A6E6F"/>
              </w:rPr>
              <w:t>Market Value of</w:t>
            </w:r>
          </w:p>
        </w:tc>
        <w:tc>
          <w:tcPr>
            <w:tcW w:w="1840" w:type="dxa"/>
            <w:vAlign w:val="bottom"/>
          </w:tcPr>
          <w:p>
            <w:pPr>
              <w:jc w:val="right"/>
              <w:ind w:right="188"/>
              <w:spacing w:after="0"/>
              <w:rPr>
                <w:sz w:val="20"/>
                <w:szCs w:val="20"/>
                <w:color w:val="auto"/>
              </w:rPr>
            </w:pPr>
            <w:r>
              <w:rPr>
                <w:rFonts w:ascii="Arial" w:cs="Arial" w:eastAsia="Arial" w:hAnsi="Arial"/>
                <w:sz w:val="14"/>
                <w:szCs w:val="14"/>
                <w:b w:val="1"/>
                <w:bCs w:val="1"/>
                <w:color w:val="6A6E6F"/>
              </w:rPr>
              <w:t>Shares, Units or</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6A6E6F"/>
              </w:rPr>
              <w:t>Value of Unearned</w:t>
            </w:r>
          </w:p>
        </w:tc>
      </w:tr>
      <w:tr>
        <w:trPr>
          <w:trHeight w:val="162"/>
        </w:trPr>
        <w:tc>
          <w:tcPr>
            <w:tcW w:w="3160" w:type="dxa"/>
            <w:vAlign w:val="bottom"/>
          </w:tcPr>
          <w:p>
            <w:pPr>
              <w:spacing w:after="0"/>
              <w:rPr>
                <w:sz w:val="14"/>
                <w:szCs w:val="14"/>
                <w:color w:val="auto"/>
              </w:rPr>
            </w:pPr>
          </w:p>
        </w:tc>
        <w:tc>
          <w:tcPr>
            <w:tcW w:w="2820" w:type="dxa"/>
            <w:vAlign w:val="bottom"/>
          </w:tcPr>
          <w:p>
            <w:pPr>
              <w:jc w:val="right"/>
              <w:ind w:right="88"/>
              <w:spacing w:after="0"/>
              <w:rPr>
                <w:sz w:val="20"/>
                <w:szCs w:val="20"/>
                <w:color w:val="auto"/>
              </w:rPr>
            </w:pPr>
            <w:r>
              <w:rPr>
                <w:rFonts w:ascii="Arial" w:cs="Arial" w:eastAsia="Arial" w:hAnsi="Arial"/>
                <w:sz w:val="14"/>
                <w:szCs w:val="14"/>
                <w:b w:val="1"/>
                <w:bCs w:val="1"/>
                <w:color w:val="6A6E6F"/>
              </w:rPr>
              <w:t>or Units of Stock</w:t>
            </w: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6A6E6F"/>
              </w:rPr>
              <w:t>Shares or Units of</w:t>
            </w:r>
          </w:p>
        </w:tc>
        <w:tc>
          <w:tcPr>
            <w:tcW w:w="1840" w:type="dxa"/>
            <w:vAlign w:val="bottom"/>
          </w:tcPr>
          <w:p>
            <w:pPr>
              <w:jc w:val="right"/>
              <w:ind w:right="188"/>
              <w:spacing w:after="0"/>
              <w:rPr>
                <w:sz w:val="20"/>
                <w:szCs w:val="20"/>
                <w:color w:val="auto"/>
              </w:rPr>
            </w:pPr>
            <w:r>
              <w:rPr>
                <w:rFonts w:ascii="Arial" w:cs="Arial" w:eastAsia="Arial" w:hAnsi="Arial"/>
                <w:sz w:val="14"/>
                <w:szCs w:val="14"/>
                <w:b w:val="1"/>
                <w:bCs w:val="1"/>
                <w:color w:val="6A6E6F"/>
              </w:rPr>
              <w:t>Other Rights That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6A6E6F"/>
              </w:rPr>
              <w:t>Shares, Units or</w:t>
            </w:r>
          </w:p>
        </w:tc>
      </w:tr>
      <w:tr>
        <w:trPr>
          <w:trHeight w:val="162"/>
        </w:trPr>
        <w:tc>
          <w:tcPr>
            <w:tcW w:w="3160" w:type="dxa"/>
            <w:vAlign w:val="bottom"/>
          </w:tcPr>
          <w:p>
            <w:pPr>
              <w:spacing w:after="0"/>
              <w:rPr>
                <w:sz w:val="14"/>
                <w:szCs w:val="14"/>
                <w:color w:val="auto"/>
              </w:rPr>
            </w:pPr>
          </w:p>
        </w:tc>
        <w:tc>
          <w:tcPr>
            <w:tcW w:w="2820" w:type="dxa"/>
            <w:vAlign w:val="bottom"/>
          </w:tcPr>
          <w:p>
            <w:pPr>
              <w:jc w:val="right"/>
              <w:ind w:right="88"/>
              <w:spacing w:after="0"/>
              <w:rPr>
                <w:sz w:val="20"/>
                <w:szCs w:val="20"/>
                <w:color w:val="auto"/>
              </w:rPr>
            </w:pPr>
            <w:r>
              <w:rPr>
                <w:rFonts w:ascii="Arial" w:cs="Arial" w:eastAsia="Arial" w:hAnsi="Arial"/>
                <w:sz w:val="14"/>
                <w:szCs w:val="14"/>
                <w:b w:val="1"/>
                <w:bCs w:val="1"/>
                <w:color w:val="6A6E6F"/>
              </w:rPr>
              <w:t>That Have Not</w:t>
            </w: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6A6E6F"/>
              </w:rPr>
              <w:t>Stock That Have</w:t>
            </w:r>
          </w:p>
        </w:tc>
        <w:tc>
          <w:tcPr>
            <w:tcW w:w="1840" w:type="dxa"/>
            <w:vAlign w:val="bottom"/>
          </w:tcPr>
          <w:p>
            <w:pPr>
              <w:jc w:val="right"/>
              <w:ind w:right="188"/>
              <w:spacing w:after="0"/>
              <w:rPr>
                <w:sz w:val="20"/>
                <w:szCs w:val="20"/>
                <w:color w:val="auto"/>
              </w:rPr>
            </w:pPr>
            <w:r>
              <w:rPr>
                <w:rFonts w:ascii="Arial" w:cs="Arial" w:eastAsia="Arial" w:hAnsi="Arial"/>
                <w:sz w:val="14"/>
                <w:szCs w:val="14"/>
                <w:b w:val="1"/>
                <w:bCs w:val="1"/>
                <w:color w:val="6A6E6F"/>
              </w:rPr>
              <w:t>Have Not Vested</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6A6E6F"/>
              </w:rPr>
              <w:t>Other Rights That</w:t>
            </w:r>
          </w:p>
        </w:tc>
      </w:tr>
      <w:tr>
        <w:trPr>
          <w:trHeight w:val="185"/>
        </w:trPr>
        <w:tc>
          <w:tcPr>
            <w:tcW w:w="316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6A6E6F"/>
              </w:rPr>
              <w:t>Name</w:t>
            </w:r>
          </w:p>
        </w:tc>
        <w:tc>
          <w:tcPr>
            <w:tcW w:w="2820" w:type="dxa"/>
            <w:vAlign w:val="bottom"/>
            <w:tcBorders>
              <w:bottom w:val="single" w:sz="8" w:color="E56D3D"/>
            </w:tcBorders>
          </w:tcPr>
          <w:p>
            <w:pPr>
              <w:jc w:val="right"/>
              <w:ind w:right="88"/>
              <w:spacing w:after="0" w:line="185" w:lineRule="exact"/>
              <w:rPr>
                <w:sz w:val="20"/>
                <w:szCs w:val="20"/>
                <w:color w:val="auto"/>
              </w:rPr>
            </w:pPr>
            <w:r>
              <w:rPr>
                <w:rFonts w:ascii="Arial" w:cs="Arial" w:eastAsia="Arial" w:hAnsi="Arial"/>
                <w:sz w:val="14"/>
                <w:szCs w:val="14"/>
                <w:b w:val="1"/>
                <w:bCs w:val="1"/>
                <w:color w:val="6A6E6F"/>
              </w:rPr>
              <w:t>Vested (#)</w:t>
            </w:r>
            <w:r>
              <w:rPr>
                <w:rFonts w:ascii="Arial" w:cs="Arial" w:eastAsia="Arial" w:hAnsi="Arial"/>
                <w:sz w:val="17"/>
                <w:szCs w:val="17"/>
                <w:b w:val="1"/>
                <w:bCs w:val="1"/>
                <w:color w:val="6A6E6F"/>
                <w:vertAlign w:val="superscript"/>
              </w:rPr>
              <w:t>(1)</w:t>
            </w:r>
          </w:p>
        </w:tc>
        <w:tc>
          <w:tcPr>
            <w:tcW w:w="1560" w:type="dxa"/>
            <w:vAlign w:val="bottom"/>
            <w:tcBorders>
              <w:bottom w:val="single" w:sz="8" w:color="E56D3D"/>
            </w:tcBorders>
          </w:tcPr>
          <w:p>
            <w:pPr>
              <w:jc w:val="right"/>
              <w:ind w:right="88"/>
              <w:spacing w:after="0" w:line="185" w:lineRule="exact"/>
              <w:rPr>
                <w:sz w:val="20"/>
                <w:szCs w:val="20"/>
                <w:color w:val="auto"/>
              </w:rPr>
            </w:pPr>
            <w:r>
              <w:rPr>
                <w:rFonts w:ascii="Arial" w:cs="Arial" w:eastAsia="Arial" w:hAnsi="Arial"/>
                <w:sz w:val="14"/>
                <w:szCs w:val="14"/>
                <w:b w:val="1"/>
                <w:bCs w:val="1"/>
                <w:color w:val="6A6E6F"/>
              </w:rPr>
              <w:t>Not Vested ($)</w:t>
            </w:r>
            <w:r>
              <w:rPr>
                <w:rFonts w:ascii="Arial" w:cs="Arial" w:eastAsia="Arial" w:hAnsi="Arial"/>
                <w:sz w:val="17"/>
                <w:szCs w:val="17"/>
                <w:b w:val="1"/>
                <w:bCs w:val="1"/>
                <w:color w:val="6A6E6F"/>
                <w:vertAlign w:val="superscript"/>
              </w:rPr>
              <w:t>(2)</w:t>
            </w:r>
          </w:p>
        </w:tc>
        <w:tc>
          <w:tcPr>
            <w:tcW w:w="1840" w:type="dxa"/>
            <w:vAlign w:val="bottom"/>
            <w:tcBorders>
              <w:bottom w:val="single" w:sz="8" w:color="E56D3D"/>
            </w:tcBorders>
          </w:tcPr>
          <w:p>
            <w:pPr>
              <w:jc w:val="right"/>
              <w:ind w:right="188"/>
              <w:spacing w:after="0"/>
              <w:rPr>
                <w:sz w:val="20"/>
                <w:szCs w:val="20"/>
                <w:color w:val="auto"/>
              </w:rPr>
            </w:pPr>
            <w:r>
              <w:rPr>
                <w:rFonts w:ascii="Arial" w:cs="Arial" w:eastAsia="Arial" w:hAnsi="Arial"/>
                <w:sz w:val="14"/>
                <w:szCs w:val="14"/>
                <w:b w:val="1"/>
                <w:bCs w:val="1"/>
                <w:color w:val="6A6E6F"/>
              </w:rPr>
              <w:t>(#)</w:t>
            </w:r>
          </w:p>
        </w:tc>
        <w:tc>
          <w:tcPr>
            <w:tcW w:w="1640" w:type="dxa"/>
            <w:vAlign w:val="bottom"/>
            <w:tcBorders>
              <w:bottom w:val="single" w:sz="8" w:color="E56D3D"/>
            </w:tcBorders>
          </w:tcPr>
          <w:p>
            <w:pPr>
              <w:jc w:val="right"/>
              <w:spacing w:after="0" w:line="185" w:lineRule="exact"/>
              <w:rPr>
                <w:sz w:val="20"/>
                <w:szCs w:val="20"/>
                <w:color w:val="auto"/>
              </w:rPr>
            </w:pPr>
            <w:r>
              <w:rPr>
                <w:rFonts w:ascii="Arial" w:cs="Arial" w:eastAsia="Arial" w:hAnsi="Arial"/>
                <w:sz w:val="14"/>
                <w:szCs w:val="14"/>
                <w:b w:val="1"/>
                <w:bCs w:val="1"/>
                <w:color w:val="6A6E6F"/>
              </w:rPr>
              <w:t>Have Not Vested ($)</w:t>
            </w:r>
            <w:r>
              <w:rPr>
                <w:rFonts w:ascii="Arial" w:cs="Arial" w:eastAsia="Arial" w:hAnsi="Arial"/>
                <w:sz w:val="17"/>
                <w:szCs w:val="17"/>
                <w:b w:val="1"/>
                <w:bCs w:val="1"/>
                <w:color w:val="6A6E6F"/>
                <w:vertAlign w:val="superscript"/>
              </w:rPr>
              <w:t>(2)</w:t>
            </w:r>
          </w:p>
        </w:tc>
      </w:tr>
      <w:tr>
        <w:trPr>
          <w:trHeight w:val="214"/>
        </w:trPr>
        <w:tc>
          <w:tcPr>
            <w:tcW w:w="3160" w:type="dxa"/>
            <w:vAlign w:val="bottom"/>
          </w:tcPr>
          <w:p>
            <w:pPr>
              <w:ind w:left="60"/>
              <w:spacing w:after="0"/>
              <w:rPr>
                <w:sz w:val="20"/>
                <w:szCs w:val="20"/>
                <w:color w:val="auto"/>
              </w:rPr>
            </w:pPr>
            <w:r>
              <w:rPr>
                <w:rFonts w:ascii="Arial" w:cs="Arial" w:eastAsia="Arial" w:hAnsi="Arial"/>
                <w:sz w:val="14"/>
                <w:szCs w:val="14"/>
                <w:color w:val="auto"/>
              </w:rPr>
              <w:t>Martin E. Stein, Jr.</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18,819</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$1,299,076</w:t>
            </w:r>
          </w:p>
        </w:tc>
        <w:tc>
          <w:tcPr>
            <w:tcW w:w="1840" w:type="dxa"/>
            <w:vAlign w:val="bottom"/>
          </w:tcPr>
          <w:p>
            <w:pPr>
              <w:jc w:val="right"/>
              <w:ind w:right="68"/>
              <w:spacing w:after="0"/>
              <w:rPr>
                <w:sz w:val="20"/>
                <w:szCs w:val="20"/>
                <w:color w:val="auto"/>
              </w:rPr>
            </w:pPr>
            <w:r>
              <w:rPr>
                <w:rFonts w:ascii="Arial" w:cs="Arial" w:eastAsia="Arial" w:hAnsi="Arial"/>
                <w:sz w:val="14"/>
                <w:szCs w:val="14"/>
                <w:color w:val="auto"/>
              </w:rPr>
              <w:t>10,345</w:t>
            </w:r>
            <w:r>
              <w:rPr>
                <w:rFonts w:ascii="Arial" w:cs="Arial" w:eastAsia="Arial" w:hAnsi="Arial"/>
                <w:sz w:val="17"/>
                <w:szCs w:val="17"/>
                <w:color w:val="auto"/>
                <w:vertAlign w:val="superscript"/>
              </w:rPr>
              <w:t>(3)</w:t>
            </w:r>
          </w:p>
        </w:tc>
        <w:tc>
          <w:tcPr>
            <w:tcW w:w="1640" w:type="dxa"/>
            <w:vAlign w:val="bottom"/>
          </w:tcPr>
          <w:p>
            <w:pPr>
              <w:jc w:val="right"/>
              <w:spacing w:after="0"/>
              <w:rPr>
                <w:sz w:val="20"/>
                <w:szCs w:val="20"/>
                <w:color w:val="auto"/>
              </w:rPr>
            </w:pPr>
            <w:r>
              <w:rPr>
                <w:rFonts w:ascii="Arial" w:cs="Arial" w:eastAsia="Arial" w:hAnsi="Arial"/>
                <w:sz w:val="14"/>
                <w:szCs w:val="14"/>
                <w:color w:val="auto"/>
              </w:rPr>
              <w:t>$714,115</w:t>
            </w:r>
          </w:p>
        </w:tc>
      </w:tr>
      <w:tr>
        <w:trPr>
          <w:trHeight w:val="198"/>
        </w:trPr>
        <w:tc>
          <w:tcPr>
            <w:tcW w:w="3160" w:type="dxa"/>
            <w:vAlign w:val="bottom"/>
            <w:tcBorders>
              <w:bottom w:val="single" w:sz="8" w:color="B2B2B2"/>
            </w:tcBorders>
          </w:tcPr>
          <w:p>
            <w:pPr>
              <w:spacing w:after="0"/>
              <w:rPr>
                <w:sz w:val="17"/>
                <w:szCs w:val="17"/>
                <w:color w:val="auto"/>
              </w:rPr>
            </w:pPr>
          </w:p>
        </w:tc>
        <w:tc>
          <w:tcPr>
            <w:tcW w:w="2820" w:type="dxa"/>
            <w:vAlign w:val="bottom"/>
            <w:tcBorders>
              <w:bottom w:val="single" w:sz="8" w:color="B2B2B2"/>
            </w:tcBorders>
          </w:tcPr>
          <w:p>
            <w:pPr>
              <w:spacing w:after="0"/>
              <w:rPr>
                <w:sz w:val="17"/>
                <w:szCs w:val="17"/>
                <w:color w:val="auto"/>
              </w:rPr>
            </w:pPr>
          </w:p>
        </w:tc>
        <w:tc>
          <w:tcPr>
            <w:tcW w:w="1560" w:type="dxa"/>
            <w:vAlign w:val="bottom"/>
            <w:tcBorders>
              <w:bottom w:val="single" w:sz="8" w:color="B2B2B2"/>
            </w:tcBorders>
          </w:tcPr>
          <w:p>
            <w:pPr>
              <w:spacing w:after="0"/>
              <w:rPr>
                <w:sz w:val="17"/>
                <w:szCs w:val="17"/>
                <w:color w:val="auto"/>
              </w:rPr>
            </w:pPr>
          </w:p>
        </w:tc>
        <w:tc>
          <w:tcPr>
            <w:tcW w:w="18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12,908</w:t>
            </w:r>
            <w:r>
              <w:rPr>
                <w:rFonts w:ascii="Arial" w:cs="Arial" w:eastAsia="Arial" w:hAnsi="Arial"/>
                <w:sz w:val="17"/>
                <w:szCs w:val="17"/>
                <w:color w:val="auto"/>
                <w:vertAlign w:val="superscript"/>
              </w:rPr>
              <w:t>(4)</w:t>
            </w:r>
          </w:p>
        </w:tc>
        <w:tc>
          <w:tcPr>
            <w:tcW w:w="16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$891,039</w:t>
            </w:r>
          </w:p>
        </w:tc>
      </w:tr>
      <w:tr>
        <w:trPr>
          <w:trHeight w:val="214"/>
        </w:trPr>
        <w:tc>
          <w:tcPr>
            <w:tcW w:w="3160" w:type="dxa"/>
            <w:vAlign w:val="bottom"/>
          </w:tcPr>
          <w:p>
            <w:pPr>
              <w:ind w:left="60"/>
              <w:spacing w:after="0"/>
              <w:rPr>
                <w:sz w:val="20"/>
                <w:szCs w:val="20"/>
                <w:color w:val="auto"/>
              </w:rPr>
            </w:pPr>
            <w:r>
              <w:rPr>
                <w:rFonts w:ascii="Arial" w:cs="Arial" w:eastAsia="Arial" w:hAnsi="Arial"/>
                <w:sz w:val="14"/>
                <w:szCs w:val="14"/>
                <w:color w:val="auto"/>
              </w:rPr>
              <w:t>Lisa Palmer</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110,213</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$7,608,003</w:t>
            </w:r>
          </w:p>
        </w:tc>
        <w:tc>
          <w:tcPr>
            <w:tcW w:w="1840" w:type="dxa"/>
            <w:vAlign w:val="bottom"/>
          </w:tcPr>
          <w:p>
            <w:pPr>
              <w:jc w:val="right"/>
              <w:ind w:right="68"/>
              <w:spacing w:after="0"/>
              <w:rPr>
                <w:sz w:val="20"/>
                <w:szCs w:val="20"/>
                <w:color w:val="auto"/>
              </w:rPr>
            </w:pPr>
            <w:r>
              <w:rPr>
                <w:rFonts w:ascii="Arial" w:cs="Arial" w:eastAsia="Arial" w:hAnsi="Arial"/>
                <w:sz w:val="14"/>
                <w:szCs w:val="14"/>
                <w:color w:val="auto"/>
              </w:rPr>
              <w:t>82,754</w:t>
            </w:r>
            <w:r>
              <w:rPr>
                <w:rFonts w:ascii="Arial" w:cs="Arial" w:eastAsia="Arial" w:hAnsi="Arial"/>
                <w:sz w:val="17"/>
                <w:szCs w:val="17"/>
                <w:color w:val="auto"/>
                <w:vertAlign w:val="superscript"/>
              </w:rPr>
              <w:t>(3)</w:t>
            </w:r>
          </w:p>
        </w:tc>
        <w:tc>
          <w:tcPr>
            <w:tcW w:w="1640" w:type="dxa"/>
            <w:vAlign w:val="bottom"/>
          </w:tcPr>
          <w:p>
            <w:pPr>
              <w:jc w:val="right"/>
              <w:spacing w:after="0"/>
              <w:rPr>
                <w:sz w:val="20"/>
                <w:szCs w:val="20"/>
                <w:color w:val="auto"/>
              </w:rPr>
            </w:pPr>
            <w:r>
              <w:rPr>
                <w:rFonts w:ascii="Arial" w:cs="Arial" w:eastAsia="Arial" w:hAnsi="Arial"/>
                <w:sz w:val="14"/>
                <w:szCs w:val="14"/>
                <w:color w:val="auto"/>
              </w:rPr>
              <w:t>$5,712,509</w:t>
            </w:r>
          </w:p>
        </w:tc>
      </w:tr>
      <w:tr>
        <w:trPr>
          <w:trHeight w:val="198"/>
        </w:trPr>
        <w:tc>
          <w:tcPr>
            <w:tcW w:w="3160" w:type="dxa"/>
            <w:vAlign w:val="bottom"/>
            <w:tcBorders>
              <w:bottom w:val="single" w:sz="8" w:color="B2B2B2"/>
            </w:tcBorders>
          </w:tcPr>
          <w:p>
            <w:pPr>
              <w:spacing w:after="0"/>
              <w:rPr>
                <w:sz w:val="17"/>
                <w:szCs w:val="17"/>
                <w:color w:val="auto"/>
              </w:rPr>
            </w:pPr>
          </w:p>
        </w:tc>
        <w:tc>
          <w:tcPr>
            <w:tcW w:w="2820" w:type="dxa"/>
            <w:vAlign w:val="bottom"/>
            <w:tcBorders>
              <w:bottom w:val="single" w:sz="8" w:color="B2B2B2"/>
            </w:tcBorders>
          </w:tcPr>
          <w:p>
            <w:pPr>
              <w:spacing w:after="0"/>
              <w:rPr>
                <w:sz w:val="17"/>
                <w:szCs w:val="17"/>
                <w:color w:val="auto"/>
              </w:rPr>
            </w:pPr>
          </w:p>
        </w:tc>
        <w:tc>
          <w:tcPr>
            <w:tcW w:w="1560" w:type="dxa"/>
            <w:vAlign w:val="bottom"/>
            <w:tcBorders>
              <w:bottom w:val="single" w:sz="8" w:color="B2B2B2"/>
            </w:tcBorders>
          </w:tcPr>
          <w:p>
            <w:pPr>
              <w:spacing w:after="0"/>
              <w:rPr>
                <w:sz w:val="17"/>
                <w:szCs w:val="17"/>
                <w:color w:val="auto"/>
              </w:rPr>
            </w:pPr>
          </w:p>
        </w:tc>
        <w:tc>
          <w:tcPr>
            <w:tcW w:w="18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107,567</w:t>
            </w:r>
            <w:r>
              <w:rPr>
                <w:rFonts w:ascii="Arial" w:cs="Arial" w:eastAsia="Arial" w:hAnsi="Arial"/>
                <w:sz w:val="17"/>
                <w:szCs w:val="17"/>
                <w:color w:val="auto"/>
                <w:vertAlign w:val="superscript"/>
              </w:rPr>
              <w:t>(4)</w:t>
            </w:r>
          </w:p>
        </w:tc>
        <w:tc>
          <w:tcPr>
            <w:tcW w:w="16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$7,425,350</w:t>
            </w:r>
          </w:p>
        </w:tc>
      </w:tr>
      <w:tr>
        <w:trPr>
          <w:trHeight w:val="214"/>
        </w:trPr>
        <w:tc>
          <w:tcPr>
            <w:tcW w:w="3160" w:type="dxa"/>
            <w:vAlign w:val="bottom"/>
          </w:tcPr>
          <w:p>
            <w:pPr>
              <w:ind w:left="60"/>
              <w:spacing w:after="0"/>
              <w:rPr>
                <w:sz w:val="20"/>
                <w:szCs w:val="20"/>
                <w:color w:val="auto"/>
              </w:rPr>
            </w:pPr>
            <w:r>
              <w:rPr>
                <w:rFonts w:ascii="Arial" w:cs="Arial" w:eastAsia="Arial" w:hAnsi="Arial"/>
                <w:sz w:val="14"/>
                <w:szCs w:val="14"/>
                <w:color w:val="auto"/>
              </w:rPr>
              <w:t>Michael J. Mas</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34,816</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$2,403,348</w:t>
            </w:r>
          </w:p>
        </w:tc>
        <w:tc>
          <w:tcPr>
            <w:tcW w:w="1840" w:type="dxa"/>
            <w:vAlign w:val="bottom"/>
          </w:tcPr>
          <w:p>
            <w:pPr>
              <w:jc w:val="right"/>
              <w:ind w:right="68"/>
              <w:spacing w:after="0"/>
              <w:rPr>
                <w:sz w:val="20"/>
                <w:szCs w:val="20"/>
                <w:color w:val="auto"/>
              </w:rPr>
            </w:pPr>
            <w:r>
              <w:rPr>
                <w:rFonts w:ascii="Arial" w:cs="Arial" w:eastAsia="Arial" w:hAnsi="Arial"/>
                <w:sz w:val="14"/>
                <w:szCs w:val="14"/>
                <w:color w:val="auto"/>
              </w:rPr>
              <w:t>26,205</w:t>
            </w:r>
            <w:r>
              <w:rPr>
                <w:rFonts w:ascii="Arial" w:cs="Arial" w:eastAsia="Arial" w:hAnsi="Arial"/>
                <w:sz w:val="17"/>
                <w:szCs w:val="17"/>
                <w:color w:val="auto"/>
                <w:vertAlign w:val="superscript"/>
              </w:rPr>
              <w:t>(3)</w:t>
            </w:r>
          </w:p>
        </w:tc>
        <w:tc>
          <w:tcPr>
            <w:tcW w:w="1640" w:type="dxa"/>
            <w:vAlign w:val="bottom"/>
          </w:tcPr>
          <w:p>
            <w:pPr>
              <w:jc w:val="right"/>
              <w:spacing w:after="0"/>
              <w:rPr>
                <w:sz w:val="20"/>
                <w:szCs w:val="20"/>
                <w:color w:val="auto"/>
              </w:rPr>
            </w:pPr>
            <w:r>
              <w:rPr>
                <w:rFonts w:ascii="Arial" w:cs="Arial" w:eastAsia="Arial" w:hAnsi="Arial"/>
                <w:sz w:val="14"/>
                <w:szCs w:val="14"/>
                <w:color w:val="auto"/>
              </w:rPr>
              <w:t>$1,808,931</w:t>
            </w:r>
          </w:p>
        </w:tc>
      </w:tr>
      <w:tr>
        <w:trPr>
          <w:trHeight w:val="198"/>
        </w:trPr>
        <w:tc>
          <w:tcPr>
            <w:tcW w:w="3160" w:type="dxa"/>
            <w:vAlign w:val="bottom"/>
            <w:tcBorders>
              <w:bottom w:val="single" w:sz="8" w:color="B2B2B2"/>
            </w:tcBorders>
          </w:tcPr>
          <w:p>
            <w:pPr>
              <w:spacing w:after="0"/>
              <w:rPr>
                <w:sz w:val="17"/>
                <w:szCs w:val="17"/>
                <w:color w:val="auto"/>
              </w:rPr>
            </w:pPr>
          </w:p>
        </w:tc>
        <w:tc>
          <w:tcPr>
            <w:tcW w:w="2820" w:type="dxa"/>
            <w:vAlign w:val="bottom"/>
            <w:tcBorders>
              <w:bottom w:val="single" w:sz="8" w:color="B2B2B2"/>
            </w:tcBorders>
          </w:tcPr>
          <w:p>
            <w:pPr>
              <w:spacing w:after="0"/>
              <w:rPr>
                <w:sz w:val="17"/>
                <w:szCs w:val="17"/>
                <w:color w:val="auto"/>
              </w:rPr>
            </w:pPr>
          </w:p>
        </w:tc>
        <w:tc>
          <w:tcPr>
            <w:tcW w:w="1560" w:type="dxa"/>
            <w:vAlign w:val="bottom"/>
            <w:tcBorders>
              <w:bottom w:val="single" w:sz="8" w:color="B2B2B2"/>
            </w:tcBorders>
          </w:tcPr>
          <w:p>
            <w:pPr>
              <w:spacing w:after="0"/>
              <w:rPr>
                <w:sz w:val="17"/>
                <w:szCs w:val="17"/>
                <w:color w:val="auto"/>
              </w:rPr>
            </w:pPr>
          </w:p>
        </w:tc>
        <w:tc>
          <w:tcPr>
            <w:tcW w:w="18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33,733</w:t>
            </w:r>
            <w:r>
              <w:rPr>
                <w:rFonts w:ascii="Arial" w:cs="Arial" w:eastAsia="Arial" w:hAnsi="Arial"/>
                <w:sz w:val="17"/>
                <w:szCs w:val="17"/>
                <w:color w:val="auto"/>
                <w:vertAlign w:val="superscript"/>
              </w:rPr>
              <w:t>(4)</w:t>
            </w:r>
          </w:p>
        </w:tc>
        <w:tc>
          <w:tcPr>
            <w:tcW w:w="16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$2,328,589</w:t>
            </w:r>
          </w:p>
        </w:tc>
      </w:tr>
      <w:tr>
        <w:trPr>
          <w:trHeight w:val="214"/>
        </w:trPr>
        <w:tc>
          <w:tcPr>
            <w:tcW w:w="3160" w:type="dxa"/>
            <w:vAlign w:val="bottom"/>
          </w:tcPr>
          <w:p>
            <w:pPr>
              <w:ind w:left="60"/>
              <w:spacing w:after="0"/>
              <w:rPr>
                <w:sz w:val="20"/>
                <w:szCs w:val="20"/>
                <w:color w:val="auto"/>
              </w:rPr>
            </w:pPr>
            <w:r>
              <w:rPr>
                <w:rFonts w:ascii="Arial" w:cs="Arial" w:eastAsia="Arial" w:hAnsi="Arial"/>
                <w:sz w:val="14"/>
                <w:szCs w:val="14"/>
                <w:color w:val="auto"/>
              </w:rPr>
              <w:t>Alan T. Roth</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24,071</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$1,661,621</w:t>
            </w:r>
          </w:p>
        </w:tc>
        <w:tc>
          <w:tcPr>
            <w:tcW w:w="1840" w:type="dxa"/>
            <w:vAlign w:val="bottom"/>
          </w:tcPr>
          <w:p>
            <w:pPr>
              <w:jc w:val="right"/>
              <w:ind w:right="68"/>
              <w:spacing w:after="0"/>
              <w:rPr>
                <w:sz w:val="20"/>
                <w:szCs w:val="20"/>
                <w:color w:val="auto"/>
              </w:rPr>
            </w:pPr>
            <w:r>
              <w:rPr>
                <w:rFonts w:ascii="Arial" w:cs="Arial" w:eastAsia="Arial" w:hAnsi="Arial"/>
                <w:sz w:val="14"/>
                <w:szCs w:val="14"/>
                <w:color w:val="auto"/>
              </w:rPr>
              <w:t>19,310</w:t>
            </w:r>
            <w:r>
              <w:rPr>
                <w:rFonts w:ascii="Arial" w:cs="Arial" w:eastAsia="Arial" w:hAnsi="Arial"/>
                <w:sz w:val="17"/>
                <w:szCs w:val="17"/>
                <w:color w:val="auto"/>
                <w:vertAlign w:val="superscript"/>
              </w:rPr>
              <w:t>(3)</w:t>
            </w:r>
          </w:p>
        </w:tc>
        <w:tc>
          <w:tcPr>
            <w:tcW w:w="1640" w:type="dxa"/>
            <w:vAlign w:val="bottom"/>
          </w:tcPr>
          <w:p>
            <w:pPr>
              <w:jc w:val="right"/>
              <w:spacing w:after="0"/>
              <w:rPr>
                <w:sz w:val="20"/>
                <w:szCs w:val="20"/>
                <w:color w:val="auto"/>
              </w:rPr>
            </w:pPr>
            <w:r>
              <w:rPr>
                <w:rFonts w:ascii="Arial" w:cs="Arial" w:eastAsia="Arial" w:hAnsi="Arial"/>
                <w:sz w:val="14"/>
                <w:szCs w:val="14"/>
                <w:color w:val="auto"/>
              </w:rPr>
              <w:t>$1,332,969</w:t>
            </w:r>
          </w:p>
        </w:tc>
      </w:tr>
      <w:tr>
        <w:trPr>
          <w:trHeight w:val="198"/>
        </w:trPr>
        <w:tc>
          <w:tcPr>
            <w:tcW w:w="3160" w:type="dxa"/>
            <w:vAlign w:val="bottom"/>
            <w:tcBorders>
              <w:bottom w:val="single" w:sz="8" w:color="B2B2B2"/>
            </w:tcBorders>
          </w:tcPr>
          <w:p>
            <w:pPr>
              <w:spacing w:after="0"/>
              <w:rPr>
                <w:sz w:val="17"/>
                <w:szCs w:val="17"/>
                <w:color w:val="auto"/>
              </w:rPr>
            </w:pPr>
          </w:p>
        </w:tc>
        <w:tc>
          <w:tcPr>
            <w:tcW w:w="2820" w:type="dxa"/>
            <w:vAlign w:val="bottom"/>
            <w:tcBorders>
              <w:bottom w:val="single" w:sz="8" w:color="B2B2B2"/>
            </w:tcBorders>
          </w:tcPr>
          <w:p>
            <w:pPr>
              <w:spacing w:after="0"/>
              <w:rPr>
                <w:sz w:val="17"/>
                <w:szCs w:val="17"/>
                <w:color w:val="auto"/>
              </w:rPr>
            </w:pPr>
          </w:p>
        </w:tc>
        <w:tc>
          <w:tcPr>
            <w:tcW w:w="1560" w:type="dxa"/>
            <w:vAlign w:val="bottom"/>
            <w:tcBorders>
              <w:bottom w:val="single" w:sz="8" w:color="B2B2B2"/>
            </w:tcBorders>
          </w:tcPr>
          <w:p>
            <w:pPr>
              <w:spacing w:after="0"/>
              <w:rPr>
                <w:sz w:val="17"/>
                <w:szCs w:val="17"/>
                <w:color w:val="auto"/>
              </w:rPr>
            </w:pPr>
          </w:p>
        </w:tc>
        <w:tc>
          <w:tcPr>
            <w:tcW w:w="18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25,816</w:t>
            </w:r>
            <w:r>
              <w:rPr>
                <w:rFonts w:ascii="Arial" w:cs="Arial" w:eastAsia="Arial" w:hAnsi="Arial"/>
                <w:sz w:val="17"/>
                <w:szCs w:val="17"/>
                <w:color w:val="auto"/>
                <w:vertAlign w:val="superscript"/>
              </w:rPr>
              <w:t>(4)</w:t>
            </w:r>
          </w:p>
        </w:tc>
        <w:tc>
          <w:tcPr>
            <w:tcW w:w="16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$1,782,078</w:t>
            </w:r>
          </w:p>
        </w:tc>
      </w:tr>
      <w:tr>
        <w:trPr>
          <w:trHeight w:val="214"/>
        </w:trPr>
        <w:tc>
          <w:tcPr>
            <w:tcW w:w="3160" w:type="dxa"/>
            <w:vAlign w:val="bottom"/>
          </w:tcPr>
          <w:p>
            <w:pPr>
              <w:ind w:left="60"/>
              <w:spacing w:after="0"/>
              <w:rPr>
                <w:sz w:val="20"/>
                <w:szCs w:val="20"/>
                <w:color w:val="auto"/>
              </w:rPr>
            </w:pPr>
            <w:r>
              <w:rPr>
                <w:rFonts w:ascii="Arial" w:cs="Arial" w:eastAsia="Arial" w:hAnsi="Arial"/>
                <w:sz w:val="14"/>
                <w:szCs w:val="14"/>
                <w:color w:val="auto"/>
              </w:rPr>
              <w:t>Nicholas A. Wibbenmeyer</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24,043</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$1,659,688</w:t>
            </w:r>
          </w:p>
        </w:tc>
        <w:tc>
          <w:tcPr>
            <w:tcW w:w="1840" w:type="dxa"/>
            <w:vAlign w:val="bottom"/>
          </w:tcPr>
          <w:p>
            <w:pPr>
              <w:jc w:val="right"/>
              <w:ind w:right="68"/>
              <w:spacing w:after="0"/>
              <w:rPr>
                <w:sz w:val="20"/>
                <w:szCs w:val="20"/>
                <w:color w:val="auto"/>
              </w:rPr>
            </w:pPr>
            <w:r>
              <w:rPr>
                <w:rFonts w:ascii="Arial" w:cs="Arial" w:eastAsia="Arial" w:hAnsi="Arial"/>
                <w:sz w:val="14"/>
                <w:szCs w:val="14"/>
                <w:color w:val="auto"/>
              </w:rPr>
              <w:t>19,310</w:t>
            </w:r>
            <w:r>
              <w:rPr>
                <w:rFonts w:ascii="Arial" w:cs="Arial" w:eastAsia="Arial" w:hAnsi="Arial"/>
                <w:sz w:val="17"/>
                <w:szCs w:val="17"/>
                <w:color w:val="auto"/>
                <w:vertAlign w:val="superscript"/>
              </w:rPr>
              <w:t>(3)</w:t>
            </w:r>
          </w:p>
        </w:tc>
        <w:tc>
          <w:tcPr>
            <w:tcW w:w="1640" w:type="dxa"/>
            <w:vAlign w:val="bottom"/>
          </w:tcPr>
          <w:p>
            <w:pPr>
              <w:jc w:val="right"/>
              <w:spacing w:after="0"/>
              <w:rPr>
                <w:sz w:val="20"/>
                <w:szCs w:val="20"/>
                <w:color w:val="auto"/>
              </w:rPr>
            </w:pPr>
            <w:r>
              <w:rPr>
                <w:rFonts w:ascii="Arial" w:cs="Arial" w:eastAsia="Arial" w:hAnsi="Arial"/>
                <w:sz w:val="14"/>
                <w:szCs w:val="14"/>
                <w:color w:val="auto"/>
              </w:rPr>
              <w:t>$1,332,969</w:t>
            </w:r>
          </w:p>
        </w:tc>
      </w:tr>
      <w:tr>
        <w:trPr>
          <w:trHeight w:val="198"/>
        </w:trPr>
        <w:tc>
          <w:tcPr>
            <w:tcW w:w="3160" w:type="dxa"/>
            <w:vAlign w:val="bottom"/>
            <w:tcBorders>
              <w:bottom w:val="single" w:sz="8" w:color="E56D3D"/>
            </w:tcBorders>
          </w:tcPr>
          <w:p>
            <w:pPr>
              <w:spacing w:after="0"/>
              <w:rPr>
                <w:sz w:val="17"/>
                <w:szCs w:val="17"/>
                <w:color w:val="auto"/>
              </w:rPr>
            </w:pPr>
          </w:p>
        </w:tc>
        <w:tc>
          <w:tcPr>
            <w:tcW w:w="2820" w:type="dxa"/>
            <w:vAlign w:val="bottom"/>
            <w:tcBorders>
              <w:bottom w:val="single" w:sz="8" w:color="E56D3D"/>
            </w:tcBorders>
          </w:tcPr>
          <w:p>
            <w:pPr>
              <w:spacing w:after="0"/>
              <w:rPr>
                <w:sz w:val="17"/>
                <w:szCs w:val="17"/>
                <w:color w:val="auto"/>
              </w:rPr>
            </w:pPr>
          </w:p>
        </w:tc>
        <w:tc>
          <w:tcPr>
            <w:tcW w:w="1560" w:type="dxa"/>
            <w:vAlign w:val="bottom"/>
            <w:tcBorders>
              <w:bottom w:val="single" w:sz="8" w:color="E56D3D"/>
            </w:tcBorders>
          </w:tcPr>
          <w:p>
            <w:pPr>
              <w:spacing w:after="0"/>
              <w:rPr>
                <w:sz w:val="17"/>
                <w:szCs w:val="17"/>
                <w:color w:val="auto"/>
              </w:rPr>
            </w:pPr>
          </w:p>
        </w:tc>
        <w:tc>
          <w:tcPr>
            <w:tcW w:w="1840" w:type="dxa"/>
            <w:vAlign w:val="bottom"/>
            <w:tcBorders>
              <w:bottom w:val="single" w:sz="8" w:color="E56D3D"/>
            </w:tcBorders>
          </w:tcPr>
          <w:p>
            <w:pPr>
              <w:jc w:val="right"/>
              <w:ind w:right="68"/>
              <w:spacing w:after="0"/>
              <w:rPr>
                <w:sz w:val="20"/>
                <w:szCs w:val="20"/>
                <w:color w:val="auto"/>
              </w:rPr>
            </w:pPr>
            <w:r>
              <w:rPr>
                <w:rFonts w:ascii="Arial" w:cs="Arial" w:eastAsia="Arial" w:hAnsi="Arial"/>
                <w:sz w:val="14"/>
                <w:szCs w:val="14"/>
                <w:color w:val="auto"/>
              </w:rPr>
              <w:t>25,816</w:t>
            </w:r>
            <w:r>
              <w:rPr>
                <w:rFonts w:ascii="Arial" w:cs="Arial" w:eastAsia="Arial" w:hAnsi="Arial"/>
                <w:sz w:val="17"/>
                <w:szCs w:val="17"/>
                <w:color w:val="auto"/>
                <w:vertAlign w:val="superscript"/>
              </w:rPr>
              <w:t>(4)</w:t>
            </w:r>
          </w:p>
        </w:tc>
        <w:tc>
          <w:tcPr>
            <w:tcW w:w="1640" w:type="dxa"/>
            <w:vAlign w:val="bottom"/>
            <w:tcBorders>
              <w:bottom w:val="single" w:sz="8" w:color="E56D3D"/>
            </w:tcBorders>
          </w:tcPr>
          <w:p>
            <w:pPr>
              <w:jc w:val="right"/>
              <w:spacing w:after="0"/>
              <w:rPr>
                <w:sz w:val="20"/>
                <w:szCs w:val="20"/>
                <w:color w:val="auto"/>
              </w:rPr>
            </w:pPr>
            <w:r>
              <w:rPr>
                <w:rFonts w:ascii="Arial" w:cs="Arial" w:eastAsia="Arial" w:hAnsi="Arial"/>
                <w:sz w:val="14"/>
                <w:szCs w:val="14"/>
                <w:color w:val="auto"/>
              </w:rPr>
              <w:t>$1,782,078</w:t>
            </w:r>
          </w:p>
        </w:tc>
      </w:tr>
    </w:tbl>
    <w:p>
      <w:pPr>
        <w:spacing w:after="0" w:line="63"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6000" w:type="dxa"/>
            <w:vAlign w:val="bottom"/>
            <w:gridSpan w:val="4"/>
          </w:tcPr>
          <w:p>
            <w:pPr>
              <w:jc w:val="right"/>
              <w:ind w:right="890"/>
              <w:spacing w:after="0"/>
              <w:rPr>
                <w:sz w:val="20"/>
                <w:szCs w:val="20"/>
                <w:color w:val="auto"/>
              </w:rPr>
            </w:pPr>
            <w:r>
              <w:rPr>
                <w:rFonts w:ascii="Arial" w:cs="Arial" w:eastAsia="Arial" w:hAnsi="Arial"/>
                <w:sz w:val="13"/>
                <w:szCs w:val="13"/>
                <w:color w:val="auto"/>
                <w:w w:val="96"/>
              </w:rPr>
              <w:t>(1) These represent restricted stock and performance share awards, which vest as follows:</w:t>
            </w:r>
          </w:p>
        </w:tc>
        <w:tc>
          <w:tcPr>
            <w:tcW w:w="180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365"/>
        </w:trPr>
        <w:tc>
          <w:tcPr>
            <w:tcW w:w="1840" w:type="dxa"/>
            <w:vAlign w:val="bottom"/>
            <w:tcBorders>
              <w:bottom w:val="single" w:sz="8" w:color="E56D3D"/>
            </w:tcBorders>
          </w:tcPr>
          <w:p>
            <w:pPr>
              <w:jc w:val="right"/>
              <w:ind w:right="271"/>
              <w:spacing w:after="0"/>
              <w:rPr>
                <w:sz w:val="20"/>
                <w:szCs w:val="20"/>
                <w:color w:val="auto"/>
              </w:rPr>
            </w:pPr>
            <w:r>
              <w:rPr>
                <w:rFonts w:ascii="Arial" w:cs="Arial" w:eastAsia="Arial" w:hAnsi="Arial"/>
                <w:sz w:val="13"/>
                <w:szCs w:val="13"/>
                <w:b w:val="1"/>
                <w:bCs w:val="1"/>
                <w:color w:val="6A6E6F"/>
              </w:rPr>
              <w:t>Mr. Stein (#)</w:t>
            </w:r>
          </w:p>
        </w:tc>
        <w:tc>
          <w:tcPr>
            <w:tcW w:w="1500" w:type="dxa"/>
            <w:vAlign w:val="bottom"/>
            <w:tcBorders>
              <w:bottom w:val="single" w:sz="8" w:color="E56D3D"/>
            </w:tcBorders>
          </w:tcPr>
          <w:p>
            <w:pPr>
              <w:jc w:val="right"/>
              <w:ind w:right="250"/>
              <w:spacing w:after="0"/>
              <w:rPr>
                <w:sz w:val="20"/>
                <w:szCs w:val="20"/>
                <w:color w:val="auto"/>
              </w:rPr>
            </w:pPr>
            <w:r>
              <w:rPr>
                <w:rFonts w:ascii="Arial" w:cs="Arial" w:eastAsia="Arial" w:hAnsi="Arial"/>
                <w:sz w:val="13"/>
                <w:szCs w:val="13"/>
                <w:b w:val="1"/>
                <w:bCs w:val="1"/>
                <w:color w:val="6A6E6F"/>
              </w:rPr>
              <w:t>Ms. Palmer (#)</w:t>
            </w:r>
          </w:p>
        </w:tc>
        <w:tc>
          <w:tcPr>
            <w:tcW w:w="1300" w:type="dxa"/>
            <w:vAlign w:val="bottom"/>
            <w:tcBorders>
              <w:bottom w:val="single" w:sz="8" w:color="E56D3D"/>
            </w:tcBorders>
          </w:tcPr>
          <w:p>
            <w:pPr>
              <w:jc w:val="right"/>
              <w:ind w:right="250"/>
              <w:spacing w:after="0"/>
              <w:rPr>
                <w:sz w:val="20"/>
                <w:szCs w:val="20"/>
                <w:color w:val="auto"/>
              </w:rPr>
            </w:pPr>
            <w:r>
              <w:rPr>
                <w:rFonts w:ascii="Arial" w:cs="Arial" w:eastAsia="Arial" w:hAnsi="Arial"/>
                <w:sz w:val="13"/>
                <w:szCs w:val="13"/>
                <w:b w:val="1"/>
                <w:bCs w:val="1"/>
                <w:color w:val="6A6E6F"/>
              </w:rPr>
              <w:t>Mr. Mas (#)</w:t>
            </w:r>
          </w:p>
        </w:tc>
        <w:tc>
          <w:tcPr>
            <w:tcW w:w="1360" w:type="dxa"/>
            <w:vAlign w:val="bottom"/>
            <w:tcBorders>
              <w:bottom w:val="single" w:sz="8" w:color="E56D3D"/>
            </w:tcBorders>
          </w:tcPr>
          <w:p>
            <w:pPr>
              <w:jc w:val="right"/>
              <w:ind w:right="270"/>
              <w:spacing w:after="0"/>
              <w:rPr>
                <w:sz w:val="20"/>
                <w:szCs w:val="20"/>
                <w:color w:val="auto"/>
              </w:rPr>
            </w:pPr>
            <w:r>
              <w:rPr>
                <w:rFonts w:ascii="Arial" w:cs="Arial" w:eastAsia="Arial" w:hAnsi="Arial"/>
                <w:sz w:val="13"/>
                <w:szCs w:val="13"/>
                <w:b w:val="1"/>
                <w:bCs w:val="1"/>
                <w:color w:val="6A6E6F"/>
              </w:rPr>
              <w:t>Mr. Roth (#)</w:t>
            </w:r>
          </w:p>
        </w:tc>
        <w:tc>
          <w:tcPr>
            <w:tcW w:w="1800" w:type="dxa"/>
            <w:vAlign w:val="bottom"/>
            <w:tcBorders>
              <w:bottom w:val="single" w:sz="8" w:color="E56D3D"/>
            </w:tcBorders>
          </w:tcPr>
          <w:p>
            <w:pPr>
              <w:jc w:val="right"/>
              <w:ind w:right="170"/>
              <w:spacing w:after="0"/>
              <w:rPr>
                <w:sz w:val="20"/>
                <w:szCs w:val="20"/>
                <w:color w:val="auto"/>
              </w:rPr>
            </w:pPr>
            <w:r>
              <w:rPr>
                <w:rFonts w:ascii="Arial" w:cs="Arial" w:eastAsia="Arial" w:hAnsi="Arial"/>
                <w:sz w:val="13"/>
                <w:szCs w:val="13"/>
                <w:b w:val="1"/>
                <w:bCs w:val="1"/>
                <w:color w:val="6A6E6F"/>
              </w:rPr>
              <w:t>Mr. Wibbenmeyer (#)</w:t>
            </w:r>
          </w:p>
        </w:tc>
        <w:tc>
          <w:tcPr>
            <w:tcW w:w="3220" w:type="dxa"/>
            <w:vAlign w:val="bottom"/>
            <w:tcBorders>
              <w:bottom w:val="single" w:sz="8" w:color="E56D3D"/>
            </w:tcBorders>
          </w:tcPr>
          <w:p>
            <w:pPr>
              <w:ind w:left="1320"/>
              <w:spacing w:after="0"/>
              <w:rPr>
                <w:sz w:val="20"/>
                <w:szCs w:val="20"/>
                <w:color w:val="auto"/>
              </w:rPr>
            </w:pPr>
            <w:r>
              <w:rPr>
                <w:rFonts w:ascii="Arial" w:cs="Arial" w:eastAsia="Arial" w:hAnsi="Arial"/>
                <w:sz w:val="13"/>
                <w:szCs w:val="13"/>
                <w:b w:val="1"/>
                <w:bCs w:val="1"/>
                <w:color w:val="6A6E6F"/>
              </w:rPr>
              <w:t>Vesting Dates</w:t>
            </w:r>
          </w:p>
        </w:tc>
      </w:tr>
      <w:tr>
        <w:trPr>
          <w:trHeight w:val="233"/>
        </w:trPr>
        <w:tc>
          <w:tcPr>
            <w:tcW w:w="1840" w:type="dxa"/>
            <w:vAlign w:val="bottom"/>
            <w:tcBorders>
              <w:bottom w:val="single" w:sz="8" w:color="B2B2B2"/>
            </w:tcBorders>
          </w:tcPr>
          <w:p>
            <w:pPr>
              <w:jc w:val="right"/>
              <w:ind w:right="271"/>
              <w:spacing w:after="0"/>
              <w:rPr>
                <w:sz w:val="20"/>
                <w:szCs w:val="20"/>
                <w:color w:val="auto"/>
              </w:rPr>
            </w:pPr>
            <w:r>
              <w:rPr>
                <w:rFonts w:ascii="Arial" w:cs="Arial" w:eastAsia="Arial" w:hAnsi="Arial"/>
                <w:sz w:val="14"/>
                <w:szCs w:val="14"/>
                <w:color w:val="auto"/>
              </w:rPr>
              <w:t>1,138</w:t>
            </w:r>
          </w:p>
        </w:tc>
        <w:tc>
          <w:tcPr>
            <w:tcW w:w="1500" w:type="dxa"/>
            <w:vAlign w:val="bottom"/>
            <w:tcBorders>
              <w:bottom w:val="single" w:sz="8" w:color="B2B2B2"/>
            </w:tcBorders>
          </w:tcPr>
          <w:p>
            <w:pPr>
              <w:jc w:val="right"/>
              <w:ind w:right="250"/>
              <w:spacing w:after="0"/>
              <w:rPr>
                <w:sz w:val="20"/>
                <w:szCs w:val="20"/>
                <w:color w:val="auto"/>
              </w:rPr>
            </w:pPr>
            <w:r>
              <w:rPr>
                <w:rFonts w:ascii="Arial" w:cs="Arial" w:eastAsia="Arial" w:hAnsi="Arial"/>
                <w:sz w:val="14"/>
                <w:szCs w:val="14"/>
                <w:color w:val="auto"/>
              </w:rPr>
              <w:t>4,064</w:t>
            </w:r>
          </w:p>
        </w:tc>
        <w:tc>
          <w:tcPr>
            <w:tcW w:w="1300" w:type="dxa"/>
            <w:vAlign w:val="bottom"/>
            <w:tcBorders>
              <w:bottom w:val="single" w:sz="8" w:color="B2B2B2"/>
            </w:tcBorders>
          </w:tcPr>
          <w:p>
            <w:pPr>
              <w:jc w:val="right"/>
              <w:ind w:right="250"/>
              <w:spacing w:after="0"/>
              <w:rPr>
                <w:sz w:val="20"/>
                <w:szCs w:val="20"/>
                <w:color w:val="auto"/>
              </w:rPr>
            </w:pPr>
            <w:r>
              <w:rPr>
                <w:rFonts w:ascii="Arial" w:cs="Arial" w:eastAsia="Arial" w:hAnsi="Arial"/>
                <w:sz w:val="14"/>
                <w:szCs w:val="14"/>
                <w:color w:val="auto"/>
              </w:rPr>
              <w:t>1,179</w:t>
            </w:r>
          </w:p>
        </w:tc>
        <w:tc>
          <w:tcPr>
            <w:tcW w:w="1360" w:type="dxa"/>
            <w:vAlign w:val="bottom"/>
            <w:tcBorders>
              <w:bottom w:val="single" w:sz="8" w:color="B2B2B2"/>
            </w:tcBorders>
          </w:tcPr>
          <w:p>
            <w:pPr>
              <w:jc w:val="right"/>
              <w:ind w:right="270"/>
              <w:spacing w:after="0"/>
              <w:rPr>
                <w:sz w:val="20"/>
                <w:szCs w:val="20"/>
                <w:color w:val="auto"/>
              </w:rPr>
            </w:pPr>
            <w:r>
              <w:rPr>
                <w:rFonts w:ascii="Arial" w:cs="Arial" w:eastAsia="Arial" w:hAnsi="Arial"/>
                <w:sz w:val="14"/>
                <w:szCs w:val="14"/>
                <w:color w:val="auto"/>
              </w:rPr>
              <w:t>1,729</w:t>
            </w:r>
          </w:p>
        </w:tc>
        <w:tc>
          <w:tcPr>
            <w:tcW w:w="1800" w:type="dxa"/>
            <w:vAlign w:val="bottom"/>
            <w:tcBorders>
              <w:bottom w:val="single" w:sz="8" w:color="B2B2B2"/>
            </w:tcBorders>
          </w:tcPr>
          <w:p>
            <w:pPr>
              <w:jc w:val="right"/>
              <w:ind w:right="170"/>
              <w:spacing w:after="0"/>
              <w:rPr>
                <w:sz w:val="20"/>
                <w:szCs w:val="20"/>
                <w:color w:val="auto"/>
              </w:rPr>
            </w:pPr>
            <w:r>
              <w:rPr>
                <w:rFonts w:ascii="Arial" w:cs="Arial" w:eastAsia="Arial" w:hAnsi="Arial"/>
                <w:sz w:val="14"/>
                <w:szCs w:val="14"/>
                <w:color w:val="auto"/>
              </w:rPr>
              <w:t>1,701</w:t>
            </w:r>
          </w:p>
        </w:tc>
        <w:tc>
          <w:tcPr>
            <w:tcW w:w="3220" w:type="dxa"/>
            <w:vAlign w:val="bottom"/>
            <w:tcBorders>
              <w:bottom w:val="single" w:sz="8" w:color="B2B2B2"/>
            </w:tcBorders>
          </w:tcPr>
          <w:p>
            <w:pPr>
              <w:ind w:left="240"/>
              <w:spacing w:after="0"/>
              <w:rPr>
                <w:sz w:val="20"/>
                <w:szCs w:val="20"/>
                <w:color w:val="auto"/>
              </w:rPr>
            </w:pPr>
            <w:r>
              <w:rPr>
                <w:rFonts w:ascii="Arial" w:cs="Arial" w:eastAsia="Arial" w:hAnsi="Arial"/>
                <w:sz w:val="13"/>
                <w:szCs w:val="13"/>
                <w:color w:val="auto"/>
              </w:rPr>
              <w:t>100% on February 1, 2026</w:t>
            </w:r>
          </w:p>
        </w:tc>
      </w:tr>
      <w:tr>
        <w:trPr>
          <w:trHeight w:val="237"/>
        </w:trPr>
        <w:tc>
          <w:tcPr>
            <w:tcW w:w="1840" w:type="dxa"/>
            <w:vAlign w:val="bottom"/>
            <w:tcBorders>
              <w:bottom w:val="single" w:sz="8" w:color="B2B2B2"/>
            </w:tcBorders>
          </w:tcPr>
          <w:p>
            <w:pPr>
              <w:jc w:val="right"/>
              <w:ind w:right="271"/>
              <w:spacing w:after="0"/>
              <w:rPr>
                <w:sz w:val="20"/>
                <w:szCs w:val="20"/>
                <w:color w:val="auto"/>
              </w:rPr>
            </w:pPr>
            <w:r>
              <w:rPr>
                <w:rFonts w:ascii="Arial" w:cs="Arial" w:eastAsia="Arial" w:hAnsi="Arial"/>
                <w:sz w:val="14"/>
                <w:szCs w:val="14"/>
                <w:color w:val="auto"/>
              </w:rPr>
              <w:t>11,932</w:t>
            </w:r>
          </w:p>
        </w:tc>
        <w:tc>
          <w:tcPr>
            <w:tcW w:w="1500" w:type="dxa"/>
            <w:vAlign w:val="bottom"/>
            <w:tcBorders>
              <w:bottom w:val="single" w:sz="8" w:color="B2B2B2"/>
            </w:tcBorders>
          </w:tcPr>
          <w:p>
            <w:pPr>
              <w:jc w:val="right"/>
              <w:ind w:right="250"/>
              <w:spacing w:after="0"/>
              <w:rPr>
                <w:sz w:val="20"/>
                <w:szCs w:val="20"/>
                <w:color w:val="auto"/>
              </w:rPr>
            </w:pPr>
            <w:r>
              <w:rPr>
                <w:rFonts w:ascii="Arial" w:cs="Arial" w:eastAsia="Arial" w:hAnsi="Arial"/>
                <w:sz w:val="14"/>
                <w:szCs w:val="14"/>
                <w:color w:val="auto"/>
              </w:rPr>
              <w:t>63,838</w:t>
            </w:r>
          </w:p>
        </w:tc>
        <w:tc>
          <w:tcPr>
            <w:tcW w:w="1300" w:type="dxa"/>
            <w:vAlign w:val="bottom"/>
            <w:tcBorders>
              <w:bottom w:val="single" w:sz="8" w:color="B2B2B2"/>
            </w:tcBorders>
          </w:tcPr>
          <w:p>
            <w:pPr>
              <w:jc w:val="right"/>
              <w:ind w:right="250"/>
              <w:spacing w:after="0"/>
              <w:rPr>
                <w:sz w:val="20"/>
                <w:szCs w:val="20"/>
                <w:color w:val="auto"/>
              </w:rPr>
            </w:pPr>
            <w:r>
              <w:rPr>
                <w:rFonts w:ascii="Arial" w:cs="Arial" w:eastAsia="Arial" w:hAnsi="Arial"/>
                <w:sz w:val="14"/>
                <w:szCs w:val="14"/>
                <w:color w:val="auto"/>
              </w:rPr>
              <w:t>20,285</w:t>
            </w:r>
          </w:p>
        </w:tc>
        <w:tc>
          <w:tcPr>
            <w:tcW w:w="1360" w:type="dxa"/>
            <w:vAlign w:val="bottom"/>
            <w:tcBorders>
              <w:bottom w:val="single" w:sz="8" w:color="B2B2B2"/>
            </w:tcBorders>
          </w:tcPr>
          <w:p>
            <w:pPr>
              <w:jc w:val="right"/>
              <w:ind w:right="270"/>
              <w:spacing w:after="0"/>
              <w:rPr>
                <w:sz w:val="20"/>
                <w:szCs w:val="20"/>
                <w:color w:val="auto"/>
              </w:rPr>
            </w:pPr>
            <w:r>
              <w:rPr>
                <w:rFonts w:ascii="Arial" w:cs="Arial" w:eastAsia="Arial" w:hAnsi="Arial"/>
                <w:sz w:val="14"/>
                <w:szCs w:val="14"/>
                <w:color w:val="auto"/>
              </w:rPr>
              <w:t>11,932</w:t>
            </w:r>
          </w:p>
        </w:tc>
        <w:tc>
          <w:tcPr>
            <w:tcW w:w="1800" w:type="dxa"/>
            <w:vAlign w:val="bottom"/>
            <w:tcBorders>
              <w:bottom w:val="single" w:sz="8" w:color="B2B2B2"/>
            </w:tcBorders>
          </w:tcPr>
          <w:p>
            <w:pPr>
              <w:jc w:val="right"/>
              <w:ind w:right="170"/>
              <w:spacing w:after="0"/>
              <w:rPr>
                <w:sz w:val="20"/>
                <w:szCs w:val="20"/>
                <w:color w:val="auto"/>
              </w:rPr>
            </w:pPr>
            <w:r>
              <w:rPr>
                <w:rFonts w:ascii="Arial" w:cs="Arial" w:eastAsia="Arial" w:hAnsi="Arial"/>
                <w:sz w:val="14"/>
                <w:szCs w:val="14"/>
                <w:color w:val="auto"/>
              </w:rPr>
              <w:t>11,932</w:t>
            </w:r>
          </w:p>
        </w:tc>
        <w:tc>
          <w:tcPr>
            <w:tcW w:w="3220" w:type="dxa"/>
            <w:vAlign w:val="bottom"/>
            <w:tcBorders>
              <w:bottom w:val="single" w:sz="8" w:color="B2B2B2"/>
            </w:tcBorders>
          </w:tcPr>
          <w:p>
            <w:pPr>
              <w:ind w:left="240"/>
              <w:spacing w:after="0"/>
              <w:rPr>
                <w:sz w:val="20"/>
                <w:szCs w:val="20"/>
                <w:color w:val="auto"/>
              </w:rPr>
            </w:pPr>
            <w:r>
              <w:rPr>
                <w:rFonts w:ascii="Arial" w:cs="Arial" w:eastAsia="Arial" w:hAnsi="Arial"/>
                <w:sz w:val="13"/>
                <w:szCs w:val="13"/>
                <w:color w:val="auto"/>
              </w:rPr>
              <w:t>100% on February 2, 2026</w:t>
            </w:r>
          </w:p>
        </w:tc>
      </w:tr>
      <w:tr>
        <w:trPr>
          <w:trHeight w:val="186"/>
        </w:trPr>
        <w:tc>
          <w:tcPr>
            <w:tcW w:w="1840" w:type="dxa"/>
            <w:vAlign w:val="bottom"/>
          </w:tcPr>
          <w:p>
            <w:pPr>
              <w:jc w:val="right"/>
              <w:ind w:right="271"/>
              <w:spacing w:after="0"/>
              <w:rPr>
                <w:sz w:val="20"/>
                <w:szCs w:val="20"/>
                <w:color w:val="auto"/>
              </w:rPr>
            </w:pPr>
            <w:r>
              <w:rPr>
                <w:rFonts w:ascii="Arial" w:cs="Arial" w:eastAsia="Arial" w:hAnsi="Arial"/>
                <w:sz w:val="14"/>
                <w:szCs w:val="14"/>
                <w:color w:val="auto"/>
              </w:rPr>
              <w:t>1,657</w:t>
            </w:r>
          </w:p>
        </w:tc>
        <w:tc>
          <w:tcPr>
            <w:tcW w:w="1500" w:type="dxa"/>
            <w:vAlign w:val="bottom"/>
          </w:tcPr>
          <w:p>
            <w:pPr>
              <w:jc w:val="right"/>
              <w:ind w:right="250"/>
              <w:spacing w:after="0"/>
              <w:rPr>
                <w:sz w:val="20"/>
                <w:szCs w:val="20"/>
                <w:color w:val="auto"/>
              </w:rPr>
            </w:pPr>
            <w:r>
              <w:rPr>
                <w:rFonts w:ascii="Arial" w:cs="Arial" w:eastAsia="Arial" w:hAnsi="Arial"/>
                <w:sz w:val="14"/>
                <w:szCs w:val="14"/>
                <w:color w:val="auto"/>
              </w:rPr>
              <w:t>8,867</w:t>
            </w:r>
          </w:p>
        </w:tc>
        <w:tc>
          <w:tcPr>
            <w:tcW w:w="1300" w:type="dxa"/>
            <w:vAlign w:val="bottom"/>
          </w:tcPr>
          <w:p>
            <w:pPr>
              <w:jc w:val="right"/>
              <w:ind w:right="250"/>
              <w:spacing w:after="0"/>
              <w:rPr>
                <w:sz w:val="20"/>
                <w:szCs w:val="20"/>
                <w:color w:val="auto"/>
              </w:rPr>
            </w:pPr>
            <w:r>
              <w:rPr>
                <w:rFonts w:ascii="Arial" w:cs="Arial" w:eastAsia="Arial" w:hAnsi="Arial"/>
                <w:sz w:val="14"/>
                <w:szCs w:val="14"/>
                <w:color w:val="auto"/>
              </w:rPr>
              <w:t>2,818</w:t>
            </w:r>
          </w:p>
        </w:tc>
        <w:tc>
          <w:tcPr>
            <w:tcW w:w="1360" w:type="dxa"/>
            <w:vAlign w:val="bottom"/>
          </w:tcPr>
          <w:p>
            <w:pPr>
              <w:jc w:val="right"/>
              <w:ind w:right="270"/>
              <w:spacing w:after="0"/>
              <w:rPr>
                <w:sz w:val="20"/>
                <w:szCs w:val="20"/>
                <w:color w:val="auto"/>
              </w:rPr>
            </w:pPr>
            <w:r>
              <w:rPr>
                <w:rFonts w:ascii="Arial" w:cs="Arial" w:eastAsia="Arial" w:hAnsi="Arial"/>
                <w:sz w:val="14"/>
                <w:szCs w:val="14"/>
                <w:color w:val="auto"/>
              </w:rPr>
              <w:t>2,487</w:t>
            </w:r>
          </w:p>
        </w:tc>
        <w:tc>
          <w:tcPr>
            <w:tcW w:w="1800" w:type="dxa"/>
            <w:vAlign w:val="bottom"/>
          </w:tcPr>
          <w:p>
            <w:pPr>
              <w:jc w:val="right"/>
              <w:ind w:right="170"/>
              <w:spacing w:after="0"/>
              <w:rPr>
                <w:sz w:val="20"/>
                <w:szCs w:val="20"/>
                <w:color w:val="auto"/>
              </w:rPr>
            </w:pPr>
            <w:r>
              <w:rPr>
                <w:rFonts w:ascii="Arial" w:cs="Arial" w:eastAsia="Arial" w:hAnsi="Arial"/>
                <w:sz w:val="14"/>
                <w:szCs w:val="14"/>
                <w:color w:val="auto"/>
              </w:rPr>
              <w:t>2,487</w:t>
            </w:r>
          </w:p>
        </w:tc>
        <w:tc>
          <w:tcPr>
            <w:tcW w:w="3220" w:type="dxa"/>
            <w:vAlign w:val="bottom"/>
          </w:tcPr>
          <w:p>
            <w:pPr>
              <w:ind w:left="240"/>
              <w:spacing w:after="0"/>
              <w:rPr>
                <w:sz w:val="20"/>
                <w:szCs w:val="20"/>
                <w:color w:val="auto"/>
              </w:rPr>
            </w:pPr>
            <w:r>
              <w:rPr>
                <w:rFonts w:ascii="Arial" w:cs="Arial" w:eastAsia="Arial" w:hAnsi="Arial"/>
                <w:sz w:val="13"/>
                <w:szCs w:val="13"/>
                <w:color w:val="auto"/>
              </w:rPr>
              <w:t>50% per year on February 2, 2026</w:t>
            </w:r>
          </w:p>
        </w:tc>
      </w:tr>
      <w:tr>
        <w:trPr>
          <w:trHeight w:val="162"/>
        </w:trPr>
        <w:tc>
          <w:tcPr>
            <w:tcW w:w="1840" w:type="dxa"/>
            <w:vAlign w:val="bottom"/>
            <w:tcBorders>
              <w:bottom w:val="single" w:sz="8" w:color="B2B2B2"/>
            </w:tcBorders>
          </w:tcPr>
          <w:p>
            <w:pPr>
              <w:spacing w:after="0"/>
              <w:rPr>
                <w:sz w:val="14"/>
                <w:szCs w:val="14"/>
                <w:color w:val="auto"/>
              </w:rPr>
            </w:pPr>
          </w:p>
        </w:tc>
        <w:tc>
          <w:tcPr>
            <w:tcW w:w="1500" w:type="dxa"/>
            <w:vAlign w:val="bottom"/>
            <w:tcBorders>
              <w:bottom w:val="single" w:sz="8" w:color="B2B2B2"/>
            </w:tcBorders>
          </w:tcPr>
          <w:p>
            <w:pPr>
              <w:spacing w:after="0"/>
              <w:rPr>
                <w:sz w:val="14"/>
                <w:szCs w:val="14"/>
                <w:color w:val="auto"/>
              </w:rPr>
            </w:pPr>
          </w:p>
        </w:tc>
        <w:tc>
          <w:tcPr>
            <w:tcW w:w="1300" w:type="dxa"/>
            <w:vAlign w:val="bottom"/>
            <w:tcBorders>
              <w:bottom w:val="single" w:sz="8" w:color="B2B2B2"/>
            </w:tcBorders>
          </w:tcPr>
          <w:p>
            <w:pPr>
              <w:spacing w:after="0"/>
              <w:rPr>
                <w:sz w:val="14"/>
                <w:szCs w:val="14"/>
                <w:color w:val="auto"/>
              </w:rPr>
            </w:pPr>
          </w:p>
        </w:tc>
        <w:tc>
          <w:tcPr>
            <w:tcW w:w="1360" w:type="dxa"/>
            <w:vAlign w:val="bottom"/>
            <w:tcBorders>
              <w:bottom w:val="single" w:sz="8" w:color="B2B2B2"/>
            </w:tcBorders>
          </w:tcPr>
          <w:p>
            <w:pPr>
              <w:spacing w:after="0"/>
              <w:rPr>
                <w:sz w:val="14"/>
                <w:szCs w:val="14"/>
                <w:color w:val="auto"/>
              </w:rPr>
            </w:pPr>
          </w:p>
        </w:tc>
        <w:tc>
          <w:tcPr>
            <w:tcW w:w="1800" w:type="dxa"/>
            <w:vAlign w:val="bottom"/>
            <w:tcBorders>
              <w:bottom w:val="single" w:sz="8" w:color="B2B2B2"/>
            </w:tcBorders>
          </w:tcPr>
          <w:p>
            <w:pPr>
              <w:spacing w:after="0"/>
              <w:rPr>
                <w:sz w:val="14"/>
                <w:szCs w:val="14"/>
                <w:color w:val="auto"/>
              </w:rPr>
            </w:pPr>
          </w:p>
        </w:tc>
        <w:tc>
          <w:tcPr>
            <w:tcW w:w="3220" w:type="dxa"/>
            <w:vAlign w:val="bottom"/>
            <w:tcBorders>
              <w:bottom w:val="single" w:sz="8" w:color="B2B2B2"/>
            </w:tcBorders>
          </w:tcPr>
          <w:p>
            <w:pPr>
              <w:ind w:left="240"/>
              <w:spacing w:after="0"/>
              <w:rPr>
                <w:sz w:val="20"/>
                <w:szCs w:val="20"/>
                <w:color w:val="auto"/>
              </w:rPr>
            </w:pPr>
            <w:r>
              <w:rPr>
                <w:rFonts w:ascii="Arial" w:cs="Arial" w:eastAsia="Arial" w:hAnsi="Arial"/>
                <w:sz w:val="13"/>
                <w:szCs w:val="13"/>
                <w:color w:val="auto"/>
              </w:rPr>
              <w:t>and 2027</w:t>
            </w:r>
          </w:p>
        </w:tc>
      </w:tr>
      <w:tr>
        <w:trPr>
          <w:trHeight w:val="183"/>
        </w:trPr>
        <w:tc>
          <w:tcPr>
            <w:tcW w:w="1840" w:type="dxa"/>
            <w:vAlign w:val="bottom"/>
          </w:tcPr>
          <w:p>
            <w:pPr>
              <w:jc w:val="right"/>
              <w:ind w:right="271"/>
              <w:spacing w:after="0"/>
              <w:rPr>
                <w:sz w:val="20"/>
                <w:szCs w:val="20"/>
                <w:color w:val="auto"/>
              </w:rPr>
            </w:pPr>
            <w:r>
              <w:rPr>
                <w:rFonts w:ascii="Arial" w:cs="Arial" w:eastAsia="Arial" w:hAnsi="Arial"/>
                <w:sz w:val="14"/>
                <w:szCs w:val="14"/>
                <w:color w:val="auto"/>
              </w:rPr>
              <w:t>1,939</w:t>
            </w:r>
          </w:p>
        </w:tc>
        <w:tc>
          <w:tcPr>
            <w:tcW w:w="1500" w:type="dxa"/>
            <w:vAlign w:val="bottom"/>
          </w:tcPr>
          <w:p>
            <w:pPr>
              <w:jc w:val="right"/>
              <w:ind w:right="250"/>
              <w:spacing w:after="0"/>
              <w:rPr>
                <w:sz w:val="20"/>
                <w:szCs w:val="20"/>
                <w:color w:val="auto"/>
              </w:rPr>
            </w:pPr>
            <w:r>
              <w:rPr>
                <w:rFonts w:ascii="Arial" w:cs="Arial" w:eastAsia="Arial" w:hAnsi="Arial"/>
                <w:sz w:val="14"/>
                <w:szCs w:val="14"/>
                <w:color w:val="auto"/>
              </w:rPr>
              <w:t>15,517</w:t>
            </w:r>
          </w:p>
        </w:tc>
        <w:tc>
          <w:tcPr>
            <w:tcW w:w="1300" w:type="dxa"/>
            <w:vAlign w:val="bottom"/>
          </w:tcPr>
          <w:p>
            <w:pPr>
              <w:jc w:val="right"/>
              <w:ind w:right="250"/>
              <w:spacing w:after="0"/>
              <w:rPr>
                <w:sz w:val="20"/>
                <w:szCs w:val="20"/>
                <w:color w:val="auto"/>
              </w:rPr>
            </w:pPr>
            <w:r>
              <w:rPr>
                <w:rFonts w:ascii="Arial" w:cs="Arial" w:eastAsia="Arial" w:hAnsi="Arial"/>
                <w:sz w:val="14"/>
                <w:szCs w:val="14"/>
                <w:color w:val="auto"/>
              </w:rPr>
              <w:t>4,913</w:t>
            </w:r>
          </w:p>
        </w:tc>
        <w:tc>
          <w:tcPr>
            <w:tcW w:w="1360" w:type="dxa"/>
            <w:vAlign w:val="bottom"/>
          </w:tcPr>
          <w:p>
            <w:pPr>
              <w:jc w:val="right"/>
              <w:ind w:right="270"/>
              <w:spacing w:after="0"/>
              <w:rPr>
                <w:sz w:val="20"/>
                <w:szCs w:val="20"/>
                <w:color w:val="auto"/>
              </w:rPr>
            </w:pPr>
            <w:r>
              <w:rPr>
                <w:rFonts w:ascii="Arial" w:cs="Arial" w:eastAsia="Arial" w:hAnsi="Arial"/>
                <w:sz w:val="14"/>
                <w:szCs w:val="14"/>
                <w:color w:val="auto"/>
              </w:rPr>
              <w:t>3,621</w:t>
            </w:r>
          </w:p>
        </w:tc>
        <w:tc>
          <w:tcPr>
            <w:tcW w:w="1800" w:type="dxa"/>
            <w:vAlign w:val="bottom"/>
          </w:tcPr>
          <w:p>
            <w:pPr>
              <w:jc w:val="right"/>
              <w:ind w:right="170"/>
              <w:spacing w:after="0"/>
              <w:rPr>
                <w:sz w:val="20"/>
                <w:szCs w:val="20"/>
                <w:color w:val="auto"/>
              </w:rPr>
            </w:pPr>
            <w:r>
              <w:rPr>
                <w:rFonts w:ascii="Arial" w:cs="Arial" w:eastAsia="Arial" w:hAnsi="Arial"/>
                <w:sz w:val="14"/>
                <w:szCs w:val="14"/>
                <w:color w:val="auto"/>
              </w:rPr>
              <w:t>3,621</w:t>
            </w:r>
          </w:p>
        </w:tc>
        <w:tc>
          <w:tcPr>
            <w:tcW w:w="3220" w:type="dxa"/>
            <w:vAlign w:val="bottom"/>
          </w:tcPr>
          <w:p>
            <w:pPr>
              <w:ind w:left="240"/>
              <w:spacing w:after="0"/>
              <w:rPr>
                <w:sz w:val="20"/>
                <w:szCs w:val="20"/>
                <w:color w:val="auto"/>
              </w:rPr>
            </w:pPr>
            <w:r>
              <w:rPr>
                <w:rFonts w:ascii="Arial" w:cs="Arial" w:eastAsia="Arial" w:hAnsi="Arial"/>
                <w:sz w:val="13"/>
                <w:szCs w:val="13"/>
                <w:color w:val="auto"/>
              </w:rPr>
              <w:t>33 1/3% per year on February 6, 2026,</w:t>
            </w:r>
          </w:p>
        </w:tc>
      </w:tr>
      <w:tr>
        <w:trPr>
          <w:trHeight w:val="162"/>
        </w:trPr>
        <w:tc>
          <w:tcPr>
            <w:tcW w:w="1840" w:type="dxa"/>
            <w:vAlign w:val="bottom"/>
            <w:tcBorders>
              <w:bottom w:val="single" w:sz="8" w:color="B2B2B2"/>
            </w:tcBorders>
          </w:tcPr>
          <w:p>
            <w:pPr>
              <w:spacing w:after="0"/>
              <w:rPr>
                <w:sz w:val="14"/>
                <w:szCs w:val="14"/>
                <w:color w:val="auto"/>
              </w:rPr>
            </w:pPr>
          </w:p>
        </w:tc>
        <w:tc>
          <w:tcPr>
            <w:tcW w:w="1500" w:type="dxa"/>
            <w:vAlign w:val="bottom"/>
            <w:tcBorders>
              <w:bottom w:val="single" w:sz="8" w:color="B2B2B2"/>
            </w:tcBorders>
          </w:tcPr>
          <w:p>
            <w:pPr>
              <w:spacing w:after="0"/>
              <w:rPr>
                <w:sz w:val="14"/>
                <w:szCs w:val="14"/>
                <w:color w:val="auto"/>
              </w:rPr>
            </w:pPr>
          </w:p>
        </w:tc>
        <w:tc>
          <w:tcPr>
            <w:tcW w:w="1300" w:type="dxa"/>
            <w:vAlign w:val="bottom"/>
            <w:tcBorders>
              <w:bottom w:val="single" w:sz="8" w:color="B2B2B2"/>
            </w:tcBorders>
          </w:tcPr>
          <w:p>
            <w:pPr>
              <w:spacing w:after="0"/>
              <w:rPr>
                <w:sz w:val="14"/>
                <w:szCs w:val="14"/>
                <w:color w:val="auto"/>
              </w:rPr>
            </w:pPr>
          </w:p>
        </w:tc>
        <w:tc>
          <w:tcPr>
            <w:tcW w:w="1360" w:type="dxa"/>
            <w:vAlign w:val="bottom"/>
            <w:tcBorders>
              <w:bottom w:val="single" w:sz="8" w:color="B2B2B2"/>
            </w:tcBorders>
          </w:tcPr>
          <w:p>
            <w:pPr>
              <w:spacing w:after="0"/>
              <w:rPr>
                <w:sz w:val="14"/>
                <w:szCs w:val="14"/>
                <w:color w:val="auto"/>
              </w:rPr>
            </w:pPr>
          </w:p>
        </w:tc>
        <w:tc>
          <w:tcPr>
            <w:tcW w:w="1800" w:type="dxa"/>
            <w:vAlign w:val="bottom"/>
            <w:tcBorders>
              <w:bottom w:val="single" w:sz="8" w:color="B2B2B2"/>
            </w:tcBorders>
          </w:tcPr>
          <w:p>
            <w:pPr>
              <w:spacing w:after="0"/>
              <w:rPr>
                <w:sz w:val="14"/>
                <w:szCs w:val="14"/>
                <w:color w:val="auto"/>
              </w:rPr>
            </w:pPr>
          </w:p>
        </w:tc>
        <w:tc>
          <w:tcPr>
            <w:tcW w:w="3220" w:type="dxa"/>
            <w:vAlign w:val="bottom"/>
            <w:tcBorders>
              <w:bottom w:val="single" w:sz="8" w:color="B2B2B2"/>
            </w:tcBorders>
          </w:tcPr>
          <w:p>
            <w:pPr>
              <w:ind w:left="240"/>
              <w:spacing w:after="0"/>
              <w:rPr>
                <w:sz w:val="20"/>
                <w:szCs w:val="20"/>
                <w:color w:val="auto"/>
              </w:rPr>
            </w:pPr>
            <w:r>
              <w:rPr>
                <w:rFonts w:ascii="Arial" w:cs="Arial" w:eastAsia="Arial" w:hAnsi="Arial"/>
                <w:sz w:val="13"/>
                <w:szCs w:val="13"/>
                <w:color w:val="auto"/>
              </w:rPr>
              <w:t>2027, and 2028.</w:t>
            </w:r>
          </w:p>
        </w:tc>
      </w:tr>
      <w:tr>
        <w:trPr>
          <w:trHeight w:val="183"/>
        </w:trPr>
        <w:tc>
          <w:tcPr>
            <w:tcW w:w="1840" w:type="dxa"/>
            <w:vAlign w:val="bottom"/>
          </w:tcPr>
          <w:p>
            <w:pPr>
              <w:jc w:val="right"/>
              <w:ind w:right="271"/>
              <w:spacing w:after="0"/>
              <w:rPr>
                <w:sz w:val="20"/>
                <w:szCs w:val="20"/>
                <w:color w:val="auto"/>
              </w:rPr>
            </w:pPr>
            <w:r>
              <w:rPr>
                <w:rFonts w:ascii="Arial" w:cs="Arial" w:eastAsia="Arial" w:hAnsi="Arial"/>
                <w:sz w:val="14"/>
                <w:szCs w:val="14"/>
                <w:color w:val="auto"/>
              </w:rPr>
              <w:t>2,152</w:t>
            </w:r>
          </w:p>
        </w:tc>
        <w:tc>
          <w:tcPr>
            <w:tcW w:w="1500" w:type="dxa"/>
            <w:vAlign w:val="bottom"/>
          </w:tcPr>
          <w:p>
            <w:pPr>
              <w:jc w:val="right"/>
              <w:ind w:right="250"/>
              <w:spacing w:after="0"/>
              <w:rPr>
                <w:sz w:val="20"/>
                <w:szCs w:val="20"/>
                <w:color w:val="auto"/>
              </w:rPr>
            </w:pPr>
            <w:r>
              <w:rPr>
                <w:rFonts w:ascii="Arial" w:cs="Arial" w:eastAsia="Arial" w:hAnsi="Arial"/>
                <w:sz w:val="14"/>
                <w:szCs w:val="14"/>
                <w:color w:val="auto"/>
              </w:rPr>
              <w:t>17,927</w:t>
            </w:r>
          </w:p>
        </w:tc>
        <w:tc>
          <w:tcPr>
            <w:tcW w:w="1300" w:type="dxa"/>
            <w:vAlign w:val="bottom"/>
          </w:tcPr>
          <w:p>
            <w:pPr>
              <w:jc w:val="right"/>
              <w:ind w:right="250"/>
              <w:spacing w:after="0"/>
              <w:rPr>
                <w:sz w:val="20"/>
                <w:szCs w:val="20"/>
                <w:color w:val="auto"/>
              </w:rPr>
            </w:pPr>
            <w:r>
              <w:rPr>
                <w:rFonts w:ascii="Arial" w:cs="Arial" w:eastAsia="Arial" w:hAnsi="Arial"/>
                <w:sz w:val="14"/>
                <w:szCs w:val="14"/>
                <w:color w:val="auto"/>
              </w:rPr>
              <w:t>5,622</w:t>
            </w:r>
          </w:p>
        </w:tc>
        <w:tc>
          <w:tcPr>
            <w:tcW w:w="1360" w:type="dxa"/>
            <w:vAlign w:val="bottom"/>
          </w:tcPr>
          <w:p>
            <w:pPr>
              <w:jc w:val="right"/>
              <w:ind w:right="270"/>
              <w:spacing w:after="0"/>
              <w:rPr>
                <w:sz w:val="20"/>
                <w:szCs w:val="20"/>
                <w:color w:val="auto"/>
              </w:rPr>
            </w:pPr>
            <w:r>
              <w:rPr>
                <w:rFonts w:ascii="Arial" w:cs="Arial" w:eastAsia="Arial" w:hAnsi="Arial"/>
                <w:sz w:val="14"/>
                <w:szCs w:val="14"/>
                <w:color w:val="auto"/>
              </w:rPr>
              <w:t>4,302</w:t>
            </w:r>
          </w:p>
        </w:tc>
        <w:tc>
          <w:tcPr>
            <w:tcW w:w="1800" w:type="dxa"/>
            <w:vAlign w:val="bottom"/>
          </w:tcPr>
          <w:p>
            <w:pPr>
              <w:jc w:val="right"/>
              <w:ind w:right="170"/>
              <w:spacing w:after="0"/>
              <w:rPr>
                <w:sz w:val="20"/>
                <w:szCs w:val="20"/>
                <w:color w:val="auto"/>
              </w:rPr>
            </w:pPr>
            <w:r>
              <w:rPr>
                <w:rFonts w:ascii="Arial" w:cs="Arial" w:eastAsia="Arial" w:hAnsi="Arial"/>
                <w:sz w:val="14"/>
                <w:szCs w:val="14"/>
                <w:color w:val="auto"/>
              </w:rPr>
              <w:t>4,302</w:t>
            </w:r>
          </w:p>
        </w:tc>
        <w:tc>
          <w:tcPr>
            <w:tcW w:w="3220" w:type="dxa"/>
            <w:vAlign w:val="bottom"/>
          </w:tcPr>
          <w:p>
            <w:pPr>
              <w:ind w:left="240"/>
              <w:spacing w:after="0"/>
              <w:rPr>
                <w:sz w:val="20"/>
                <w:szCs w:val="20"/>
                <w:color w:val="auto"/>
              </w:rPr>
            </w:pPr>
            <w:r>
              <w:rPr>
                <w:rFonts w:ascii="Arial" w:cs="Arial" w:eastAsia="Arial" w:hAnsi="Arial"/>
                <w:sz w:val="13"/>
                <w:szCs w:val="13"/>
                <w:color w:val="auto"/>
              </w:rPr>
              <w:t>25% per year on February 4, 2026,</w:t>
            </w:r>
          </w:p>
        </w:tc>
      </w:tr>
      <w:tr>
        <w:trPr>
          <w:trHeight w:val="162"/>
        </w:trPr>
        <w:tc>
          <w:tcPr>
            <w:tcW w:w="1840" w:type="dxa"/>
            <w:vAlign w:val="bottom"/>
            <w:tcBorders>
              <w:bottom w:val="single" w:sz="8" w:color="E56D3D"/>
            </w:tcBorders>
          </w:tcPr>
          <w:p>
            <w:pPr>
              <w:spacing w:after="0"/>
              <w:rPr>
                <w:sz w:val="14"/>
                <w:szCs w:val="14"/>
                <w:color w:val="auto"/>
              </w:rPr>
            </w:pPr>
          </w:p>
        </w:tc>
        <w:tc>
          <w:tcPr>
            <w:tcW w:w="1500" w:type="dxa"/>
            <w:vAlign w:val="bottom"/>
            <w:tcBorders>
              <w:bottom w:val="single" w:sz="8" w:color="E56D3D"/>
            </w:tcBorders>
          </w:tcPr>
          <w:p>
            <w:pPr>
              <w:spacing w:after="0"/>
              <w:rPr>
                <w:sz w:val="14"/>
                <w:szCs w:val="14"/>
                <w:color w:val="auto"/>
              </w:rPr>
            </w:pPr>
          </w:p>
        </w:tc>
        <w:tc>
          <w:tcPr>
            <w:tcW w:w="1300" w:type="dxa"/>
            <w:vAlign w:val="bottom"/>
            <w:tcBorders>
              <w:bottom w:val="single" w:sz="8" w:color="E56D3D"/>
            </w:tcBorders>
          </w:tcPr>
          <w:p>
            <w:pPr>
              <w:spacing w:after="0"/>
              <w:rPr>
                <w:sz w:val="14"/>
                <w:szCs w:val="14"/>
                <w:color w:val="auto"/>
              </w:rPr>
            </w:pPr>
          </w:p>
        </w:tc>
        <w:tc>
          <w:tcPr>
            <w:tcW w:w="1360" w:type="dxa"/>
            <w:vAlign w:val="bottom"/>
            <w:tcBorders>
              <w:bottom w:val="single" w:sz="8" w:color="E56D3D"/>
            </w:tcBorders>
          </w:tcPr>
          <w:p>
            <w:pPr>
              <w:spacing w:after="0"/>
              <w:rPr>
                <w:sz w:val="14"/>
                <w:szCs w:val="14"/>
                <w:color w:val="auto"/>
              </w:rPr>
            </w:pPr>
          </w:p>
        </w:tc>
        <w:tc>
          <w:tcPr>
            <w:tcW w:w="1800" w:type="dxa"/>
            <w:vAlign w:val="bottom"/>
            <w:tcBorders>
              <w:bottom w:val="single" w:sz="8" w:color="E56D3D"/>
            </w:tcBorders>
          </w:tcPr>
          <w:p>
            <w:pPr>
              <w:spacing w:after="0"/>
              <w:rPr>
                <w:sz w:val="14"/>
                <w:szCs w:val="14"/>
                <w:color w:val="auto"/>
              </w:rPr>
            </w:pPr>
          </w:p>
        </w:tc>
        <w:tc>
          <w:tcPr>
            <w:tcW w:w="3220" w:type="dxa"/>
            <w:vAlign w:val="bottom"/>
            <w:tcBorders>
              <w:bottom w:val="single" w:sz="8" w:color="E56D3D"/>
            </w:tcBorders>
          </w:tcPr>
          <w:p>
            <w:pPr>
              <w:ind w:left="240"/>
              <w:spacing w:after="0"/>
              <w:rPr>
                <w:sz w:val="20"/>
                <w:szCs w:val="20"/>
                <w:color w:val="auto"/>
              </w:rPr>
            </w:pPr>
            <w:r>
              <w:rPr>
                <w:rFonts w:ascii="Arial" w:cs="Arial" w:eastAsia="Arial" w:hAnsi="Arial"/>
                <w:sz w:val="13"/>
                <w:szCs w:val="13"/>
                <w:color w:val="auto"/>
              </w:rPr>
              <w:t>2027, 2028 and 2029</w:t>
            </w:r>
          </w:p>
        </w:tc>
      </w:tr>
    </w:tbl>
    <w:p>
      <w:pPr>
        <w:spacing w:after="0" w:line="50" w:lineRule="exact"/>
        <w:rPr>
          <w:sz w:val="20"/>
          <w:szCs w:val="20"/>
          <w:color w:val="auto"/>
        </w:rPr>
      </w:pPr>
    </w:p>
    <w:p>
      <w:pPr>
        <w:ind w:left="4" w:right="180" w:hanging="4"/>
        <w:spacing w:after="0" w:line="245" w:lineRule="auto"/>
        <w:tabs>
          <w:tab w:leader="none" w:pos="193"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amounts in this column have been computed based on $69.03 per share, which is the closing price of our common stock on December 31, 2025, and include unvested dividend equivalent units as of that date. The actual value realized by the executive will depend on the market value of our common stock on the date that the awards vest and the actual number of shares that vest.</w:t>
      </w:r>
    </w:p>
    <w:p>
      <w:pPr>
        <w:ind w:left="184" w:hanging="184"/>
        <w:spacing w:after="0" w:line="216" w:lineRule="auto"/>
        <w:tabs>
          <w:tab w:leader="none" w:pos="184" w:val="left"/>
        </w:tabs>
        <w:numPr>
          <w:ilvl w:val="0"/>
          <w:numId w:val="66"/>
        </w:numPr>
        <w:rPr>
          <w:rFonts w:ascii="Arial" w:cs="Arial" w:eastAsia="Arial" w:hAnsi="Arial"/>
          <w:sz w:val="13"/>
          <w:szCs w:val="13"/>
          <w:color w:val="auto"/>
        </w:rPr>
      </w:pPr>
      <w:r>
        <w:rPr>
          <w:rFonts w:ascii="Arial" w:cs="Arial" w:eastAsia="Arial" w:hAnsi="Arial"/>
          <w:sz w:val="13"/>
          <w:szCs w:val="13"/>
          <w:color w:val="auto"/>
        </w:rPr>
        <w:t>Amounts shown represent performance at target, as of December 31, 2025, for performance-based awards granted in 2024 with a performance period from 2024 through 2026.</w:t>
      </w:r>
    </w:p>
    <w:p>
      <w:pPr>
        <w:ind w:left="4" w:right="420" w:hanging="4"/>
        <w:spacing w:after="0" w:line="231" w:lineRule="auto"/>
        <w:tabs>
          <w:tab w:leader="none" w:pos="193" w:val="left"/>
        </w:tabs>
        <w:numPr>
          <w:ilvl w:val="0"/>
          <w:numId w:val="66"/>
        </w:numPr>
        <w:rPr>
          <w:rFonts w:ascii="Arial" w:cs="Arial" w:eastAsia="Arial" w:hAnsi="Arial"/>
          <w:sz w:val="13"/>
          <w:szCs w:val="13"/>
          <w:color w:val="auto"/>
        </w:rPr>
      </w:pPr>
      <w:r>
        <w:rPr>
          <w:rFonts w:ascii="Arial" w:cs="Arial" w:eastAsia="Arial" w:hAnsi="Arial"/>
          <w:sz w:val="13"/>
          <w:szCs w:val="13"/>
          <w:color w:val="auto"/>
        </w:rPr>
        <w:t>Amounts shown represent performance at 150% of target, which is the next higher level of performance that exceeds actual performance as of December 31, 2025, for performance-based awards granted in 2025 with a performance period from 2025 through 2027.</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42</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024"/>
          </w:cols>
          <w:pgMar w:left="436" w:top="291"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 </w:t>
      </w:r>
      <w:r>
        <w:rPr>
          <w:rFonts w:ascii="Arial" w:cs="Arial" w:eastAsia="Arial" w:hAnsi="Arial"/>
          <w:sz w:val="19"/>
          <w:szCs w:val="19"/>
          <w:b w:val="1"/>
          <w:bCs w:val="1"/>
          <w:color w:val="E56D3D"/>
        </w:rPr>
        <w:t>|</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6A6E6F"/>
        </w:rPr>
        <w:t>Options Exercises and Stock Vested in 2025</w:t>
      </w:r>
    </w:p>
    <w:p>
      <w:pPr>
        <w:spacing w:after="0" w:line="72" w:lineRule="exact"/>
        <w:rPr>
          <w:sz w:val="20"/>
          <w:szCs w:val="20"/>
          <w:color w:val="auto"/>
        </w:rPr>
      </w:pPr>
    </w:p>
    <w:p>
      <w:pPr>
        <w:ind w:left="4" w:right="120"/>
        <w:spacing w:after="0" w:line="286" w:lineRule="auto"/>
        <w:rPr>
          <w:sz w:val="20"/>
          <w:szCs w:val="20"/>
          <w:color w:val="auto"/>
        </w:rPr>
      </w:pPr>
      <w:r>
        <w:rPr>
          <w:rFonts w:ascii="Arial" w:cs="Arial" w:eastAsia="Arial" w:hAnsi="Arial"/>
          <w:sz w:val="16"/>
          <w:szCs w:val="16"/>
          <w:color w:val="auto"/>
        </w:rPr>
        <w:t>Our NEOs do not have any stock options outstanding and did not exercise any stock options in 2025. The following table sets forth information about the vesting of both stock rights (i.e., restricted stock) and performance-based equity awards for our NEOs in 2025.</w:t>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E56D3D"/>
              </w:rPr>
              <w:t>Stock Awards</w:t>
            </w:r>
          </w:p>
        </w:tc>
        <w:tc>
          <w:tcPr>
            <w:tcW w:w="0" w:type="dxa"/>
            <w:vAlign w:val="bottom"/>
          </w:tcPr>
          <w:p>
            <w:pPr>
              <w:spacing w:after="0"/>
              <w:rPr>
                <w:sz w:val="1"/>
                <w:szCs w:val="1"/>
                <w:color w:val="auto"/>
              </w:rPr>
            </w:pPr>
          </w:p>
        </w:tc>
      </w:tr>
      <w:tr>
        <w:trPr>
          <w:trHeight w:val="43"/>
        </w:trPr>
        <w:tc>
          <w:tcPr>
            <w:tcW w:w="8060" w:type="dxa"/>
            <w:vAlign w:val="bottom"/>
          </w:tcPr>
          <w:p>
            <w:pPr>
              <w:spacing w:after="0"/>
              <w:rPr>
                <w:sz w:val="3"/>
                <w:szCs w:val="3"/>
                <w:color w:val="auto"/>
              </w:rPr>
            </w:pPr>
          </w:p>
        </w:tc>
        <w:tc>
          <w:tcPr>
            <w:tcW w:w="1680" w:type="dxa"/>
            <w:vAlign w:val="bottom"/>
            <w:tcBorders>
              <w:bottom w:val="single" w:sz="8" w:color="E56D3D"/>
            </w:tcBorders>
          </w:tcPr>
          <w:p>
            <w:pPr>
              <w:spacing w:after="0"/>
              <w:rPr>
                <w:sz w:val="3"/>
                <w:szCs w:val="3"/>
                <w:color w:val="auto"/>
              </w:rPr>
            </w:pPr>
          </w:p>
        </w:tc>
        <w:tc>
          <w:tcPr>
            <w:tcW w:w="1280" w:type="dxa"/>
            <w:vAlign w:val="bottom"/>
            <w:tcBorders>
              <w:bottom w:val="single" w:sz="8" w:color="E56D3D"/>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8060" w:type="dxa"/>
            <w:vAlign w:val="bottom"/>
          </w:tcPr>
          <w:p>
            <w:pPr>
              <w:spacing w:after="0"/>
              <w:rPr>
                <w:sz w:val="12"/>
                <w:szCs w:val="12"/>
                <w:color w:val="auto"/>
              </w:rPr>
            </w:pPr>
          </w:p>
        </w:tc>
        <w:tc>
          <w:tcPr>
            <w:tcW w:w="168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6A6E6F"/>
              </w:rPr>
              <w:t>Number of</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6A6E6F"/>
              </w:rPr>
              <w:t>Value</w:t>
            </w: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16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6A6E6F"/>
              </w:rPr>
              <w:t>Shares</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Arial" w:cs="Arial" w:eastAsia="Arial" w:hAnsi="Arial"/>
                <w:sz w:val="14"/>
                <w:szCs w:val="14"/>
                <w:b w:val="1"/>
                <w:bCs w:val="1"/>
                <w:color w:val="6A6E6F"/>
              </w:rPr>
              <w:t>Acquired on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6A6E6F"/>
              </w:rPr>
              <w:t>Realized on</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680" w:type="dxa"/>
            <w:vAlign w:val="bottom"/>
          </w:tcPr>
          <w:p>
            <w:pPr>
              <w:jc w:val="right"/>
              <w:ind w:right="148"/>
              <w:spacing w:after="0" w:line="162" w:lineRule="exact"/>
              <w:rPr>
                <w:sz w:val="20"/>
                <w:szCs w:val="20"/>
                <w:color w:val="auto"/>
              </w:rPr>
            </w:pPr>
            <w:r>
              <w:rPr>
                <w:rFonts w:ascii="Arial" w:cs="Arial" w:eastAsia="Arial" w:hAnsi="Arial"/>
                <w:sz w:val="14"/>
                <w:szCs w:val="14"/>
                <w:b w:val="1"/>
                <w:bCs w:val="1"/>
                <w:color w:val="6A6E6F"/>
              </w:rPr>
              <w:t>Vesting</w:t>
            </w:r>
            <w:r>
              <w:rPr>
                <w:rFonts w:ascii="Arial" w:cs="Arial" w:eastAsia="Arial" w:hAnsi="Arial"/>
                <w:sz w:val="17"/>
                <w:szCs w:val="17"/>
                <w:b w:val="1"/>
                <w:bCs w:val="1"/>
                <w:color w:val="6A6E6F"/>
                <w:vertAlign w:val="superscript"/>
              </w:rPr>
              <w:t>(1)</w:t>
            </w:r>
          </w:p>
        </w:tc>
        <w:tc>
          <w:tcPr>
            <w:tcW w:w="1280" w:type="dxa"/>
            <w:vAlign w:val="bottom"/>
          </w:tcPr>
          <w:p>
            <w:pPr>
              <w:jc w:val="right"/>
              <w:ind w:right="48"/>
              <w:spacing w:after="0" w:line="162" w:lineRule="exact"/>
              <w:rPr>
                <w:sz w:val="20"/>
                <w:szCs w:val="20"/>
                <w:color w:val="auto"/>
              </w:rPr>
            </w:pPr>
            <w:r>
              <w:rPr>
                <w:rFonts w:ascii="Arial" w:cs="Arial" w:eastAsia="Arial" w:hAnsi="Arial"/>
                <w:sz w:val="14"/>
                <w:szCs w:val="14"/>
                <w:b w:val="1"/>
                <w:bCs w:val="1"/>
                <w:color w:val="6A6E6F"/>
              </w:rPr>
              <w:t>Vesting</w:t>
            </w:r>
            <w:r>
              <w:rPr>
                <w:rFonts w:ascii="Arial" w:cs="Arial" w:eastAsia="Arial" w:hAnsi="Arial"/>
                <w:sz w:val="17"/>
                <w:szCs w:val="17"/>
                <w:b w:val="1"/>
                <w:bCs w:val="1"/>
                <w:color w:val="6A6E6F"/>
                <w:vertAlign w:val="superscript"/>
              </w:rPr>
              <w:t>(2)</w:t>
            </w:r>
          </w:p>
        </w:tc>
        <w:tc>
          <w:tcPr>
            <w:tcW w:w="0" w:type="dxa"/>
            <w:vAlign w:val="bottom"/>
          </w:tcPr>
          <w:p>
            <w:pPr>
              <w:spacing w:after="0"/>
              <w:rPr>
                <w:sz w:val="1"/>
                <w:szCs w:val="1"/>
                <w:color w:val="auto"/>
              </w:rPr>
            </w:pPr>
          </w:p>
        </w:tc>
      </w:tr>
      <w:tr>
        <w:trPr>
          <w:trHeight w:val="185"/>
        </w:trPr>
        <w:tc>
          <w:tcPr>
            <w:tcW w:w="806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6A6E6F"/>
              </w:rPr>
              <w:t>Name</w:t>
            </w:r>
          </w:p>
        </w:tc>
        <w:tc>
          <w:tcPr>
            <w:tcW w:w="1680" w:type="dxa"/>
            <w:vAlign w:val="bottom"/>
            <w:tcBorders>
              <w:bottom w:val="single" w:sz="8" w:color="E56D3D"/>
            </w:tcBorders>
          </w:tcPr>
          <w:p>
            <w:pPr>
              <w:jc w:val="right"/>
              <w:ind w:right="148"/>
              <w:spacing w:after="0"/>
              <w:rPr>
                <w:sz w:val="20"/>
                <w:szCs w:val="20"/>
                <w:color w:val="auto"/>
              </w:rPr>
            </w:pPr>
            <w:r>
              <w:rPr>
                <w:rFonts w:ascii="Arial" w:cs="Arial" w:eastAsia="Arial" w:hAnsi="Arial"/>
                <w:sz w:val="14"/>
                <w:szCs w:val="14"/>
                <w:b w:val="1"/>
                <w:bCs w:val="1"/>
                <w:color w:val="6A6E6F"/>
              </w:rPr>
              <w:t>(#)</w:t>
            </w:r>
          </w:p>
        </w:tc>
        <w:tc>
          <w:tcPr>
            <w:tcW w:w="128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6A6E6F"/>
              </w:rPr>
              <w:t>($)</w:t>
            </w:r>
          </w:p>
        </w:tc>
        <w:tc>
          <w:tcPr>
            <w:tcW w:w="0" w:type="dxa"/>
            <w:vAlign w:val="bottom"/>
          </w:tcPr>
          <w:p>
            <w:pPr>
              <w:spacing w:after="0"/>
              <w:rPr>
                <w:sz w:val="1"/>
                <w:szCs w:val="1"/>
                <w:color w:val="auto"/>
              </w:rPr>
            </w:pPr>
          </w:p>
        </w:tc>
      </w:tr>
      <w:tr>
        <w:trPr>
          <w:trHeight w:val="233"/>
        </w:trPr>
        <w:tc>
          <w:tcPr>
            <w:tcW w:w="80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Martin E. Stein, Jr.</w:t>
            </w:r>
          </w:p>
        </w:tc>
        <w:tc>
          <w:tcPr>
            <w:tcW w:w="16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18,182</w:t>
            </w:r>
          </w:p>
        </w:tc>
        <w:tc>
          <w:tcPr>
            <w:tcW w:w="12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$1,288,922</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Lisa Palmer</w:t>
            </w:r>
          </w:p>
        </w:tc>
        <w:tc>
          <w:tcPr>
            <w:tcW w:w="16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65,301</w:t>
            </w:r>
          </w:p>
        </w:tc>
        <w:tc>
          <w:tcPr>
            <w:tcW w:w="12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$4,629,188</w:t>
            </w:r>
          </w:p>
        </w:tc>
        <w:tc>
          <w:tcPr>
            <w:tcW w:w="0" w:type="dxa"/>
            <w:vAlign w:val="bottom"/>
          </w:tcPr>
          <w:p>
            <w:pPr>
              <w:spacing w:after="0"/>
              <w:rPr>
                <w:sz w:val="1"/>
                <w:szCs w:val="1"/>
                <w:color w:val="auto"/>
              </w:rPr>
            </w:pPr>
          </w:p>
        </w:tc>
      </w:tr>
      <w:tr>
        <w:trPr>
          <w:trHeight w:val="236"/>
        </w:trPr>
        <w:tc>
          <w:tcPr>
            <w:tcW w:w="80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Michael J. Mas</w:t>
            </w:r>
          </w:p>
        </w:tc>
        <w:tc>
          <w:tcPr>
            <w:tcW w:w="16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20,035</w:t>
            </w:r>
          </w:p>
        </w:tc>
        <w:tc>
          <w:tcPr>
            <w:tcW w:w="12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$1,420,281</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Alan T. Roth</w:t>
            </w:r>
          </w:p>
        </w:tc>
        <w:tc>
          <w:tcPr>
            <w:tcW w:w="16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10,644</w:t>
            </w:r>
          </w:p>
        </w:tc>
        <w:tc>
          <w:tcPr>
            <w:tcW w:w="12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$754,553</w:t>
            </w:r>
          </w:p>
        </w:tc>
        <w:tc>
          <w:tcPr>
            <w:tcW w:w="0" w:type="dxa"/>
            <w:vAlign w:val="bottom"/>
          </w:tcPr>
          <w:p>
            <w:pPr>
              <w:spacing w:after="0"/>
              <w:rPr>
                <w:sz w:val="1"/>
                <w:szCs w:val="1"/>
                <w:color w:val="auto"/>
              </w:rPr>
            </w:pPr>
          </w:p>
        </w:tc>
      </w:tr>
      <w:tr>
        <w:trPr>
          <w:trHeight w:val="233"/>
        </w:trPr>
        <w:tc>
          <w:tcPr>
            <w:tcW w:w="8060" w:type="dxa"/>
            <w:vAlign w:val="bottom"/>
          </w:tcPr>
          <w:p>
            <w:pPr>
              <w:ind w:left="60"/>
              <w:spacing w:after="0"/>
              <w:rPr>
                <w:sz w:val="20"/>
                <w:szCs w:val="20"/>
                <w:color w:val="auto"/>
              </w:rPr>
            </w:pPr>
            <w:r>
              <w:rPr>
                <w:rFonts w:ascii="Arial" w:cs="Arial" w:eastAsia="Arial" w:hAnsi="Arial"/>
                <w:sz w:val="14"/>
                <w:szCs w:val="14"/>
                <w:color w:val="auto"/>
              </w:rPr>
              <w:t>Nicholas A. Wibbenmeyer</w:t>
            </w:r>
          </w:p>
        </w:tc>
        <w:tc>
          <w:tcPr>
            <w:tcW w:w="1680" w:type="dxa"/>
            <w:vAlign w:val="bottom"/>
          </w:tcPr>
          <w:p>
            <w:pPr>
              <w:jc w:val="right"/>
              <w:ind w:right="148"/>
              <w:spacing w:after="0"/>
              <w:rPr>
                <w:sz w:val="20"/>
                <w:szCs w:val="20"/>
                <w:color w:val="auto"/>
              </w:rPr>
            </w:pPr>
            <w:r>
              <w:rPr>
                <w:rFonts w:ascii="Arial" w:cs="Arial" w:eastAsia="Arial" w:hAnsi="Arial"/>
                <w:sz w:val="14"/>
                <w:szCs w:val="14"/>
                <w:color w:val="auto"/>
              </w:rPr>
              <w:t>10,560</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$748,598</w:t>
            </w:r>
          </w:p>
        </w:tc>
        <w:tc>
          <w:tcPr>
            <w:tcW w:w="0" w:type="dxa"/>
            <w:vAlign w:val="bottom"/>
          </w:tcPr>
          <w:p>
            <w:pPr>
              <w:spacing w:after="0"/>
              <w:rPr>
                <w:sz w:val="1"/>
                <w:szCs w:val="1"/>
                <w:color w:val="auto"/>
              </w:rPr>
            </w:pPr>
          </w:p>
        </w:tc>
      </w:tr>
      <w:tr>
        <w:trPr>
          <w:trHeight w:val="35"/>
        </w:trPr>
        <w:tc>
          <w:tcPr>
            <w:tcW w:w="8060" w:type="dxa"/>
            <w:vAlign w:val="bottom"/>
            <w:tcBorders>
              <w:bottom w:val="single" w:sz="8" w:color="E56D3D"/>
            </w:tcBorders>
          </w:tcPr>
          <w:p>
            <w:pPr>
              <w:spacing w:after="0"/>
              <w:rPr>
                <w:sz w:val="3"/>
                <w:szCs w:val="3"/>
                <w:color w:val="auto"/>
              </w:rPr>
            </w:pPr>
          </w:p>
        </w:tc>
        <w:tc>
          <w:tcPr>
            <w:tcW w:w="1680" w:type="dxa"/>
            <w:vAlign w:val="bottom"/>
            <w:tcBorders>
              <w:bottom w:val="single" w:sz="8" w:color="E56D3D"/>
            </w:tcBorders>
          </w:tcPr>
          <w:p>
            <w:pPr>
              <w:spacing w:after="0"/>
              <w:rPr>
                <w:sz w:val="3"/>
                <w:szCs w:val="3"/>
                <w:color w:val="auto"/>
              </w:rPr>
            </w:pPr>
          </w:p>
        </w:tc>
        <w:tc>
          <w:tcPr>
            <w:tcW w:w="1280" w:type="dxa"/>
            <w:vAlign w:val="bottom"/>
            <w:tcBorders>
              <w:bottom w:val="single" w:sz="8" w:color="E56D3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84" w:hanging="184"/>
        <w:spacing w:after="0"/>
        <w:tabs>
          <w:tab w:leader="none" w:pos="184"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shares in this column include dividend equivalents issued in shares at the same time that the underlying shares vested.</w:t>
      </w:r>
    </w:p>
    <w:p>
      <w:pPr>
        <w:ind w:left="184" w:hanging="184"/>
        <w:spacing w:after="0"/>
        <w:tabs>
          <w:tab w:leader="none" w:pos="184"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amounts in this column have been computed based on the closing price of our common stock on the vesting date.</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6A6E6F"/>
        </w:rPr>
        <w:t>Summary of Our Non-Qualified Deferred Compensation Plans</w:t>
      </w:r>
    </w:p>
    <w:p>
      <w:pPr>
        <w:spacing w:after="0" w:line="72" w:lineRule="exact"/>
        <w:rPr>
          <w:sz w:val="20"/>
          <w:szCs w:val="20"/>
          <w:color w:val="auto"/>
        </w:rPr>
      </w:pPr>
    </w:p>
    <w:p>
      <w:pPr>
        <w:ind w:left="4" w:right="80"/>
        <w:spacing w:after="0" w:line="253" w:lineRule="auto"/>
        <w:rPr>
          <w:sz w:val="20"/>
          <w:szCs w:val="20"/>
          <w:color w:val="auto"/>
        </w:rPr>
      </w:pPr>
      <w:r>
        <w:rPr>
          <w:rFonts w:ascii="Arial" w:cs="Arial" w:eastAsia="Arial" w:hAnsi="Arial"/>
          <w:sz w:val="16"/>
          <w:szCs w:val="16"/>
          <w:color w:val="auto"/>
        </w:rPr>
        <w:t>We do not have any defined benefit pension plans. However, we maintain two non-qualified deferred compensation plans that permit directors and a select group of management and other highly compensated employees to defer compensation they receive from us, in accordance with procedures established by the committee under the applicable plan. We also may make matching contributions to participant accounts, but to date have not done so. We established the second of the two plans in 2005 to comply with changes made at that time to the Internal Revenue Code, including the addition of Code Section 409A. Since establishment of the 2005 plan, we have required that all contributions be made under the 2005 plan, but we continue to maintain the pre-2005 plan for contributions made to it prior to establishment of the 2005 plan. The two plans are substantially the same, except for differences in the 2005 plan due to the aforementioned changes to the Internal Revenue Code.</w:t>
      </w:r>
    </w:p>
    <w:p>
      <w:pPr>
        <w:spacing w:after="0" w:line="141"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Deferral elections must be made before the calendar year to which they relate and remain effective for the entire calendar year. All types of compensation may be deferred under the 2005 plan other than compensation from the exercise of stock options (which we do not currently utilize) and base salary.</w:t>
      </w:r>
    </w:p>
    <w:p>
      <w:pPr>
        <w:spacing w:after="0" w:line="129" w:lineRule="exact"/>
        <w:rPr>
          <w:sz w:val="20"/>
          <w:szCs w:val="20"/>
          <w:color w:val="auto"/>
        </w:rPr>
      </w:pPr>
    </w:p>
    <w:p>
      <w:pPr>
        <w:ind w:left="4" w:right="20"/>
        <w:spacing w:after="0" w:line="253" w:lineRule="auto"/>
        <w:rPr>
          <w:sz w:val="20"/>
          <w:szCs w:val="20"/>
          <w:color w:val="auto"/>
        </w:rPr>
      </w:pPr>
      <w:r>
        <w:rPr>
          <w:rFonts w:ascii="Arial" w:cs="Arial" w:eastAsia="Arial" w:hAnsi="Arial"/>
          <w:sz w:val="16"/>
          <w:szCs w:val="16"/>
          <w:color w:val="auto"/>
        </w:rPr>
        <w:t>We maintain a separate account for each participant in each plan and credit the participant’s contributions to the account. Each account is adjusted for investment gains and losses determined by assuming that the account is invested, in the percentages designated by the participant, in hypothetical investment options offered under the plans, including shares of our common stock. These hypothetical investment options are the same options that we offer under our 401(k) and profit-sharing plan to all eligible employees. However, participants in the deferred compensation plans have no right to require that the plan invest in the investments they designate. Rather, investment gains and losses on the hypothetical investment options serve as the method of measuring the total amount of our obligation to the participant under the plans. We also maintain a so-called rabbi trust to hold funds set aside under the plan, although the assets of the trust are subject to the claims of our unsecured general creditors in the event of our insolvency or bankruptcy.</w:t>
      </w:r>
    </w:p>
    <w:p>
      <w:pPr>
        <w:spacing w:after="0" w:line="141" w:lineRule="exact"/>
        <w:rPr>
          <w:sz w:val="20"/>
          <w:szCs w:val="20"/>
          <w:color w:val="auto"/>
        </w:rPr>
      </w:pPr>
    </w:p>
    <w:p>
      <w:pPr>
        <w:ind w:left="4" w:right="20"/>
        <w:spacing w:after="0" w:line="254" w:lineRule="auto"/>
        <w:rPr>
          <w:sz w:val="20"/>
          <w:szCs w:val="20"/>
          <w:color w:val="auto"/>
        </w:rPr>
      </w:pPr>
      <w:r>
        <w:rPr>
          <w:rFonts w:ascii="Arial" w:cs="Arial" w:eastAsia="Arial" w:hAnsi="Arial"/>
          <w:sz w:val="16"/>
          <w:szCs w:val="16"/>
          <w:color w:val="auto"/>
        </w:rPr>
        <w:t>Participant contributions under the plans are fully vested upon contribution. Amounts deferred under the plans, as adjusted for earnings, are not subject to income tax until actually paid to the participant. Participants will receive distributions of their account balances on (1) death, (2) disability, (3) termination of employment (subject to any deferral required by Section 409A of the Internal Revenue Code), or (4) the date elected in advance by the participant. Payments to a participant can be made either in a lump sum payment on the applicable distribution date or in annual installments over two to ten years beginning on the applicable distribution date. We make distributions in cash, except for account balances deemed invested in our common stock, in which case, we make the distributions in shares.</w:t>
      </w:r>
    </w:p>
    <w:p>
      <w:pPr>
        <w:spacing w:after="0" w:line="109" w:lineRule="exact"/>
        <w:rPr>
          <w:sz w:val="20"/>
          <w:szCs w:val="20"/>
          <w:color w:val="auto"/>
        </w:rPr>
      </w:pPr>
    </w:p>
    <w:p>
      <w:pPr>
        <w:ind w:left="7884"/>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43</w:t>
      </w:r>
    </w:p>
    <w:p>
      <w:pPr>
        <w:sectPr>
          <w:pgSz w:w="11900" w:h="16838" w:orient="portrait"/>
          <w:cols w:equalWidth="0" w:num="1">
            <w:col w:w="11024"/>
          </w:cols>
          <w:pgMar w:left="436" w:top="291" w:right="439" w:bottom="1440" w:gutter="0" w:footer="0" w:header="0"/>
        </w:sectPr>
      </w:pPr>
    </w:p>
    <w:bookmarkStart w:id="49" w:name="page50"/>
    <w:bookmarkEnd w:id="49"/>
    <w:p>
      <w:pPr>
        <w:ind w:left="4"/>
        <w:spacing w:after="0"/>
        <w:rPr>
          <w:sz w:val="20"/>
          <w:szCs w:val="20"/>
          <w:color w:val="auto"/>
        </w:rPr>
      </w:pPr>
      <w:r>
        <w:rPr>
          <w:rFonts w:ascii="Arial" w:cs="Arial" w:eastAsia="Arial" w:hAnsi="Arial"/>
          <w:sz w:val="20"/>
          <w:szCs w:val="20"/>
          <w:b w:val="1"/>
          <w:bCs w:val="1"/>
          <w:color w:val="E56D3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t>
      </w:r>
      <w:r>
        <w:rPr>
          <w:rFonts w:ascii="Arial" w:cs="Arial" w:eastAsia="Arial" w:hAnsi="Arial"/>
          <w:sz w:val="16"/>
          <w:szCs w:val="16"/>
          <w:b w:val="1"/>
          <w:bCs w:val="1"/>
          <w:color w:val="000000"/>
        </w:rPr>
        <w:t> Executive Compensation</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sets forth information about participation by our NEOs in our deferred compensation plans.</w:t>
      </w:r>
    </w:p>
    <w:p>
      <w:pPr>
        <w:spacing w:after="0" w:line="21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NON-QUALIFIED DEFERRED COMPENSATION FOR 2025</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500" w:type="dxa"/>
            <w:vAlign w:val="bottom"/>
          </w:tcPr>
          <w:p>
            <w:pPr>
              <w:jc w:val="right"/>
              <w:ind w:right="228"/>
              <w:spacing w:after="0"/>
              <w:rPr>
                <w:sz w:val="20"/>
                <w:szCs w:val="20"/>
                <w:color w:val="auto"/>
              </w:rPr>
            </w:pPr>
            <w:r>
              <w:rPr>
                <w:rFonts w:ascii="Arial" w:cs="Arial" w:eastAsia="Arial" w:hAnsi="Arial"/>
                <w:sz w:val="14"/>
                <w:szCs w:val="14"/>
                <w:b w:val="1"/>
                <w:bCs w:val="1"/>
                <w:color w:val="6A6E6F"/>
              </w:rPr>
              <w:t>Executive</w:t>
            </w:r>
          </w:p>
        </w:tc>
        <w:tc>
          <w:tcPr>
            <w:tcW w:w="1500" w:type="dxa"/>
            <w:vAlign w:val="bottom"/>
          </w:tcPr>
          <w:p>
            <w:pPr>
              <w:jc w:val="right"/>
              <w:ind w:right="208"/>
              <w:spacing w:after="0"/>
              <w:rPr>
                <w:sz w:val="20"/>
                <w:szCs w:val="20"/>
                <w:color w:val="auto"/>
              </w:rPr>
            </w:pPr>
            <w:r>
              <w:rPr>
                <w:rFonts w:ascii="Arial" w:cs="Arial" w:eastAsia="Arial" w:hAnsi="Arial"/>
                <w:sz w:val="14"/>
                <w:szCs w:val="14"/>
                <w:b w:val="1"/>
                <w:bCs w:val="1"/>
                <w:color w:val="6A6E6F"/>
              </w:rPr>
              <w:t>Registrant</w:t>
            </w:r>
          </w:p>
        </w:tc>
        <w:tc>
          <w:tcPr>
            <w:tcW w:w="1420" w:type="dxa"/>
            <w:vAlign w:val="bottom"/>
          </w:tcPr>
          <w:p>
            <w:pPr>
              <w:jc w:val="right"/>
              <w:ind w:right="268"/>
              <w:spacing w:after="0"/>
              <w:rPr>
                <w:sz w:val="20"/>
                <w:szCs w:val="20"/>
                <w:color w:val="auto"/>
              </w:rPr>
            </w:pPr>
            <w:r>
              <w:rPr>
                <w:rFonts w:ascii="Arial" w:cs="Arial" w:eastAsia="Arial" w:hAnsi="Arial"/>
                <w:sz w:val="14"/>
                <w:szCs w:val="14"/>
                <w:b w:val="1"/>
                <w:bCs w:val="1"/>
                <w:color w:val="6A6E6F"/>
              </w:rPr>
              <w:t>Aggregate</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6A6E6F"/>
              </w:rPr>
              <w:t>Aggregate</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6A6E6F"/>
              </w:rPr>
              <w:t>Aggregate</w:t>
            </w:r>
          </w:p>
        </w:tc>
      </w:tr>
      <w:tr>
        <w:trPr>
          <w:trHeight w:val="162"/>
        </w:trPr>
        <w:tc>
          <w:tcPr>
            <w:tcW w:w="3000" w:type="dxa"/>
            <w:vAlign w:val="bottom"/>
          </w:tcPr>
          <w:p>
            <w:pPr>
              <w:spacing w:after="0"/>
              <w:rPr>
                <w:sz w:val="14"/>
                <w:szCs w:val="14"/>
                <w:color w:val="auto"/>
              </w:rPr>
            </w:pPr>
          </w:p>
        </w:tc>
        <w:tc>
          <w:tcPr>
            <w:tcW w:w="2500" w:type="dxa"/>
            <w:vAlign w:val="bottom"/>
          </w:tcPr>
          <w:p>
            <w:pPr>
              <w:jc w:val="right"/>
              <w:ind w:right="228"/>
              <w:spacing w:after="0"/>
              <w:rPr>
                <w:sz w:val="20"/>
                <w:szCs w:val="20"/>
                <w:color w:val="auto"/>
              </w:rPr>
            </w:pPr>
            <w:r>
              <w:rPr>
                <w:rFonts w:ascii="Arial" w:cs="Arial" w:eastAsia="Arial" w:hAnsi="Arial"/>
                <w:sz w:val="14"/>
                <w:szCs w:val="14"/>
                <w:b w:val="1"/>
                <w:bCs w:val="1"/>
                <w:color w:val="6A6E6F"/>
              </w:rPr>
              <w:t>Contributions</w:t>
            </w:r>
          </w:p>
        </w:tc>
        <w:tc>
          <w:tcPr>
            <w:tcW w:w="1500" w:type="dxa"/>
            <w:vAlign w:val="bottom"/>
          </w:tcPr>
          <w:p>
            <w:pPr>
              <w:jc w:val="right"/>
              <w:ind w:right="208"/>
              <w:spacing w:after="0"/>
              <w:rPr>
                <w:sz w:val="20"/>
                <w:szCs w:val="20"/>
                <w:color w:val="auto"/>
              </w:rPr>
            </w:pPr>
            <w:r>
              <w:rPr>
                <w:rFonts w:ascii="Arial" w:cs="Arial" w:eastAsia="Arial" w:hAnsi="Arial"/>
                <w:sz w:val="14"/>
                <w:szCs w:val="14"/>
                <w:b w:val="1"/>
                <w:bCs w:val="1"/>
                <w:color w:val="6A6E6F"/>
              </w:rPr>
              <w:t>Contributions</w:t>
            </w:r>
          </w:p>
        </w:tc>
        <w:tc>
          <w:tcPr>
            <w:tcW w:w="1420" w:type="dxa"/>
            <w:vAlign w:val="bottom"/>
          </w:tcPr>
          <w:p>
            <w:pPr>
              <w:jc w:val="right"/>
              <w:ind w:right="268"/>
              <w:spacing w:after="0"/>
              <w:rPr>
                <w:sz w:val="20"/>
                <w:szCs w:val="20"/>
                <w:color w:val="auto"/>
              </w:rPr>
            </w:pPr>
            <w:r>
              <w:rPr>
                <w:rFonts w:ascii="Arial" w:cs="Arial" w:eastAsia="Arial" w:hAnsi="Arial"/>
                <w:sz w:val="14"/>
                <w:szCs w:val="14"/>
                <w:b w:val="1"/>
                <w:bCs w:val="1"/>
                <w:color w:val="6A6E6F"/>
              </w:rPr>
              <w:t>Earnings</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6A6E6F"/>
              </w:rPr>
              <w:t>Withdrawals/</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6A6E6F"/>
              </w:rPr>
              <w:t>Balance at</w:t>
            </w:r>
          </w:p>
        </w:tc>
      </w:tr>
      <w:tr>
        <w:trPr>
          <w:trHeight w:val="185"/>
        </w:trPr>
        <w:tc>
          <w:tcPr>
            <w:tcW w:w="300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6A6E6F"/>
              </w:rPr>
              <w:t>Name</w:t>
            </w:r>
          </w:p>
        </w:tc>
        <w:tc>
          <w:tcPr>
            <w:tcW w:w="2500" w:type="dxa"/>
            <w:vAlign w:val="bottom"/>
            <w:tcBorders>
              <w:bottom w:val="single" w:sz="8" w:color="E56D3D"/>
            </w:tcBorders>
          </w:tcPr>
          <w:p>
            <w:pPr>
              <w:jc w:val="right"/>
              <w:ind w:right="228"/>
              <w:spacing w:after="0"/>
              <w:rPr>
                <w:sz w:val="20"/>
                <w:szCs w:val="20"/>
                <w:color w:val="auto"/>
              </w:rPr>
            </w:pPr>
            <w:r>
              <w:rPr>
                <w:rFonts w:ascii="Arial" w:cs="Arial" w:eastAsia="Arial" w:hAnsi="Arial"/>
                <w:sz w:val="14"/>
                <w:szCs w:val="14"/>
                <w:b w:val="1"/>
                <w:bCs w:val="1"/>
                <w:color w:val="6A6E6F"/>
              </w:rPr>
              <w:t>in Last FY</w:t>
            </w:r>
          </w:p>
        </w:tc>
        <w:tc>
          <w:tcPr>
            <w:tcW w:w="1500" w:type="dxa"/>
            <w:vAlign w:val="bottom"/>
            <w:tcBorders>
              <w:bottom w:val="single" w:sz="8" w:color="E56D3D"/>
            </w:tcBorders>
          </w:tcPr>
          <w:p>
            <w:pPr>
              <w:jc w:val="right"/>
              <w:ind w:right="208"/>
              <w:spacing w:after="0" w:line="185" w:lineRule="exact"/>
              <w:rPr>
                <w:sz w:val="20"/>
                <w:szCs w:val="20"/>
                <w:color w:val="auto"/>
              </w:rPr>
            </w:pPr>
            <w:r>
              <w:rPr>
                <w:rFonts w:ascii="Arial" w:cs="Arial" w:eastAsia="Arial" w:hAnsi="Arial"/>
                <w:sz w:val="14"/>
                <w:szCs w:val="14"/>
                <w:b w:val="1"/>
                <w:bCs w:val="1"/>
                <w:color w:val="6A6E6F"/>
              </w:rPr>
              <w:t>in Last FY</w:t>
            </w:r>
            <w:r>
              <w:rPr>
                <w:rFonts w:ascii="Arial" w:cs="Arial" w:eastAsia="Arial" w:hAnsi="Arial"/>
                <w:sz w:val="17"/>
                <w:szCs w:val="17"/>
                <w:b w:val="1"/>
                <w:bCs w:val="1"/>
                <w:color w:val="6A6E6F"/>
                <w:vertAlign w:val="superscript"/>
              </w:rPr>
              <w:t>(1)</w:t>
            </w:r>
          </w:p>
        </w:tc>
        <w:tc>
          <w:tcPr>
            <w:tcW w:w="1420" w:type="dxa"/>
            <w:vAlign w:val="bottom"/>
            <w:tcBorders>
              <w:bottom w:val="single" w:sz="8" w:color="E56D3D"/>
            </w:tcBorders>
          </w:tcPr>
          <w:p>
            <w:pPr>
              <w:jc w:val="right"/>
              <w:ind w:right="268"/>
              <w:spacing w:after="0" w:line="185" w:lineRule="exact"/>
              <w:rPr>
                <w:sz w:val="20"/>
                <w:szCs w:val="20"/>
                <w:color w:val="auto"/>
              </w:rPr>
            </w:pPr>
            <w:r>
              <w:rPr>
                <w:rFonts w:ascii="Arial" w:cs="Arial" w:eastAsia="Arial" w:hAnsi="Arial"/>
                <w:sz w:val="14"/>
                <w:szCs w:val="14"/>
                <w:b w:val="1"/>
                <w:bCs w:val="1"/>
                <w:color w:val="6A6E6F"/>
              </w:rPr>
              <w:t>in Last FY</w:t>
            </w:r>
            <w:r>
              <w:rPr>
                <w:rFonts w:ascii="Arial" w:cs="Arial" w:eastAsia="Arial" w:hAnsi="Arial"/>
                <w:sz w:val="17"/>
                <w:szCs w:val="17"/>
                <w:b w:val="1"/>
                <w:bCs w:val="1"/>
                <w:color w:val="6A6E6F"/>
                <w:vertAlign w:val="superscript"/>
              </w:rPr>
              <w:t>(2)</w:t>
            </w:r>
          </w:p>
        </w:tc>
        <w:tc>
          <w:tcPr>
            <w:tcW w:w="1420" w:type="dxa"/>
            <w:vAlign w:val="bottom"/>
            <w:tcBorders>
              <w:bottom w:val="single" w:sz="8" w:color="E56D3D"/>
            </w:tcBorders>
          </w:tcPr>
          <w:p>
            <w:pPr>
              <w:jc w:val="right"/>
              <w:ind w:right="188"/>
              <w:spacing w:after="0"/>
              <w:rPr>
                <w:sz w:val="20"/>
                <w:szCs w:val="20"/>
                <w:color w:val="auto"/>
              </w:rPr>
            </w:pPr>
            <w:r>
              <w:rPr>
                <w:rFonts w:ascii="Arial" w:cs="Arial" w:eastAsia="Arial" w:hAnsi="Arial"/>
                <w:sz w:val="14"/>
                <w:szCs w:val="14"/>
                <w:b w:val="1"/>
                <w:bCs w:val="1"/>
                <w:color w:val="6A6E6F"/>
              </w:rPr>
              <w:t>Distributions</w:t>
            </w:r>
          </w:p>
        </w:tc>
        <w:tc>
          <w:tcPr>
            <w:tcW w:w="1180" w:type="dxa"/>
            <w:vAlign w:val="bottom"/>
            <w:tcBorders>
              <w:bottom w:val="single" w:sz="8" w:color="E56D3D"/>
            </w:tcBorders>
          </w:tcPr>
          <w:p>
            <w:pPr>
              <w:jc w:val="right"/>
              <w:ind w:right="28"/>
              <w:spacing w:after="0" w:line="185" w:lineRule="exact"/>
              <w:rPr>
                <w:sz w:val="20"/>
                <w:szCs w:val="20"/>
                <w:color w:val="auto"/>
              </w:rPr>
            </w:pPr>
            <w:r>
              <w:rPr>
                <w:rFonts w:ascii="Arial" w:cs="Arial" w:eastAsia="Arial" w:hAnsi="Arial"/>
                <w:sz w:val="14"/>
                <w:szCs w:val="14"/>
                <w:b w:val="1"/>
                <w:bCs w:val="1"/>
                <w:color w:val="6A6E6F"/>
              </w:rPr>
              <w:t>Last FYE</w:t>
            </w:r>
            <w:r>
              <w:rPr>
                <w:rFonts w:ascii="Arial" w:cs="Arial" w:eastAsia="Arial" w:hAnsi="Arial"/>
                <w:sz w:val="17"/>
                <w:szCs w:val="17"/>
                <w:b w:val="1"/>
                <w:bCs w:val="1"/>
                <w:color w:val="6A6E6F"/>
                <w:vertAlign w:val="superscript"/>
              </w:rPr>
              <w:t>(3)</w:t>
            </w:r>
          </w:p>
        </w:tc>
      </w:tr>
      <w:tr>
        <w:trPr>
          <w:trHeight w:val="233"/>
        </w:trPr>
        <w:tc>
          <w:tcPr>
            <w:tcW w:w="30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Martin E. Stein, Jr.</w:t>
            </w:r>
          </w:p>
        </w:tc>
        <w:tc>
          <w:tcPr>
            <w:tcW w:w="2500" w:type="dxa"/>
            <w:vAlign w:val="bottom"/>
            <w:tcBorders>
              <w:bottom w:val="single" w:sz="8" w:color="B2B2B2"/>
            </w:tcBorders>
          </w:tcPr>
          <w:p>
            <w:pPr>
              <w:jc w:val="right"/>
              <w:ind w:right="2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B2B2B2"/>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2B2B2"/>
            </w:tcBorders>
          </w:tcPr>
          <w:p>
            <w:pPr>
              <w:jc w:val="right"/>
              <w:ind w:right="208"/>
              <w:spacing w:after="0"/>
              <w:rPr>
                <w:sz w:val="20"/>
                <w:szCs w:val="20"/>
                <w:color w:val="auto"/>
              </w:rPr>
            </w:pPr>
            <w:r>
              <w:rPr>
                <w:rFonts w:ascii="Arial" w:cs="Arial" w:eastAsia="Arial" w:hAnsi="Arial"/>
                <w:sz w:val="14"/>
                <w:szCs w:val="14"/>
                <w:color w:val="auto"/>
              </w:rPr>
              <w:t>($384,410)</w:t>
            </w:r>
          </w:p>
        </w:tc>
        <w:tc>
          <w:tcPr>
            <w:tcW w:w="1420" w:type="dxa"/>
            <w:vAlign w:val="bottom"/>
            <w:tcBorders>
              <w:bottom w:val="single" w:sz="8" w:color="B2B2B2"/>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$12,659,610</w:t>
            </w:r>
          </w:p>
        </w:tc>
      </w:tr>
      <w:tr>
        <w:trPr>
          <w:trHeight w:val="237"/>
        </w:trPr>
        <w:tc>
          <w:tcPr>
            <w:tcW w:w="30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Alan T. Roth</w:t>
            </w:r>
          </w:p>
        </w:tc>
        <w:tc>
          <w:tcPr>
            <w:tcW w:w="2500" w:type="dxa"/>
            <w:vAlign w:val="bottom"/>
            <w:tcBorders>
              <w:bottom w:val="single" w:sz="8" w:color="B2B2B2"/>
            </w:tcBorders>
          </w:tcPr>
          <w:p>
            <w:pPr>
              <w:jc w:val="right"/>
              <w:ind w:right="228"/>
              <w:spacing w:after="0"/>
              <w:rPr>
                <w:sz w:val="20"/>
                <w:szCs w:val="20"/>
                <w:color w:val="auto"/>
              </w:rPr>
            </w:pPr>
            <w:r>
              <w:rPr>
                <w:rFonts w:ascii="Arial" w:cs="Arial" w:eastAsia="Arial" w:hAnsi="Arial"/>
                <w:sz w:val="14"/>
                <w:szCs w:val="14"/>
                <w:color w:val="auto"/>
              </w:rPr>
              <w:t>$58,130</w:t>
            </w:r>
          </w:p>
        </w:tc>
        <w:tc>
          <w:tcPr>
            <w:tcW w:w="1500" w:type="dxa"/>
            <w:vAlign w:val="bottom"/>
            <w:tcBorders>
              <w:bottom w:val="single" w:sz="8" w:color="B2B2B2"/>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$206,744</w:t>
            </w:r>
          </w:p>
        </w:tc>
        <w:tc>
          <w:tcPr>
            <w:tcW w:w="1420" w:type="dxa"/>
            <w:vAlign w:val="bottom"/>
            <w:tcBorders>
              <w:bottom w:val="single" w:sz="8" w:color="B2B2B2"/>
            </w:tcBorders>
          </w:tcPr>
          <w:p>
            <w:pPr>
              <w:jc w:val="right"/>
              <w:ind w:right="188"/>
              <w:spacing w:after="0"/>
              <w:rPr>
                <w:sz w:val="20"/>
                <w:szCs w:val="20"/>
                <w:color w:val="auto"/>
              </w:rPr>
            </w:pPr>
            <w:r>
              <w:rPr>
                <w:rFonts w:ascii="Arial" w:cs="Arial" w:eastAsia="Arial" w:hAnsi="Arial"/>
                <w:sz w:val="14"/>
                <w:szCs w:val="14"/>
                <w:color w:val="auto"/>
              </w:rPr>
              <w:t>$218,146</w:t>
            </w:r>
          </w:p>
        </w:tc>
        <w:tc>
          <w:tcPr>
            <w:tcW w:w="11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$1,814,485</w:t>
            </w:r>
          </w:p>
        </w:tc>
      </w:tr>
      <w:tr>
        <w:trPr>
          <w:trHeight w:val="237"/>
        </w:trPr>
        <w:tc>
          <w:tcPr>
            <w:tcW w:w="3000" w:type="dxa"/>
            <w:vAlign w:val="bottom"/>
            <w:tcBorders>
              <w:bottom w:val="single" w:sz="8" w:color="E56D3D"/>
            </w:tcBorders>
          </w:tcPr>
          <w:p>
            <w:pPr>
              <w:ind w:left="60"/>
              <w:spacing w:after="0"/>
              <w:rPr>
                <w:sz w:val="20"/>
                <w:szCs w:val="20"/>
                <w:color w:val="auto"/>
              </w:rPr>
            </w:pPr>
            <w:r>
              <w:rPr>
                <w:rFonts w:ascii="Arial" w:cs="Arial" w:eastAsia="Arial" w:hAnsi="Arial"/>
                <w:sz w:val="14"/>
                <w:szCs w:val="14"/>
                <w:color w:val="auto"/>
              </w:rPr>
              <w:t>Nicholas A. Wibbenmeyer</w:t>
            </w:r>
          </w:p>
        </w:tc>
        <w:tc>
          <w:tcPr>
            <w:tcW w:w="2500" w:type="dxa"/>
            <w:vAlign w:val="bottom"/>
            <w:tcBorders>
              <w:bottom w:val="single" w:sz="8" w:color="E56D3D"/>
            </w:tcBorders>
          </w:tcPr>
          <w:p>
            <w:pPr>
              <w:jc w:val="right"/>
              <w:ind w:right="228"/>
              <w:spacing w:after="0"/>
              <w:rPr>
                <w:sz w:val="20"/>
                <w:szCs w:val="20"/>
                <w:color w:val="auto"/>
              </w:rPr>
            </w:pPr>
            <w:r>
              <w:rPr>
                <w:rFonts w:ascii="Arial" w:cs="Arial" w:eastAsia="Arial" w:hAnsi="Arial"/>
                <w:sz w:val="14"/>
                <w:szCs w:val="14"/>
                <w:color w:val="auto"/>
              </w:rPr>
              <w:t>$274,486</w:t>
            </w:r>
          </w:p>
        </w:tc>
        <w:tc>
          <w:tcPr>
            <w:tcW w:w="1500" w:type="dxa"/>
            <w:vAlign w:val="bottom"/>
            <w:tcBorders>
              <w:bottom w:val="single" w:sz="8" w:color="E56D3D"/>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E56D3D"/>
            </w:tcBorders>
          </w:tcPr>
          <w:p>
            <w:pPr>
              <w:jc w:val="right"/>
              <w:ind w:right="208"/>
              <w:spacing w:after="0"/>
              <w:rPr>
                <w:sz w:val="20"/>
                <w:szCs w:val="20"/>
                <w:color w:val="auto"/>
              </w:rPr>
            </w:pPr>
            <w:r>
              <w:rPr>
                <w:rFonts w:ascii="Arial" w:cs="Arial" w:eastAsia="Arial" w:hAnsi="Arial"/>
                <w:sz w:val="14"/>
                <w:szCs w:val="14"/>
                <w:color w:val="auto"/>
              </w:rPr>
              <w:t>($42,209)</w:t>
            </w:r>
          </w:p>
        </w:tc>
        <w:tc>
          <w:tcPr>
            <w:tcW w:w="1420" w:type="dxa"/>
            <w:vAlign w:val="bottom"/>
            <w:tcBorders>
              <w:bottom w:val="single" w:sz="8" w:color="E56D3D"/>
            </w:tcBorders>
          </w:tcPr>
          <w:p>
            <w:pPr>
              <w:jc w:val="right"/>
              <w:ind w:right="188"/>
              <w:spacing w:after="0"/>
              <w:rPr>
                <w:sz w:val="20"/>
                <w:szCs w:val="20"/>
                <w:color w:val="auto"/>
              </w:rPr>
            </w:pPr>
            <w:r>
              <w:rPr>
                <w:rFonts w:ascii="Arial" w:cs="Arial" w:eastAsia="Arial" w:hAnsi="Arial"/>
                <w:sz w:val="14"/>
                <w:szCs w:val="14"/>
                <w:color w:val="auto"/>
              </w:rPr>
              <w:t>$468,266</w:t>
            </w:r>
          </w:p>
        </w:tc>
        <w:tc>
          <w:tcPr>
            <w:tcW w:w="1180" w:type="dxa"/>
            <w:vAlign w:val="bottom"/>
            <w:tcBorders>
              <w:bottom w:val="single" w:sz="8" w:color="E56D3D"/>
            </w:tcBorders>
          </w:tcPr>
          <w:p>
            <w:pPr>
              <w:jc w:val="right"/>
              <w:ind w:right="28"/>
              <w:spacing w:after="0"/>
              <w:rPr>
                <w:sz w:val="20"/>
                <w:szCs w:val="20"/>
                <w:color w:val="auto"/>
              </w:rPr>
            </w:pPr>
            <w:r>
              <w:rPr>
                <w:rFonts w:ascii="Arial" w:cs="Arial" w:eastAsia="Arial" w:hAnsi="Arial"/>
                <w:sz w:val="14"/>
                <w:szCs w:val="14"/>
                <w:color w:val="auto"/>
              </w:rPr>
              <w:t>$1,668,412</w:t>
            </w:r>
          </w:p>
        </w:tc>
      </w:tr>
    </w:tbl>
    <w:p>
      <w:pPr>
        <w:spacing w:after="0" w:line="47" w:lineRule="exact"/>
        <w:rPr>
          <w:sz w:val="20"/>
          <w:szCs w:val="20"/>
          <w:color w:val="auto"/>
        </w:rPr>
      </w:pPr>
    </w:p>
    <w:p>
      <w:pPr>
        <w:ind w:left="184" w:hanging="184"/>
        <w:spacing w:after="0"/>
        <w:tabs>
          <w:tab w:leader="none" w:pos="184" w:val="left"/>
        </w:tabs>
        <w:numPr>
          <w:ilvl w:val="0"/>
          <w:numId w:val="68"/>
        </w:numPr>
        <w:rPr>
          <w:rFonts w:ascii="Arial" w:cs="Arial" w:eastAsia="Arial" w:hAnsi="Arial"/>
          <w:sz w:val="13"/>
          <w:szCs w:val="13"/>
          <w:color w:val="auto"/>
        </w:rPr>
      </w:pPr>
      <w:r>
        <w:rPr>
          <w:rFonts w:ascii="Arial" w:cs="Arial" w:eastAsia="Arial" w:hAnsi="Arial"/>
          <w:sz w:val="13"/>
          <w:szCs w:val="13"/>
          <w:color w:val="auto"/>
        </w:rPr>
        <w:t>We have the right to make, but have not to date made, matching contributions.</w:t>
      </w:r>
    </w:p>
    <w:p>
      <w:pPr>
        <w:ind w:left="184" w:hanging="184"/>
        <w:spacing w:after="0" w:line="216" w:lineRule="auto"/>
        <w:tabs>
          <w:tab w:leader="none" w:pos="184" w:val="left"/>
        </w:tabs>
        <w:numPr>
          <w:ilvl w:val="0"/>
          <w:numId w:val="68"/>
        </w:numPr>
        <w:rPr>
          <w:rFonts w:ascii="Arial" w:cs="Arial" w:eastAsia="Arial" w:hAnsi="Arial"/>
          <w:sz w:val="13"/>
          <w:szCs w:val="13"/>
          <w:color w:val="auto"/>
        </w:rPr>
      </w:pPr>
      <w:r>
        <w:rPr>
          <w:rFonts w:ascii="Arial" w:cs="Arial" w:eastAsia="Arial" w:hAnsi="Arial"/>
          <w:sz w:val="13"/>
          <w:szCs w:val="13"/>
          <w:color w:val="auto"/>
        </w:rPr>
        <w:t>Earnings or losses on non-qualified deferred compensation do not appear in the Summary Compensation Table because they are not deemed above market.</w:t>
      </w:r>
    </w:p>
    <w:p>
      <w:pPr>
        <w:ind w:left="4" w:right="140" w:hanging="4"/>
        <w:spacing w:after="0" w:line="231" w:lineRule="auto"/>
        <w:tabs>
          <w:tab w:leader="none" w:pos="193"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contributions from salary or non-equity incentive plan compensation reported in the Summary Compensation Table in prior years’ proxy statements for the year earned to the extent the officer was a “named executive officer” for such proxy statement.</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6A6E6F"/>
        </w:rPr>
        <w:t>Potential Payments Upon Termination or Change-in-Control</w:t>
      </w:r>
    </w:p>
    <w:p>
      <w:pPr>
        <w:spacing w:after="0" w:line="85" w:lineRule="exact"/>
        <w:rPr>
          <w:sz w:val="20"/>
          <w:szCs w:val="20"/>
          <w:color w:val="auto"/>
        </w:rPr>
      </w:pPr>
    </w:p>
    <w:p>
      <w:pPr>
        <w:ind w:left="4" w:right="40"/>
        <w:spacing w:after="0" w:line="256" w:lineRule="auto"/>
        <w:rPr>
          <w:sz w:val="20"/>
          <w:szCs w:val="20"/>
          <w:color w:val="auto"/>
        </w:rPr>
      </w:pPr>
      <w:r>
        <w:rPr>
          <w:rFonts w:ascii="Arial" w:cs="Arial" w:eastAsia="Arial" w:hAnsi="Arial"/>
          <w:sz w:val="16"/>
          <w:szCs w:val="16"/>
          <w:color w:val="auto"/>
        </w:rPr>
        <w:t>Each of our NEOs has a severance and change of control agreement dated as of January 1, 2023, except that Ms. Palmer’s agreement was amended on November 6, 2024 (each, and as amended in the case of Ms. Palmer, an “Agreement”). Each Agreement automatically renewed on January 1, 2025, and will renew each January 1 thereafter, for an additional one-year term, unless either party gives written notice of non-renewal at least 90 days before the end of the then-current term. The following describes the compensation that will be payable to our NEOs on termination of employment under these Agreements.</w:t>
      </w:r>
    </w:p>
    <w:p>
      <w:pPr>
        <w:spacing w:after="0" w:line="139" w:lineRule="exact"/>
        <w:rPr>
          <w:sz w:val="20"/>
          <w:szCs w:val="20"/>
          <w:color w:val="auto"/>
        </w:rPr>
      </w:pPr>
    </w:p>
    <w:p>
      <w:pPr>
        <w:ind w:left="4" w:right="60"/>
        <w:spacing w:after="0" w:line="254" w:lineRule="auto"/>
        <w:rPr>
          <w:sz w:val="20"/>
          <w:szCs w:val="20"/>
          <w:color w:val="auto"/>
        </w:rPr>
      </w:pPr>
      <w:r>
        <w:rPr>
          <w:rFonts w:ascii="Arial" w:cs="Arial" w:eastAsia="Arial" w:hAnsi="Arial"/>
          <w:sz w:val="16"/>
          <w:szCs w:val="16"/>
          <w:color w:val="auto"/>
        </w:rPr>
        <w:t>The severance benefits that an NEO may receive if the NEO’s employment terminates under certain conditions differ depending on whether a termination occurs (a) within a two year period following a Change of Control (as defined in the Agreement, with the two-year period following a Change of Control being referred to as the “Change of Control Period”), or (b) in the absence of a Change of Control or outside the Change of Control Period, in each case as described below. A Change of Control is defined generally as certain acquisitions of 30% or more of our stock, certain changes in a majority of the members of our Board, certain mergers and similar transactions resulting in a majority change in ownership of our stock, or the sale of all or substantially all of our assets, or shareholder approval of a complete liquidation or dissolution.</w:t>
      </w:r>
    </w:p>
    <w:p>
      <w:pPr>
        <w:spacing w:after="0" w:line="141" w:lineRule="exact"/>
        <w:rPr>
          <w:sz w:val="20"/>
          <w:szCs w:val="20"/>
          <w:color w:val="auto"/>
        </w:rPr>
      </w:pPr>
    </w:p>
    <w:p>
      <w:pPr>
        <w:ind w:left="4" w:right="60"/>
        <w:spacing w:after="0" w:line="250" w:lineRule="auto"/>
        <w:rPr>
          <w:sz w:val="20"/>
          <w:szCs w:val="20"/>
          <w:color w:val="auto"/>
        </w:rPr>
      </w:pPr>
      <w:r>
        <w:rPr>
          <w:rFonts w:ascii="Arial" w:cs="Arial" w:eastAsia="Arial" w:hAnsi="Arial"/>
          <w:sz w:val="16"/>
          <w:szCs w:val="16"/>
          <w:color w:val="auto"/>
        </w:rPr>
        <w:t>If an NEO is terminated without “Cause” (as defined in the Agreement) or the NEO terminates his or her employment for “Good Reason” (also as defined in the Agreement), in either case absent a Change of Control or outside the Change of Control Period, then the NEO will receive a cash lump sum payment equal to the sum of (i) twenty four (24) months for Ms. Palmer, eighteen (18) months for Mr. Stein, and twelve (12) months for each of Messrs. Mas, Roth and Wibbenmeyer, respectively, of base salary, (ii) 200% for Ms. Palmer, 150% for Mr. Stein, and 100% for each of Messrs. Mas, Roth and Wibbenmeyer, respectively, of the NEO’s average annual cash bonus, if any, paid with respect to the three full calendar years prior to termination of employment and (iii) the replacement cost of twenty four (24) months for Ms. Palmer, eighteen (18) months for Mr. Stein, and twelve (12) months for each of Messrs. Mas, Roth and Wibbenmeyer, respectively, of medical benefits, calculated as if such NEO elected COBRA continuation coverage. “Cause” is defined generally as certain actions with respect to a felony, certain conduct constituting gross misconduct or gross negligence, certain breaches of the Agreement, certain conduct that could reasonably be expected to cause harm to our reputation, certain improper or violent conduct toward employees or third parties, certain breaches of law, policy or similar arrangements and certain failures to meet management expectations. “Good Reason” is defined generally as certain changes of duties, certain changes to compensation, certain mandatory relocations and certain other material breaches of the Agreement.</w:t>
      </w:r>
    </w:p>
    <w:p>
      <w:pPr>
        <w:spacing w:after="0" w:line="349" w:lineRule="exact"/>
        <w:rPr>
          <w:sz w:val="20"/>
          <w:szCs w:val="20"/>
          <w:color w:val="auto"/>
        </w:rPr>
      </w:pPr>
    </w:p>
    <w:p>
      <w:pPr>
        <w:ind w:left="4" w:right="40"/>
        <w:spacing w:after="0" w:line="254" w:lineRule="auto"/>
        <w:rPr>
          <w:sz w:val="20"/>
          <w:szCs w:val="20"/>
          <w:color w:val="auto"/>
        </w:rPr>
      </w:pPr>
      <w:r>
        <w:rPr>
          <w:rFonts w:ascii="Arial" w:cs="Arial" w:eastAsia="Arial" w:hAnsi="Arial"/>
          <w:sz w:val="16"/>
          <w:szCs w:val="16"/>
          <w:color w:val="auto"/>
        </w:rPr>
        <w:t>If, during the Change of Control Period, an NEO is terminated without Cause or the NEO terminates his or her employment for Good Reason, then the NEO will receive a cash lump sum payment equal to the sum of (i) thirty six (36) months (in the case of Ms. Palmer) and twenty four (24) months (in the case of each of Messrs. Stein, Mas, Roth and Wibbenmeyer) of base salary, (ii) 300% (in the case of Ms. Palmer) and 200% (in the case of each of Messrs. Stein, Mas, Roth and Wibbenmeyer) of the NEO’s average annual cash bonus, if any, paid with respect to the three full calendar years prior to termination of employment, (iii) the replacement cost of thirty six (36) months (in the case of Ms. Palmer) and twenty four (24) months (in the case of each Messrs. Stein, Mas, Roth and Wibbenmeyer) of medical benefits, calculated as if such NEO elected COBRA</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44</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024"/>
          </w:cols>
          <w:pgMar w:left="436" w:top="291" w:right="439" w:bottom="1440" w:gutter="0" w:footer="0" w:header="0"/>
        </w:sectPr>
      </w:pPr>
    </w:p>
    <w:bookmarkStart w:id="50" w:name="page51"/>
    <w:bookmarkEnd w:id="50"/>
    <w:p>
      <w:pPr>
        <w:ind w:left="9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 </w:t>
      </w:r>
      <w:r>
        <w:rPr>
          <w:rFonts w:ascii="Arial" w:cs="Arial" w:eastAsia="Arial" w:hAnsi="Arial"/>
          <w:sz w:val="19"/>
          <w:szCs w:val="19"/>
          <w:b w:val="1"/>
          <w:bCs w:val="1"/>
          <w:color w:val="E56D3D"/>
        </w:rPr>
        <w:t>|</w:t>
      </w:r>
    </w:p>
    <w:p>
      <w:pPr>
        <w:spacing w:after="0" w:line="15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continuation coverage, and (iv) a pro-rated portion of the NEO’s target annual bonus applicable to the year in which such termination occurred. If such severance payments, or any other payments made to an NEO in connection with a Change of Control, would be subject to the excise tax on “excess parachute payments” imposed by Section 4999 of the Internal Revenue Code, then such NEO will either pay the excise tax or have his or her payments capped at a level so there would be no excise tax depending upon which option provides the NEO with the greatest benefit on an after-tax basis.</w:t>
      </w:r>
    </w:p>
    <w:p>
      <w:pPr>
        <w:spacing w:after="0" w:line="137"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Pursuant to each Agreement, the NEO’s receipt of any severance benefits is expressly conditioned on the NEO executing, and not revoking, a release of claims against the Company and its subsidiary, Regency Centers, L.P. The Agreements also include a confidentiality covenant and a covenant prohibiting the NEO from soliciting employees and customers to leave the Company for one year after termination of employment.</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Under the terms of the Company’s Omnibus Incentive Plan and award agreements entered into by each NEO and the Company, in the event of a termination without Cause or the NEO’s resignation for Good Reason that is not related to a Change of Control, the NEO’s unvested equity awards that vest solely on the basis of time that were granted prior to 2025 will vest on a pro-rated basis and the NEO’s performance shares will be earned on a pro-rated basis based on the level of achievement as of such date of termination. Unvested equity awards that vest solely on the basis of time that were granted in 2025 will fully vest.</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Upon a qualifying termination of employment after a Change of Control, time-vesting awards would vest in full and performance shares would vest in full with performance deemed achieved at the greater of actual performance to-date or target, except when Regency or any surviving entity ceases to be a public company, in which case unvested equity awards are cashed out and performance shares are cashed out at their fair market value as of the date of the Change of Control with interest through the payment date.</w:t>
      </w:r>
    </w:p>
    <w:p>
      <w:pPr>
        <w:spacing w:after="0" w:line="137"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If the NEO retires and provides specified advance notice before retiring, or if the NEO dies or terminates employment because of disability, all unvested restricted share awards that vest based on continued employment will vest immediately on the date of such retirement or termination. The NEO will remain eligible to receive performance shares awarded under our equity incentive plans before his or her retirement if the Company achieves the stated performance goals during the remainder of the performance period, as if the NEO had not retired. To qualify for these benefits on retirement, the NEO must retire after a specified age or with a combination of age plus years of service, depending on the benefit in question, as well as give Regency the required number of years of advance notice of retirement.</w:t>
      </w:r>
    </w:p>
    <w:p>
      <w:pPr>
        <w:spacing w:after="0" w:line="109" w:lineRule="exact"/>
        <w:rPr>
          <w:sz w:val="20"/>
          <w:szCs w:val="20"/>
          <w:color w:val="auto"/>
        </w:rPr>
      </w:pPr>
    </w:p>
    <w:p>
      <w:pPr>
        <w:ind w:left="788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45</w:t>
      </w:r>
    </w:p>
    <w:p>
      <w:pPr>
        <w:sectPr>
          <w:pgSz w:w="11900" w:h="16838" w:orient="portrait"/>
          <w:cols w:equalWidth="0" w:num="1">
            <w:col w:w="11020"/>
          </w:cols>
          <w:pgMar w:left="440" w:top="291" w:right="439" w:bottom="1440" w:gutter="0" w:footer="0" w:header="0"/>
        </w:sectPr>
      </w:pPr>
    </w:p>
    <w:bookmarkStart w:id="51" w:name="page52"/>
    <w:bookmarkEnd w:id="51"/>
    <w:p>
      <w:pPr>
        <w:ind w:left="4"/>
        <w:spacing w:after="0"/>
        <w:rPr>
          <w:sz w:val="20"/>
          <w:szCs w:val="20"/>
          <w:color w:val="auto"/>
        </w:rPr>
      </w:pPr>
      <w:r>
        <w:rPr>
          <w:rFonts w:ascii="Arial" w:cs="Arial" w:eastAsia="Arial" w:hAnsi="Arial"/>
          <w:sz w:val="20"/>
          <w:szCs w:val="20"/>
          <w:b w:val="1"/>
          <w:bCs w:val="1"/>
          <w:color w:val="E56D3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t>
      </w:r>
      <w:r>
        <w:rPr>
          <w:rFonts w:ascii="Arial" w:cs="Arial" w:eastAsia="Arial" w:hAnsi="Arial"/>
          <w:sz w:val="16"/>
          <w:szCs w:val="16"/>
          <w:b w:val="1"/>
          <w:bCs w:val="1"/>
          <w:color w:val="000000"/>
        </w:rPr>
        <w:t> Executive Compensation</w:t>
      </w:r>
    </w:p>
    <w:p>
      <w:pPr>
        <w:spacing w:after="0" w:line="144" w:lineRule="exact"/>
        <w:rPr>
          <w:sz w:val="20"/>
          <w:szCs w:val="20"/>
          <w:color w:val="auto"/>
        </w:rPr>
      </w:pPr>
    </w:p>
    <w:p>
      <w:pPr>
        <w:jc w:val="both"/>
        <w:ind w:left="4" w:right="80"/>
        <w:spacing w:after="0" w:line="266" w:lineRule="auto"/>
        <w:rPr>
          <w:sz w:val="20"/>
          <w:szCs w:val="20"/>
          <w:color w:val="auto"/>
        </w:rPr>
      </w:pPr>
      <w:r>
        <w:rPr>
          <w:rFonts w:ascii="Arial" w:cs="Arial" w:eastAsia="Arial" w:hAnsi="Arial"/>
          <w:sz w:val="16"/>
          <w:szCs w:val="16"/>
          <w:color w:val="auto"/>
        </w:rPr>
        <w:t>The following table illustrates the additional compensation that we estimate would have been payable to each of our NEOs on termination of employment under each of the circumstances described above, assuming the termination occurred on December 31, 2025. The amounts shown are estimates and do not necessarily reflect the actual amounts that these individuals would receive on termination of employment.</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ESTIMATED ADDITIONAL COMPENSATION TRIGGERED BY TERMINATION OF EMPLOYMENT</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IF TERMINATED ON THE LAST BUSINESS DAY OF 2025</w:t>
      </w:r>
      <w:r>
        <w:rPr>
          <w:rFonts w:ascii="Arial" w:cs="Arial" w:eastAsia="Arial" w:hAnsi="Arial"/>
          <w:sz w:val="11"/>
          <w:szCs w:val="11"/>
          <w:b w:val="1"/>
          <w:bCs w:val="1"/>
          <w:color w:val="auto"/>
        </w:rPr>
        <w:t>(1)</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E56D3D"/>
              </w:rPr>
              <w:t>Salary and</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E56D3D"/>
              </w:rPr>
              <w:t>Early</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E56D3D"/>
              </w:rPr>
              <w:t>Vesting</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E56D3D"/>
              </w:rPr>
              <w:t>Cash Bonus</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E56D3D"/>
              </w:rPr>
              <w:t>Salary and</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E56D3D"/>
              </w:rPr>
              <w:t>Health</w:t>
            </w: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E56D3D"/>
              </w:rPr>
              <w:t>of Stock</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2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E56D3D"/>
              </w:rPr>
              <w:t>Name</w:t>
            </w:r>
          </w:p>
        </w:tc>
        <w:tc>
          <w:tcPr>
            <w:tcW w:w="110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E56D3D"/>
              </w:rPr>
              <w:t>(Multiple)</w:t>
            </w:r>
          </w:p>
        </w:tc>
        <w:tc>
          <w:tcPr>
            <w:tcW w:w="1200" w:type="dxa"/>
            <w:vAlign w:val="bottom"/>
            <w:tcBorders>
              <w:bottom w:val="single" w:sz="8" w:color="E56D3D"/>
            </w:tcBorders>
          </w:tcPr>
          <w:p>
            <w:pPr>
              <w:jc w:val="right"/>
              <w:ind w:right="68"/>
              <w:spacing w:after="0" w:line="185" w:lineRule="exact"/>
              <w:rPr>
                <w:sz w:val="20"/>
                <w:szCs w:val="20"/>
                <w:color w:val="auto"/>
              </w:rPr>
            </w:pPr>
            <w:r>
              <w:rPr>
                <w:rFonts w:ascii="Arial" w:cs="Arial" w:eastAsia="Arial" w:hAnsi="Arial"/>
                <w:sz w:val="14"/>
                <w:szCs w:val="14"/>
                <w:b w:val="1"/>
                <w:bCs w:val="1"/>
                <w:color w:val="E56D3D"/>
              </w:rPr>
              <w:t>Cash Bonus</w:t>
            </w:r>
            <w:r>
              <w:rPr>
                <w:rFonts w:ascii="Arial" w:cs="Arial" w:eastAsia="Arial" w:hAnsi="Arial"/>
                <w:sz w:val="17"/>
                <w:szCs w:val="17"/>
                <w:b w:val="1"/>
                <w:bCs w:val="1"/>
                <w:color w:val="E56D3D"/>
                <w:vertAlign w:val="superscript"/>
              </w:rPr>
              <w:t>(2)</w:t>
            </w:r>
          </w:p>
        </w:tc>
        <w:tc>
          <w:tcPr>
            <w:tcW w:w="960" w:type="dxa"/>
            <w:vAlign w:val="bottom"/>
            <w:tcBorders>
              <w:bottom w:val="single" w:sz="8" w:color="E56D3D"/>
            </w:tcBorders>
          </w:tcPr>
          <w:p>
            <w:pPr>
              <w:jc w:val="right"/>
              <w:ind w:right="88"/>
              <w:spacing w:after="0" w:line="185" w:lineRule="exact"/>
              <w:rPr>
                <w:sz w:val="20"/>
                <w:szCs w:val="20"/>
                <w:color w:val="auto"/>
              </w:rPr>
            </w:pPr>
            <w:r>
              <w:rPr>
                <w:rFonts w:ascii="Arial" w:cs="Arial" w:eastAsia="Arial" w:hAnsi="Arial"/>
                <w:sz w:val="14"/>
                <w:szCs w:val="14"/>
                <w:b w:val="1"/>
                <w:bCs w:val="1"/>
                <w:color w:val="E56D3D"/>
              </w:rPr>
              <w:t>Benefits</w:t>
            </w:r>
            <w:r>
              <w:rPr>
                <w:rFonts w:ascii="Arial" w:cs="Arial" w:eastAsia="Arial" w:hAnsi="Arial"/>
                <w:sz w:val="17"/>
                <w:szCs w:val="17"/>
                <w:b w:val="1"/>
                <w:bCs w:val="1"/>
                <w:color w:val="E56D3D"/>
                <w:vertAlign w:val="superscript"/>
              </w:rPr>
              <w:t>(3)</w:t>
            </w:r>
          </w:p>
        </w:tc>
        <w:tc>
          <w:tcPr>
            <w:tcW w:w="1160" w:type="dxa"/>
            <w:vAlign w:val="bottom"/>
            <w:tcBorders>
              <w:bottom w:val="single" w:sz="8" w:color="E56D3D"/>
            </w:tcBorders>
          </w:tcPr>
          <w:p>
            <w:pPr>
              <w:jc w:val="right"/>
              <w:ind w:right="148"/>
              <w:spacing w:after="0"/>
              <w:rPr>
                <w:sz w:val="20"/>
                <w:szCs w:val="20"/>
                <w:color w:val="auto"/>
              </w:rPr>
            </w:pPr>
            <w:r>
              <w:rPr>
                <w:rFonts w:ascii="Arial" w:cs="Arial" w:eastAsia="Arial" w:hAnsi="Arial"/>
                <w:sz w:val="14"/>
                <w:szCs w:val="14"/>
                <w:b w:val="1"/>
                <w:bCs w:val="1"/>
                <w:color w:val="E56D3D"/>
              </w:rPr>
              <w:t>Grants</w:t>
            </w:r>
          </w:p>
        </w:tc>
        <w:tc>
          <w:tcPr>
            <w:tcW w:w="1080" w:type="dxa"/>
            <w:vAlign w:val="bottom"/>
            <w:tcBorders>
              <w:bottom w:val="single" w:sz="8" w:color="E56D3D"/>
            </w:tcBorders>
          </w:tcPr>
          <w:p>
            <w:pPr>
              <w:jc w:val="right"/>
              <w:ind w:right="88"/>
              <w:spacing w:after="0"/>
              <w:rPr>
                <w:sz w:val="20"/>
                <w:szCs w:val="20"/>
                <w:color w:val="auto"/>
              </w:rPr>
            </w:pPr>
            <w:r>
              <w:rPr>
                <w:rFonts w:ascii="Arial" w:cs="Arial" w:eastAsia="Arial" w:hAnsi="Arial"/>
                <w:sz w:val="14"/>
                <w:szCs w:val="14"/>
                <w:b w:val="1"/>
                <w:bCs w:val="1"/>
                <w:color w:val="E56D3D"/>
              </w:rPr>
              <w:t>Total</w:t>
            </w:r>
          </w:p>
        </w:tc>
        <w:tc>
          <w:tcPr>
            <w:tcW w:w="0" w:type="dxa"/>
            <w:vAlign w:val="bottom"/>
          </w:tcPr>
          <w:p>
            <w:pPr>
              <w:spacing w:after="0"/>
              <w:rPr>
                <w:sz w:val="1"/>
                <w:szCs w:val="1"/>
                <w:color w:val="auto"/>
              </w:rPr>
            </w:pPr>
          </w:p>
        </w:tc>
      </w:tr>
      <w:tr>
        <w:trPr>
          <w:trHeight w:val="277"/>
        </w:trPr>
        <w:tc>
          <w:tcPr>
            <w:tcW w:w="5520" w:type="dxa"/>
            <w:vAlign w:val="bottom"/>
            <w:shd w:val="clear" w:color="auto" w:fill="F7F7F7"/>
          </w:tcPr>
          <w:p>
            <w:pPr>
              <w:ind w:left="60"/>
              <w:spacing w:after="0"/>
              <w:rPr>
                <w:sz w:val="20"/>
                <w:szCs w:val="20"/>
                <w:color w:val="auto"/>
              </w:rPr>
            </w:pPr>
            <w:r>
              <w:rPr>
                <w:rFonts w:ascii="Arial" w:cs="Arial" w:eastAsia="Arial" w:hAnsi="Arial"/>
                <w:sz w:val="14"/>
                <w:szCs w:val="14"/>
                <w:b w:val="1"/>
                <w:bCs w:val="1"/>
                <w:color w:val="auto"/>
              </w:rPr>
              <w:t>Termination by Regency Without Cause or by the Executive for Good Reason:</w:t>
            </w:r>
          </w:p>
        </w:tc>
        <w:tc>
          <w:tcPr>
            <w:tcW w:w="1100" w:type="dxa"/>
            <w:vAlign w:val="bottom"/>
            <w:shd w:val="clear" w:color="auto" w:fill="F7F7F7"/>
          </w:tcPr>
          <w:p>
            <w:pPr>
              <w:spacing w:after="0"/>
              <w:rPr>
                <w:sz w:val="24"/>
                <w:szCs w:val="24"/>
                <w:color w:val="auto"/>
              </w:rPr>
            </w:pPr>
          </w:p>
        </w:tc>
        <w:tc>
          <w:tcPr>
            <w:tcW w:w="1200" w:type="dxa"/>
            <w:vAlign w:val="bottom"/>
            <w:shd w:val="clear" w:color="auto" w:fill="F7F7F7"/>
          </w:tcPr>
          <w:p>
            <w:pPr>
              <w:spacing w:after="0"/>
              <w:rPr>
                <w:sz w:val="24"/>
                <w:szCs w:val="24"/>
                <w:color w:val="auto"/>
              </w:rPr>
            </w:pPr>
          </w:p>
        </w:tc>
        <w:tc>
          <w:tcPr>
            <w:tcW w:w="960" w:type="dxa"/>
            <w:vAlign w:val="bottom"/>
            <w:shd w:val="clear" w:color="auto" w:fill="F7F7F7"/>
          </w:tcPr>
          <w:p>
            <w:pPr>
              <w:spacing w:after="0"/>
              <w:rPr>
                <w:sz w:val="24"/>
                <w:szCs w:val="24"/>
                <w:color w:val="auto"/>
              </w:rPr>
            </w:pPr>
          </w:p>
        </w:tc>
        <w:tc>
          <w:tcPr>
            <w:tcW w:w="1160" w:type="dxa"/>
            <w:vAlign w:val="bottom"/>
            <w:shd w:val="clear" w:color="auto" w:fill="F7F7F7"/>
          </w:tcPr>
          <w:p>
            <w:pPr>
              <w:spacing w:after="0"/>
              <w:rPr>
                <w:sz w:val="24"/>
                <w:szCs w:val="24"/>
                <w:color w:val="auto"/>
              </w:rPr>
            </w:pPr>
          </w:p>
        </w:tc>
        <w:tc>
          <w:tcPr>
            <w:tcW w:w="108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Martin E. Stein, Jr.</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(1.5x)</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$750,000</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$41,302</w:t>
            </w:r>
          </w:p>
        </w:tc>
        <w:tc>
          <w:tcPr>
            <w:tcW w:w="11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$1,846,502</w:t>
            </w:r>
          </w:p>
        </w:tc>
        <w:tc>
          <w:tcPr>
            <w:tcW w:w="108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$2,637,803</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Lisa Palmer</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(2.0x)</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$7,553,333</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$25,245</w:t>
            </w:r>
          </w:p>
        </w:tc>
        <w:tc>
          <w:tcPr>
            <w:tcW w:w="11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$12,211,310</w:t>
            </w:r>
          </w:p>
        </w:tc>
        <w:tc>
          <w:tcPr>
            <w:tcW w:w="108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$19,789,889</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Michael J. Mas</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(1.0x)</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$1,908,500</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$36,461</w:t>
            </w:r>
          </w:p>
        </w:tc>
        <w:tc>
          <w:tcPr>
            <w:tcW w:w="11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$3,855,179</w:t>
            </w:r>
          </w:p>
        </w:tc>
        <w:tc>
          <w:tcPr>
            <w:tcW w:w="108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$5,800,140</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Alan T. Roth</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(1.0x)</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$1,406,400</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$36,461</w:t>
            </w:r>
          </w:p>
        </w:tc>
        <w:tc>
          <w:tcPr>
            <w:tcW w:w="11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$2,733,455</w:t>
            </w:r>
          </w:p>
        </w:tc>
        <w:tc>
          <w:tcPr>
            <w:tcW w:w="108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$4,176,316</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Nicholas A. Wibbenmeyer</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(1.0x)</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$1,403,133</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$36,461</w:t>
            </w:r>
          </w:p>
        </w:tc>
        <w:tc>
          <w:tcPr>
            <w:tcW w:w="11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$2,731,503</w:t>
            </w:r>
          </w:p>
        </w:tc>
        <w:tc>
          <w:tcPr>
            <w:tcW w:w="108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$4,171,098</w:t>
            </w:r>
          </w:p>
        </w:tc>
        <w:tc>
          <w:tcPr>
            <w:tcW w:w="0" w:type="dxa"/>
            <w:vAlign w:val="bottom"/>
          </w:tcPr>
          <w:p>
            <w:pPr>
              <w:spacing w:after="0"/>
              <w:rPr>
                <w:sz w:val="1"/>
                <w:szCs w:val="1"/>
                <w:color w:val="auto"/>
              </w:rPr>
            </w:pPr>
          </w:p>
        </w:tc>
      </w:tr>
      <w:tr>
        <w:trPr>
          <w:trHeight w:val="281"/>
        </w:trPr>
        <w:tc>
          <w:tcPr>
            <w:tcW w:w="5520" w:type="dxa"/>
            <w:vAlign w:val="bottom"/>
            <w:shd w:val="clear" w:color="auto" w:fill="F7F7F7"/>
          </w:tcPr>
          <w:p>
            <w:pPr>
              <w:ind w:left="60"/>
              <w:spacing w:after="0"/>
              <w:rPr>
                <w:sz w:val="20"/>
                <w:szCs w:val="20"/>
                <w:color w:val="auto"/>
              </w:rPr>
            </w:pPr>
            <w:r>
              <w:rPr>
                <w:rFonts w:ascii="Arial" w:cs="Arial" w:eastAsia="Arial" w:hAnsi="Arial"/>
                <w:sz w:val="14"/>
                <w:szCs w:val="14"/>
                <w:b w:val="1"/>
                <w:bCs w:val="1"/>
                <w:color w:val="auto"/>
              </w:rPr>
              <w:t>Qualifying Retirement, Death or Disability:</w:t>
            </w:r>
          </w:p>
        </w:tc>
        <w:tc>
          <w:tcPr>
            <w:tcW w:w="1100" w:type="dxa"/>
            <w:vAlign w:val="bottom"/>
            <w:shd w:val="clear" w:color="auto" w:fill="F7F7F7"/>
          </w:tcPr>
          <w:p>
            <w:pPr>
              <w:spacing w:after="0"/>
              <w:rPr>
                <w:sz w:val="24"/>
                <w:szCs w:val="24"/>
                <w:color w:val="auto"/>
              </w:rPr>
            </w:pPr>
          </w:p>
        </w:tc>
        <w:tc>
          <w:tcPr>
            <w:tcW w:w="1200" w:type="dxa"/>
            <w:vAlign w:val="bottom"/>
            <w:shd w:val="clear" w:color="auto" w:fill="F7F7F7"/>
          </w:tcPr>
          <w:p>
            <w:pPr>
              <w:spacing w:after="0"/>
              <w:rPr>
                <w:sz w:val="24"/>
                <w:szCs w:val="24"/>
                <w:color w:val="auto"/>
              </w:rPr>
            </w:pPr>
          </w:p>
        </w:tc>
        <w:tc>
          <w:tcPr>
            <w:tcW w:w="960" w:type="dxa"/>
            <w:vAlign w:val="bottom"/>
            <w:shd w:val="clear" w:color="auto" w:fill="F7F7F7"/>
          </w:tcPr>
          <w:p>
            <w:pPr>
              <w:spacing w:after="0"/>
              <w:rPr>
                <w:sz w:val="24"/>
                <w:szCs w:val="24"/>
                <w:color w:val="auto"/>
              </w:rPr>
            </w:pPr>
          </w:p>
        </w:tc>
        <w:tc>
          <w:tcPr>
            <w:tcW w:w="1160" w:type="dxa"/>
            <w:vAlign w:val="bottom"/>
            <w:shd w:val="clear" w:color="auto" w:fill="F7F7F7"/>
          </w:tcPr>
          <w:p>
            <w:pPr>
              <w:spacing w:after="0"/>
              <w:rPr>
                <w:sz w:val="24"/>
                <w:szCs w:val="24"/>
                <w:color w:val="auto"/>
              </w:rPr>
            </w:pPr>
          </w:p>
        </w:tc>
        <w:tc>
          <w:tcPr>
            <w:tcW w:w="108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Martin E. Stein, Jr.</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n/a</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$2,499,087</w:t>
            </w:r>
            <w:r>
              <w:rPr>
                <w:rFonts w:ascii="Arial" w:cs="Arial" w:eastAsia="Arial" w:hAnsi="Arial"/>
                <w:sz w:val="17"/>
                <w:szCs w:val="17"/>
                <w:color w:val="auto"/>
                <w:vertAlign w:val="superscript"/>
              </w:rPr>
              <w:t>(4)</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$2,499,087</w:t>
            </w:r>
            <w:r>
              <w:rPr>
                <w:rFonts w:ascii="Arial" w:cs="Arial" w:eastAsia="Arial" w:hAnsi="Arial"/>
                <w:sz w:val="17"/>
                <w:szCs w:val="17"/>
                <w:color w:val="auto"/>
                <w:vertAlign w:val="superscript"/>
              </w:rPr>
              <w:t>(4)</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Lisa Palmer</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n/a</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$17,408,013</w:t>
            </w:r>
            <w:r>
              <w:rPr>
                <w:rFonts w:ascii="Arial" w:cs="Arial" w:eastAsia="Arial" w:hAnsi="Arial"/>
                <w:sz w:val="17"/>
                <w:szCs w:val="17"/>
                <w:color w:val="auto"/>
                <w:vertAlign w:val="superscript"/>
              </w:rPr>
              <w:t>(4)</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$17,408,013</w:t>
            </w:r>
            <w:r>
              <w:rPr>
                <w:rFonts w:ascii="Arial" w:cs="Arial" w:eastAsia="Arial" w:hAnsi="Arial"/>
                <w:sz w:val="17"/>
                <w:szCs w:val="17"/>
                <w:color w:val="auto"/>
                <w:vertAlign w:val="superscript"/>
              </w:rPr>
              <w:t>(4)</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Michael J. Mas</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n/a</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$5,491,371</w:t>
            </w:r>
            <w:r>
              <w:rPr>
                <w:rFonts w:ascii="Arial" w:cs="Arial" w:eastAsia="Arial" w:hAnsi="Arial"/>
                <w:sz w:val="17"/>
                <w:szCs w:val="17"/>
                <w:color w:val="auto"/>
                <w:vertAlign w:val="superscript"/>
              </w:rPr>
              <w:t>(4)</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$5,491,371</w:t>
            </w:r>
            <w:r>
              <w:rPr>
                <w:rFonts w:ascii="Arial" w:cs="Arial" w:eastAsia="Arial" w:hAnsi="Arial"/>
                <w:sz w:val="17"/>
                <w:szCs w:val="17"/>
                <w:color w:val="auto"/>
                <w:vertAlign w:val="superscript"/>
              </w:rPr>
              <w:t>(4)</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Alan T. Roth</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n/a</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$3,981,650</w:t>
            </w:r>
            <w:r>
              <w:rPr>
                <w:rFonts w:ascii="Arial" w:cs="Arial" w:eastAsia="Arial" w:hAnsi="Arial"/>
                <w:sz w:val="17"/>
                <w:szCs w:val="17"/>
                <w:color w:val="auto"/>
                <w:vertAlign w:val="superscript"/>
              </w:rPr>
              <w:t>(4)</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$3,981,650</w:t>
            </w:r>
            <w:r>
              <w:rPr>
                <w:rFonts w:ascii="Arial" w:cs="Arial" w:eastAsia="Arial" w:hAnsi="Arial"/>
                <w:sz w:val="17"/>
                <w:szCs w:val="17"/>
                <w:color w:val="auto"/>
                <w:vertAlign w:val="superscript"/>
              </w:rPr>
              <w:t>(4)</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Nicholas A. Wibbenmeyer</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n/a</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$3,979,699</w:t>
            </w:r>
            <w:r>
              <w:rPr>
                <w:rFonts w:ascii="Arial" w:cs="Arial" w:eastAsia="Arial" w:hAnsi="Arial"/>
                <w:sz w:val="17"/>
                <w:szCs w:val="17"/>
                <w:color w:val="auto"/>
                <w:vertAlign w:val="superscript"/>
              </w:rPr>
              <w:t>(4)</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$3,979,699</w:t>
            </w:r>
            <w:r>
              <w:rPr>
                <w:rFonts w:ascii="Arial" w:cs="Arial" w:eastAsia="Arial" w:hAnsi="Arial"/>
                <w:sz w:val="17"/>
                <w:szCs w:val="17"/>
                <w:color w:val="auto"/>
                <w:vertAlign w:val="superscript"/>
              </w:rPr>
              <w:t>(4)</w:t>
            </w:r>
          </w:p>
        </w:tc>
        <w:tc>
          <w:tcPr>
            <w:tcW w:w="0" w:type="dxa"/>
            <w:vAlign w:val="bottom"/>
          </w:tcPr>
          <w:p>
            <w:pPr>
              <w:spacing w:after="0"/>
              <w:rPr>
                <w:sz w:val="1"/>
                <w:szCs w:val="1"/>
                <w:color w:val="auto"/>
              </w:rPr>
            </w:pPr>
          </w:p>
        </w:tc>
      </w:tr>
      <w:tr>
        <w:trPr>
          <w:trHeight w:val="277"/>
        </w:trPr>
        <w:tc>
          <w:tcPr>
            <w:tcW w:w="5520" w:type="dxa"/>
            <w:vAlign w:val="bottom"/>
            <w:shd w:val="clear" w:color="auto" w:fill="F7F7F7"/>
          </w:tcPr>
          <w:p>
            <w:pPr>
              <w:ind w:left="60"/>
              <w:spacing w:after="0"/>
              <w:rPr>
                <w:sz w:val="20"/>
                <w:szCs w:val="20"/>
                <w:color w:val="auto"/>
              </w:rPr>
            </w:pPr>
            <w:r>
              <w:rPr>
                <w:rFonts w:ascii="Arial" w:cs="Arial" w:eastAsia="Arial" w:hAnsi="Arial"/>
                <w:sz w:val="14"/>
                <w:szCs w:val="14"/>
                <w:b w:val="1"/>
                <w:bCs w:val="1"/>
                <w:color w:val="auto"/>
              </w:rPr>
              <w:t>Change of Control:</w:t>
            </w:r>
          </w:p>
        </w:tc>
        <w:tc>
          <w:tcPr>
            <w:tcW w:w="1100" w:type="dxa"/>
            <w:vAlign w:val="bottom"/>
            <w:shd w:val="clear" w:color="auto" w:fill="F7F7F7"/>
          </w:tcPr>
          <w:p>
            <w:pPr>
              <w:spacing w:after="0"/>
              <w:rPr>
                <w:sz w:val="24"/>
                <w:szCs w:val="24"/>
                <w:color w:val="auto"/>
              </w:rPr>
            </w:pPr>
          </w:p>
        </w:tc>
        <w:tc>
          <w:tcPr>
            <w:tcW w:w="1200" w:type="dxa"/>
            <w:vAlign w:val="bottom"/>
            <w:shd w:val="clear" w:color="auto" w:fill="F7F7F7"/>
          </w:tcPr>
          <w:p>
            <w:pPr>
              <w:spacing w:after="0"/>
              <w:rPr>
                <w:sz w:val="24"/>
                <w:szCs w:val="24"/>
                <w:color w:val="auto"/>
              </w:rPr>
            </w:pPr>
          </w:p>
        </w:tc>
        <w:tc>
          <w:tcPr>
            <w:tcW w:w="960" w:type="dxa"/>
            <w:vAlign w:val="bottom"/>
            <w:shd w:val="clear" w:color="auto" w:fill="F7F7F7"/>
          </w:tcPr>
          <w:p>
            <w:pPr>
              <w:spacing w:after="0"/>
              <w:rPr>
                <w:sz w:val="24"/>
                <w:szCs w:val="24"/>
                <w:color w:val="auto"/>
              </w:rPr>
            </w:pPr>
          </w:p>
        </w:tc>
        <w:tc>
          <w:tcPr>
            <w:tcW w:w="1160" w:type="dxa"/>
            <w:vAlign w:val="bottom"/>
            <w:shd w:val="clear" w:color="auto" w:fill="F7F7F7"/>
          </w:tcPr>
          <w:p>
            <w:pPr>
              <w:spacing w:after="0"/>
              <w:rPr>
                <w:sz w:val="24"/>
                <w:szCs w:val="24"/>
                <w:color w:val="auto"/>
              </w:rPr>
            </w:pPr>
          </w:p>
        </w:tc>
        <w:tc>
          <w:tcPr>
            <w:tcW w:w="108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Martin E. Stein, Jr.</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(2.0x)</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$1,000,000</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$55,069</w:t>
            </w:r>
          </w:p>
        </w:tc>
        <w:tc>
          <w:tcPr>
            <w:tcW w:w="11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$2,666,616</w:t>
            </w:r>
          </w:p>
        </w:tc>
        <w:tc>
          <w:tcPr>
            <w:tcW w:w="108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$3,721,684</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Lisa Palmer</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(3.0x)</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$13,280,000</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$37,868</w:t>
            </w:r>
          </w:p>
        </w:tc>
        <w:tc>
          <w:tcPr>
            <w:tcW w:w="11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$18,765,765</w:t>
            </w:r>
          </w:p>
        </w:tc>
        <w:tc>
          <w:tcPr>
            <w:tcW w:w="108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$32,083,633</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Michael J. Mas</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(2.0x)</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$4,842,000</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$72,922</w:t>
            </w:r>
          </w:p>
        </w:tc>
        <w:tc>
          <w:tcPr>
            <w:tcW w:w="11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$5,919,935</w:t>
            </w:r>
          </w:p>
        </w:tc>
        <w:tc>
          <w:tcPr>
            <w:tcW w:w="108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$10,834,857</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Alan T. Roth</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(2.0x)</w:t>
            </w:r>
          </w:p>
        </w:tc>
        <w:tc>
          <w:tcPr>
            <w:tcW w:w="120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$3,437,800</w:t>
            </w:r>
          </w:p>
        </w:tc>
        <w:tc>
          <w:tcPr>
            <w:tcW w:w="9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$72,922</w:t>
            </w:r>
          </w:p>
        </w:tc>
        <w:tc>
          <w:tcPr>
            <w:tcW w:w="11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$4,301,496</w:t>
            </w:r>
          </w:p>
        </w:tc>
        <w:tc>
          <w:tcPr>
            <w:tcW w:w="108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$7,812,218</w:t>
            </w:r>
          </w:p>
        </w:tc>
        <w:tc>
          <w:tcPr>
            <w:tcW w:w="0" w:type="dxa"/>
            <w:vAlign w:val="bottom"/>
          </w:tcPr>
          <w:p>
            <w:pPr>
              <w:spacing w:after="0"/>
              <w:rPr>
                <w:sz w:val="1"/>
                <w:szCs w:val="1"/>
                <w:color w:val="auto"/>
              </w:rPr>
            </w:pPr>
          </w:p>
        </w:tc>
      </w:tr>
      <w:tr>
        <w:trPr>
          <w:trHeight w:val="233"/>
        </w:trPr>
        <w:tc>
          <w:tcPr>
            <w:tcW w:w="5520" w:type="dxa"/>
            <w:vAlign w:val="bottom"/>
          </w:tcPr>
          <w:p>
            <w:pPr>
              <w:ind w:left="60"/>
              <w:spacing w:after="0"/>
              <w:rPr>
                <w:sz w:val="20"/>
                <w:szCs w:val="20"/>
                <w:color w:val="auto"/>
              </w:rPr>
            </w:pPr>
            <w:r>
              <w:rPr>
                <w:rFonts w:ascii="Arial" w:cs="Arial" w:eastAsia="Arial" w:hAnsi="Arial"/>
                <w:sz w:val="14"/>
                <w:szCs w:val="14"/>
                <w:color w:val="auto"/>
              </w:rPr>
              <w:t>Nicholas A. Wibbenmeyer</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(2.0x)</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$3,431,267</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$72,922</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$4,299,544</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$7,803,732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2" w:lineRule="exact"/>
        <w:rPr>
          <w:sz w:val="20"/>
          <w:szCs w:val="20"/>
          <w:color w:val="auto"/>
        </w:rPr>
      </w:pPr>
    </w:p>
    <w:p>
      <w:pPr>
        <w:ind w:left="4" w:right="20" w:hanging="4"/>
        <w:spacing w:after="0" w:line="221" w:lineRule="auto"/>
        <w:tabs>
          <w:tab w:leader="none" w:pos="193"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value of equity awards that vest early is based on the closing price of our common stock on December 31, 2025, the last business day of fiscal 2025. The table does not include amounts payable under our non-qualified deferred compensation plans, which are described above under “Summary of Our Non-Qualified Deferred Compensation Plans.” Year-end accrued account balances under these plans are shown in the non-qualified deferred compensation table included elsewhere in this proxy statement. The table also does not include account balances under our 401(k) and profit-sharing plan, in which our executives participate on the same basis as all other participants.</w:t>
      </w:r>
    </w:p>
    <w:p>
      <w:pPr>
        <w:spacing w:after="0" w:line="1" w:lineRule="exact"/>
        <w:rPr>
          <w:rFonts w:ascii="Arial" w:cs="Arial" w:eastAsia="Arial" w:hAnsi="Arial"/>
          <w:sz w:val="13"/>
          <w:szCs w:val="13"/>
          <w:color w:val="auto"/>
        </w:rPr>
      </w:pPr>
    </w:p>
    <w:p>
      <w:pPr>
        <w:ind w:left="4" w:right="60" w:hanging="4"/>
        <w:spacing w:after="0" w:line="216" w:lineRule="auto"/>
        <w:tabs>
          <w:tab w:leader="none" w:pos="193" w:val="left"/>
        </w:tabs>
        <w:numPr>
          <w:ilvl w:val="0"/>
          <w:numId w:val="69"/>
        </w:numPr>
        <w:rPr>
          <w:rFonts w:ascii="Arial" w:cs="Arial" w:eastAsia="Arial" w:hAnsi="Arial"/>
          <w:sz w:val="13"/>
          <w:szCs w:val="13"/>
          <w:color w:val="auto"/>
        </w:rPr>
      </w:pPr>
      <w:r>
        <w:rPr>
          <w:rFonts w:ascii="Arial" w:cs="Arial" w:eastAsia="Arial" w:hAnsi="Arial"/>
          <w:sz w:val="13"/>
          <w:szCs w:val="13"/>
          <w:color w:val="auto"/>
        </w:rPr>
        <w:t>Cash bonus has been computed based on cash incentive compensation paid in 2022, 2023 and 2024 (the three years preceding the date of termination) plus the 2025 target multiple assuming a change of control termination.</w:t>
      </w:r>
    </w:p>
    <w:p>
      <w:pPr>
        <w:ind w:left="184" w:hanging="184"/>
        <w:spacing w:after="0" w:line="216" w:lineRule="auto"/>
        <w:tabs>
          <w:tab w:leader="none" w:pos="184" w:val="left"/>
        </w:tabs>
        <w:numPr>
          <w:ilvl w:val="0"/>
          <w:numId w:val="69"/>
        </w:numPr>
        <w:rPr>
          <w:rFonts w:ascii="Arial" w:cs="Arial" w:eastAsia="Arial" w:hAnsi="Arial"/>
          <w:sz w:val="13"/>
          <w:szCs w:val="13"/>
          <w:color w:val="auto"/>
        </w:rPr>
      </w:pPr>
      <w:r>
        <w:rPr>
          <w:rFonts w:ascii="Arial" w:cs="Arial" w:eastAsia="Arial" w:hAnsi="Arial"/>
          <w:sz w:val="13"/>
          <w:szCs w:val="13"/>
          <w:color w:val="auto"/>
        </w:rPr>
        <w:t>Medical, dental and vision insurance payments have been estimated based on current COBRA rates.</w:t>
      </w:r>
    </w:p>
    <w:p>
      <w:pPr>
        <w:jc w:val="both"/>
        <w:ind w:left="4" w:right="120" w:hanging="4"/>
        <w:spacing w:after="0" w:line="226" w:lineRule="auto"/>
        <w:tabs>
          <w:tab w:leader="none" w:pos="193"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amounts shown include performance shares that would vest in 2025, 2026 or 2027, as applicable, to the extent that the Company achieves the identified performance goals for those years. The values assume a payout level equal to target. Actual values paid will be based on actual performance. For qualifying retirement, death or disability terminations, performance shares would vest and pay out under the terms of each applicable award and the Omnibus Incentive Plan.</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46</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024"/>
          </w:cols>
          <w:pgMar w:left="436" w:top="291"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 </w:t>
      </w:r>
      <w:r>
        <w:rPr>
          <w:rFonts w:ascii="Arial" w:cs="Arial" w:eastAsia="Arial" w:hAnsi="Arial"/>
          <w:sz w:val="19"/>
          <w:szCs w:val="19"/>
          <w:b w:val="1"/>
          <w:bCs w:val="1"/>
          <w:color w:val="E56D3D"/>
        </w:rPr>
        <w:t>|</w:t>
      </w:r>
    </w:p>
    <w:p>
      <w:pPr>
        <w:spacing w:after="0" w:line="141"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6A6E6F"/>
        </w:rPr>
        <w:t>Pay Versus Performance Table</w:t>
      </w:r>
    </w:p>
    <w:p>
      <w:pPr>
        <w:spacing w:after="0" w:line="72" w:lineRule="exact"/>
        <w:rPr>
          <w:sz w:val="20"/>
          <w:szCs w:val="20"/>
          <w:color w:val="auto"/>
        </w:rPr>
      </w:pPr>
    </w:p>
    <w:p>
      <w:pPr>
        <w:ind w:left="4" w:right="140"/>
        <w:spacing w:after="0" w:line="259" w:lineRule="auto"/>
        <w:rPr>
          <w:sz w:val="20"/>
          <w:szCs w:val="20"/>
          <w:color w:val="auto"/>
        </w:rPr>
      </w:pPr>
      <w:r>
        <w:rPr>
          <w:rFonts w:ascii="Arial" w:cs="Arial" w:eastAsia="Arial" w:hAnsi="Arial"/>
          <w:sz w:val="16"/>
          <w:szCs w:val="16"/>
          <w:color w:val="auto"/>
        </w:rPr>
        <w:t>The following tables and discussion summarize the relationship between NEO compensation actually paid (“Compensation Actually Paid”) and our financial performance results for our last four completed fiscal years, calculated in the manner required by Item 402(v) of Regulation S-K. The tables and the associated narrative and graphical disclosure should be viewed together for a more complete presentation of such relationship over the time periods presented.</w:t>
      </w:r>
    </w:p>
    <w:p>
      <w:pPr>
        <w:spacing w:after="0" w:line="151" w:lineRule="exact"/>
        <w:rPr>
          <w:sz w:val="20"/>
          <w:szCs w:val="20"/>
          <w:color w:val="auto"/>
        </w:rPr>
      </w:pPr>
    </w:p>
    <w:p>
      <w:pPr>
        <w:ind w:left="4" w:right="120"/>
        <w:spacing w:after="0" w:line="266" w:lineRule="auto"/>
        <w:rPr>
          <w:sz w:val="20"/>
          <w:szCs w:val="20"/>
          <w:color w:val="auto"/>
        </w:rPr>
      </w:pPr>
      <w:r>
        <w:rPr>
          <w:rFonts w:ascii="Arial" w:cs="Arial" w:eastAsia="Arial" w:hAnsi="Arial"/>
          <w:sz w:val="16"/>
          <w:szCs w:val="16"/>
          <w:color w:val="auto"/>
        </w:rPr>
        <w:t>The calculations and analysis below do not necessarily reflect the Company’s approach to aligning executive compensation with performance. For information concerning the Company’s compensation philosophy and how the Company aligns executive compensation with financial performance, refer to the Compensation Discussion and Analysis on page 26 of this proxy statement.</w:t>
      </w: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E56D3D"/>
              </w:rPr>
              <w:t>Value of Initial Fixed $100</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6A6E6F"/>
              </w:rPr>
              <w:t>Summary</w:t>
            </w:r>
          </w:p>
        </w:tc>
        <w:tc>
          <w:tcPr>
            <w:tcW w:w="1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E56D3D"/>
              </w:rPr>
              <w:t>Investment Based On:</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80" w:type="dxa"/>
            <w:vAlign w:val="bottom"/>
            <w:tcBorders>
              <w:top w:val="single" w:sz="8" w:color="E56D3D"/>
            </w:tcBorders>
          </w:tcPr>
          <w:p>
            <w:pPr>
              <w:spacing w:after="0"/>
              <w:rPr>
                <w:sz w:val="11"/>
                <w:szCs w:val="11"/>
                <w:color w:val="auto"/>
              </w:rPr>
            </w:pPr>
          </w:p>
        </w:tc>
        <w:tc>
          <w:tcPr>
            <w:tcW w:w="960" w:type="dxa"/>
            <w:vAlign w:val="bottom"/>
            <w:tcBorders>
              <w:top w:val="single" w:sz="8" w:color="E56D3D"/>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6A6E6F"/>
              </w:rPr>
              <w:t>Compensation</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6A6E6F"/>
              </w:rPr>
              <w:t>Table Total for</w:t>
            </w:r>
          </w:p>
        </w:tc>
        <w:tc>
          <w:tcPr>
            <w:tcW w:w="1500" w:type="dxa"/>
            <w:vAlign w:val="bottom"/>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6A6E6F"/>
              </w:rPr>
              <w:t>Average</w:t>
            </w:r>
          </w:p>
        </w:tc>
        <w:tc>
          <w:tcPr>
            <w:tcW w:w="1380" w:type="dxa"/>
            <w:vAlign w:val="bottom"/>
          </w:tcPr>
          <w:p>
            <w:pPr>
              <w:jc w:val="right"/>
              <w:ind w:right="291"/>
              <w:spacing w:after="0"/>
              <w:rPr>
                <w:sz w:val="20"/>
                <w:szCs w:val="20"/>
                <w:color w:val="auto"/>
              </w:rPr>
            </w:pPr>
            <w:r>
              <w:rPr>
                <w:rFonts w:ascii="Arial" w:cs="Arial" w:eastAsia="Arial" w:hAnsi="Arial"/>
                <w:sz w:val="14"/>
                <w:szCs w:val="14"/>
                <w:b w:val="1"/>
                <w:bCs w:val="1"/>
                <w:color w:val="6A6E6F"/>
              </w:rPr>
              <w:t>Average</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6A6E6F"/>
              </w:rPr>
              <w:t>Principal</w:t>
            </w:r>
          </w:p>
        </w:tc>
        <w:tc>
          <w:tcPr>
            <w:tcW w:w="1500" w:type="dxa"/>
            <w:vAlign w:val="bottom"/>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6A6E6F"/>
              </w:rPr>
              <w:t>Summary</w:t>
            </w:r>
          </w:p>
        </w:tc>
        <w:tc>
          <w:tcPr>
            <w:tcW w:w="1380" w:type="dxa"/>
            <w:vAlign w:val="bottom"/>
          </w:tcPr>
          <w:p>
            <w:pPr>
              <w:jc w:val="right"/>
              <w:ind w:right="291"/>
              <w:spacing w:after="0"/>
              <w:rPr>
                <w:sz w:val="20"/>
                <w:szCs w:val="20"/>
                <w:color w:val="auto"/>
              </w:rPr>
            </w:pPr>
            <w:r>
              <w:rPr>
                <w:rFonts w:ascii="Arial" w:cs="Arial" w:eastAsia="Arial" w:hAnsi="Arial"/>
                <w:sz w:val="14"/>
                <w:szCs w:val="14"/>
                <w:b w:val="1"/>
                <w:bCs w:val="1"/>
                <w:color w:val="6A6E6F"/>
              </w:rPr>
              <w:t>Compensation</w:t>
            </w:r>
          </w:p>
        </w:tc>
        <w:tc>
          <w:tcPr>
            <w:tcW w:w="9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6A6E6F"/>
              </w:rPr>
              <w:t>Peer Group</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6A6E6F"/>
              </w:rPr>
              <w:t>Core</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6A6E6F"/>
              </w:rPr>
              <w:t>Executive</w:t>
            </w: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6A6E6F"/>
              </w:rPr>
              <w:t>Compensation</w:t>
            </w: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6A6E6F"/>
              </w:rPr>
              <w:t>Compensation</w:t>
            </w:r>
          </w:p>
        </w:tc>
        <w:tc>
          <w:tcPr>
            <w:tcW w:w="1380" w:type="dxa"/>
            <w:vAlign w:val="bottom"/>
          </w:tcPr>
          <w:p>
            <w:pPr>
              <w:jc w:val="right"/>
              <w:ind w:right="291"/>
              <w:spacing w:after="0"/>
              <w:rPr>
                <w:sz w:val="20"/>
                <w:szCs w:val="20"/>
                <w:color w:val="auto"/>
              </w:rPr>
            </w:pPr>
            <w:r>
              <w:rPr>
                <w:rFonts w:ascii="Arial" w:cs="Arial" w:eastAsia="Arial" w:hAnsi="Arial"/>
                <w:sz w:val="14"/>
                <w:szCs w:val="14"/>
                <w:b w:val="1"/>
                <w:bCs w:val="1"/>
                <w:color w:val="6A6E6F"/>
              </w:rPr>
              <w:t>Actually Paid</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6A6E6F"/>
              </w:rPr>
              <w:t>Total</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6A6E6F"/>
              </w:rPr>
              <w:t>Total</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6A6E6F"/>
              </w:rPr>
              <w:t>Net</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6A6E6F"/>
              </w:rPr>
              <w:t>Operating</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6A6E6F"/>
              </w:rPr>
              <w:t>Officer</w:t>
            </w: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6A6E6F"/>
              </w:rPr>
              <w:t>Actually Paid to</w:t>
            </w:r>
          </w:p>
        </w:tc>
        <w:tc>
          <w:tcPr>
            <w:tcW w:w="1420" w:type="dxa"/>
            <w:vAlign w:val="bottom"/>
          </w:tcPr>
          <w:p>
            <w:pPr>
              <w:jc w:val="right"/>
              <w:ind w:right="168"/>
              <w:spacing w:after="0"/>
              <w:rPr>
                <w:sz w:val="20"/>
                <w:szCs w:val="20"/>
                <w:color w:val="auto"/>
              </w:rPr>
            </w:pPr>
            <w:r>
              <w:rPr>
                <w:rFonts w:ascii="Arial" w:cs="Arial" w:eastAsia="Arial" w:hAnsi="Arial"/>
                <w:sz w:val="14"/>
                <w:szCs w:val="14"/>
                <w:b w:val="1"/>
                <w:bCs w:val="1"/>
                <w:color w:val="6A6E6F"/>
              </w:rPr>
              <w:t>Table Total for</w:t>
            </w:r>
          </w:p>
        </w:tc>
        <w:tc>
          <w:tcPr>
            <w:tcW w:w="1380" w:type="dxa"/>
            <w:vAlign w:val="bottom"/>
          </w:tcPr>
          <w:p>
            <w:pPr>
              <w:jc w:val="right"/>
              <w:ind w:right="291"/>
              <w:spacing w:after="0"/>
              <w:rPr>
                <w:sz w:val="20"/>
                <w:szCs w:val="20"/>
                <w:color w:val="auto"/>
              </w:rPr>
            </w:pPr>
            <w:r>
              <w:rPr>
                <w:rFonts w:ascii="Arial" w:cs="Arial" w:eastAsia="Arial" w:hAnsi="Arial"/>
                <w:sz w:val="14"/>
                <w:szCs w:val="14"/>
                <w:b w:val="1"/>
                <w:bCs w:val="1"/>
                <w:color w:val="6A6E6F"/>
              </w:rPr>
              <w:t>to non-PEO</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6A6E6F"/>
              </w:rPr>
              <w:t>Shareholder</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6A6E6F"/>
              </w:rPr>
              <w:t>Shareholder</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6A6E6F"/>
              </w:rPr>
              <w:t>Income (in</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6A6E6F"/>
              </w:rPr>
              <w:t>Earnings Per</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E56D3D"/>
            </w:tcBorders>
            <w:gridSpan w:val="2"/>
          </w:tcPr>
          <w:p>
            <w:pPr>
              <w:ind w:left="60"/>
              <w:spacing w:after="0" w:line="185" w:lineRule="exact"/>
              <w:rPr>
                <w:sz w:val="20"/>
                <w:szCs w:val="20"/>
                <w:color w:val="auto"/>
              </w:rPr>
            </w:pPr>
            <w:r>
              <w:rPr>
                <w:rFonts w:ascii="Arial" w:cs="Arial" w:eastAsia="Arial" w:hAnsi="Arial"/>
                <w:sz w:val="14"/>
                <w:szCs w:val="14"/>
                <w:b w:val="1"/>
                <w:bCs w:val="1"/>
                <w:color w:val="6A6E6F"/>
              </w:rPr>
              <w:t>Year</w:t>
            </w:r>
            <w:r>
              <w:rPr>
                <w:rFonts w:ascii="Arial" w:cs="Arial" w:eastAsia="Arial" w:hAnsi="Arial"/>
                <w:sz w:val="17"/>
                <w:szCs w:val="17"/>
                <w:b w:val="1"/>
                <w:bCs w:val="1"/>
                <w:color w:val="6A6E6F"/>
                <w:vertAlign w:val="superscript"/>
              </w:rPr>
              <w:t>(1)</w:t>
            </w:r>
          </w:p>
        </w:tc>
        <w:tc>
          <w:tcPr>
            <w:tcW w:w="1320" w:type="dxa"/>
            <w:vAlign w:val="bottom"/>
            <w:tcBorders>
              <w:bottom w:val="single" w:sz="8" w:color="E56D3D"/>
            </w:tcBorders>
          </w:tcPr>
          <w:p>
            <w:pPr>
              <w:jc w:val="right"/>
              <w:spacing w:after="0"/>
              <w:rPr>
                <w:sz w:val="20"/>
                <w:szCs w:val="20"/>
                <w:color w:val="auto"/>
              </w:rPr>
            </w:pPr>
            <w:r>
              <w:rPr>
                <w:rFonts w:ascii="Arial" w:cs="Arial" w:eastAsia="Arial" w:hAnsi="Arial"/>
                <w:sz w:val="14"/>
                <w:szCs w:val="14"/>
                <w:b w:val="1"/>
                <w:bCs w:val="1"/>
                <w:color w:val="6A6E6F"/>
              </w:rPr>
              <w:t>(PEO)</w:t>
            </w:r>
          </w:p>
        </w:tc>
        <w:tc>
          <w:tcPr>
            <w:tcW w:w="1500" w:type="dxa"/>
            <w:vAlign w:val="bottom"/>
            <w:tcBorders>
              <w:bottom w:val="single" w:sz="8" w:color="E56D3D"/>
            </w:tcBorders>
          </w:tcPr>
          <w:p>
            <w:pPr>
              <w:jc w:val="right"/>
              <w:ind w:right="174"/>
              <w:spacing w:after="0" w:line="185" w:lineRule="exact"/>
              <w:rPr>
                <w:sz w:val="20"/>
                <w:szCs w:val="20"/>
                <w:color w:val="auto"/>
              </w:rPr>
            </w:pPr>
            <w:r>
              <w:rPr>
                <w:rFonts w:ascii="Arial" w:cs="Arial" w:eastAsia="Arial" w:hAnsi="Arial"/>
                <w:sz w:val="21"/>
                <w:szCs w:val="21"/>
                <w:b w:val="1"/>
                <w:bCs w:val="1"/>
                <w:color w:val="6A6E6F"/>
                <w:vertAlign w:val="subscript"/>
              </w:rPr>
              <w:t>PEO</w:t>
            </w:r>
            <w:r>
              <w:rPr>
                <w:rFonts w:ascii="Arial" w:cs="Arial" w:eastAsia="Arial" w:hAnsi="Arial"/>
                <w:sz w:val="8"/>
                <w:szCs w:val="8"/>
                <w:b w:val="1"/>
                <w:bCs w:val="1"/>
                <w:color w:val="6A6E6F"/>
              </w:rPr>
              <w:t>(2)(3)</w:t>
            </w:r>
          </w:p>
        </w:tc>
        <w:tc>
          <w:tcPr>
            <w:tcW w:w="1420" w:type="dxa"/>
            <w:vAlign w:val="bottom"/>
            <w:tcBorders>
              <w:bottom w:val="single" w:sz="8" w:color="E56D3D"/>
            </w:tcBorders>
          </w:tcPr>
          <w:p>
            <w:pPr>
              <w:jc w:val="right"/>
              <w:ind w:right="168"/>
              <w:spacing w:after="0"/>
              <w:rPr>
                <w:sz w:val="20"/>
                <w:szCs w:val="20"/>
                <w:color w:val="auto"/>
              </w:rPr>
            </w:pPr>
            <w:r>
              <w:rPr>
                <w:rFonts w:ascii="Arial" w:cs="Arial" w:eastAsia="Arial" w:hAnsi="Arial"/>
                <w:sz w:val="14"/>
                <w:szCs w:val="14"/>
                <w:b w:val="1"/>
                <w:bCs w:val="1"/>
                <w:color w:val="6A6E6F"/>
              </w:rPr>
              <w:t>non-PEO NEOs</w:t>
            </w:r>
          </w:p>
        </w:tc>
        <w:tc>
          <w:tcPr>
            <w:tcW w:w="1380" w:type="dxa"/>
            <w:vAlign w:val="bottom"/>
            <w:tcBorders>
              <w:bottom w:val="single" w:sz="8" w:color="E56D3D"/>
            </w:tcBorders>
          </w:tcPr>
          <w:p>
            <w:pPr>
              <w:jc w:val="center"/>
              <w:spacing w:after="0" w:line="185" w:lineRule="exact"/>
              <w:rPr>
                <w:sz w:val="20"/>
                <w:szCs w:val="20"/>
                <w:color w:val="auto"/>
              </w:rPr>
            </w:pPr>
            <w:r>
              <w:rPr>
                <w:rFonts w:ascii="Arial" w:cs="Arial" w:eastAsia="Arial" w:hAnsi="Arial"/>
                <w:sz w:val="21"/>
                <w:szCs w:val="21"/>
                <w:b w:val="1"/>
                <w:bCs w:val="1"/>
                <w:color w:val="6A6E6F"/>
                <w:vertAlign w:val="subscript"/>
              </w:rPr>
              <w:t>NEOs</w:t>
            </w:r>
            <w:r>
              <w:rPr>
                <w:rFonts w:ascii="Arial" w:cs="Arial" w:eastAsia="Arial" w:hAnsi="Arial"/>
                <w:sz w:val="8"/>
                <w:szCs w:val="8"/>
                <w:b w:val="1"/>
                <w:bCs w:val="1"/>
                <w:color w:val="6A6E6F"/>
              </w:rPr>
              <w:t>(2)(3)</w:t>
            </w:r>
          </w:p>
        </w:tc>
        <w:tc>
          <w:tcPr>
            <w:tcW w:w="980" w:type="dxa"/>
            <w:vAlign w:val="bottom"/>
            <w:tcBorders>
              <w:bottom w:val="single" w:sz="8" w:color="E56D3D"/>
            </w:tcBorders>
          </w:tcPr>
          <w:p>
            <w:pPr>
              <w:jc w:val="right"/>
              <w:ind w:right="48"/>
              <w:spacing w:after="0" w:line="185" w:lineRule="exact"/>
              <w:rPr>
                <w:sz w:val="20"/>
                <w:szCs w:val="20"/>
                <w:color w:val="auto"/>
              </w:rPr>
            </w:pPr>
            <w:r>
              <w:rPr>
                <w:rFonts w:ascii="Arial" w:cs="Arial" w:eastAsia="Arial" w:hAnsi="Arial"/>
                <w:sz w:val="14"/>
                <w:szCs w:val="14"/>
                <w:b w:val="1"/>
                <w:bCs w:val="1"/>
                <w:color w:val="6A6E6F"/>
              </w:rPr>
              <w:t>Return</w:t>
            </w:r>
            <w:r>
              <w:rPr>
                <w:rFonts w:ascii="Arial" w:cs="Arial" w:eastAsia="Arial" w:hAnsi="Arial"/>
                <w:sz w:val="17"/>
                <w:szCs w:val="17"/>
                <w:b w:val="1"/>
                <w:bCs w:val="1"/>
                <w:color w:val="6A6E6F"/>
                <w:vertAlign w:val="superscript"/>
              </w:rPr>
              <w:t>(9)</w:t>
            </w:r>
          </w:p>
        </w:tc>
        <w:tc>
          <w:tcPr>
            <w:tcW w:w="1100" w:type="dxa"/>
            <w:vAlign w:val="bottom"/>
            <w:tcBorders>
              <w:bottom w:val="single" w:sz="8" w:color="E56D3D"/>
            </w:tcBorders>
            <w:gridSpan w:val="2"/>
          </w:tcPr>
          <w:p>
            <w:pPr>
              <w:jc w:val="right"/>
              <w:ind w:right="140"/>
              <w:spacing w:after="0" w:line="185" w:lineRule="exact"/>
              <w:rPr>
                <w:sz w:val="20"/>
                <w:szCs w:val="20"/>
                <w:color w:val="auto"/>
              </w:rPr>
            </w:pPr>
            <w:r>
              <w:rPr>
                <w:rFonts w:ascii="Arial" w:cs="Arial" w:eastAsia="Arial" w:hAnsi="Arial"/>
                <w:sz w:val="14"/>
                <w:szCs w:val="14"/>
                <w:b w:val="1"/>
                <w:bCs w:val="1"/>
                <w:color w:val="6A6E6F"/>
              </w:rPr>
              <w:t>Return</w:t>
            </w:r>
            <w:r>
              <w:rPr>
                <w:rFonts w:ascii="Arial" w:cs="Arial" w:eastAsia="Arial" w:hAnsi="Arial"/>
                <w:sz w:val="17"/>
                <w:szCs w:val="17"/>
                <w:b w:val="1"/>
                <w:bCs w:val="1"/>
                <w:color w:val="6A6E6F"/>
                <w:vertAlign w:val="superscript"/>
              </w:rPr>
              <w:t>(9)</w:t>
            </w:r>
          </w:p>
        </w:tc>
        <w:tc>
          <w:tcPr>
            <w:tcW w:w="1040" w:type="dxa"/>
            <w:vAlign w:val="bottom"/>
            <w:tcBorders>
              <w:bottom w:val="single" w:sz="8" w:color="E56D3D"/>
            </w:tcBorders>
          </w:tcPr>
          <w:p>
            <w:pPr>
              <w:jc w:val="right"/>
              <w:ind w:right="68"/>
              <w:spacing w:after="0"/>
              <w:rPr>
                <w:sz w:val="20"/>
                <w:szCs w:val="20"/>
                <w:color w:val="auto"/>
              </w:rPr>
            </w:pPr>
            <w:r>
              <w:rPr>
                <w:rFonts w:ascii="Arial" w:cs="Arial" w:eastAsia="Arial" w:hAnsi="Arial"/>
                <w:sz w:val="14"/>
                <w:szCs w:val="14"/>
                <w:b w:val="1"/>
                <w:bCs w:val="1"/>
                <w:color w:val="6A6E6F"/>
              </w:rPr>
              <w:t>thousands)</w:t>
            </w:r>
          </w:p>
        </w:tc>
        <w:tc>
          <w:tcPr>
            <w:tcW w:w="1060" w:type="dxa"/>
            <w:vAlign w:val="bottom"/>
            <w:tcBorders>
              <w:bottom w:val="single" w:sz="8" w:color="E56D3D"/>
            </w:tcBorders>
            <w:gridSpan w:val="2"/>
          </w:tcPr>
          <w:p>
            <w:pPr>
              <w:jc w:val="right"/>
              <w:spacing w:after="0" w:line="185" w:lineRule="exact"/>
              <w:rPr>
                <w:sz w:val="20"/>
                <w:szCs w:val="20"/>
                <w:color w:val="auto"/>
              </w:rPr>
            </w:pPr>
            <w:r>
              <w:rPr>
                <w:rFonts w:ascii="Arial" w:cs="Arial" w:eastAsia="Arial" w:hAnsi="Arial"/>
                <w:sz w:val="14"/>
                <w:szCs w:val="14"/>
                <w:b w:val="1"/>
                <w:bCs w:val="1"/>
                <w:color w:val="6A6E6F"/>
              </w:rPr>
              <w:t>Share</w:t>
            </w:r>
            <w:r>
              <w:rPr>
                <w:rFonts w:ascii="Arial" w:cs="Arial" w:eastAsia="Arial" w:hAnsi="Arial"/>
                <w:sz w:val="17"/>
                <w:szCs w:val="17"/>
                <w:b w:val="1"/>
                <w:bCs w:val="1"/>
                <w:color w:val="6A6E6F"/>
                <w:vertAlign w:val="superscript"/>
              </w:rPr>
              <w:t>(10)</w:t>
            </w:r>
          </w:p>
        </w:tc>
        <w:tc>
          <w:tcPr>
            <w:tcW w:w="0" w:type="dxa"/>
            <w:vAlign w:val="bottom"/>
          </w:tcPr>
          <w:p>
            <w:pPr>
              <w:spacing w:after="0"/>
              <w:rPr>
                <w:sz w:val="1"/>
                <w:szCs w:val="1"/>
                <w:color w:val="auto"/>
              </w:rPr>
            </w:pPr>
          </w:p>
        </w:tc>
      </w:tr>
      <w:tr>
        <w:trPr>
          <w:trHeight w:val="237"/>
        </w:trPr>
        <w:tc>
          <w:tcPr>
            <w:tcW w:w="5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2025</w:t>
            </w:r>
          </w:p>
        </w:tc>
        <w:tc>
          <w:tcPr>
            <w:tcW w:w="72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$11,092,432</w:t>
            </w:r>
          </w:p>
        </w:tc>
        <w:tc>
          <w:tcPr>
            <w:tcW w:w="1500" w:type="dxa"/>
            <w:vAlign w:val="bottom"/>
            <w:tcBorders>
              <w:bottom w:val="single" w:sz="8" w:color="B2B2B2"/>
            </w:tcBorders>
          </w:tcPr>
          <w:p>
            <w:pPr>
              <w:jc w:val="right"/>
              <w:ind w:right="54"/>
              <w:spacing w:after="0"/>
              <w:rPr>
                <w:sz w:val="20"/>
                <w:szCs w:val="20"/>
                <w:color w:val="auto"/>
              </w:rPr>
            </w:pPr>
            <w:r>
              <w:rPr>
                <w:rFonts w:ascii="Arial" w:cs="Arial" w:eastAsia="Arial" w:hAnsi="Arial"/>
                <w:sz w:val="14"/>
                <w:szCs w:val="14"/>
                <w:color w:val="auto"/>
              </w:rPr>
              <w:t>$11,270,326</w:t>
            </w:r>
            <w:r>
              <w:rPr>
                <w:rFonts w:ascii="Arial" w:cs="Arial" w:eastAsia="Arial" w:hAnsi="Arial"/>
                <w:sz w:val="17"/>
                <w:szCs w:val="17"/>
                <w:color w:val="auto"/>
                <w:vertAlign w:val="superscript"/>
              </w:rPr>
              <w:t>(4)</w:t>
            </w:r>
          </w:p>
        </w:tc>
        <w:tc>
          <w:tcPr>
            <w:tcW w:w="142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$3,095,165</w:t>
            </w:r>
          </w:p>
        </w:tc>
        <w:tc>
          <w:tcPr>
            <w:tcW w:w="138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7"/>
              </w:rPr>
              <w:t>$3,125,345</w:t>
            </w:r>
            <w:r>
              <w:rPr>
                <w:rFonts w:ascii="Arial" w:cs="Arial" w:eastAsia="Arial" w:hAnsi="Arial"/>
                <w:sz w:val="17"/>
                <w:szCs w:val="17"/>
                <w:color w:val="auto"/>
                <w:w w:val="97"/>
                <w:vertAlign w:val="superscript"/>
              </w:rPr>
              <w:t>(4)</w:t>
            </w:r>
          </w:p>
        </w:tc>
        <w:tc>
          <w:tcPr>
            <w:tcW w:w="9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$184.91</w:t>
            </w:r>
          </w:p>
        </w:tc>
        <w:tc>
          <w:tcPr>
            <w:tcW w:w="110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4"/>
                <w:szCs w:val="14"/>
                <w:color w:val="auto"/>
              </w:rPr>
              <w:t>$182.01</w:t>
            </w:r>
          </w:p>
        </w:tc>
        <w:tc>
          <w:tcPr>
            <w:tcW w:w="10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$540,951</w:t>
            </w:r>
          </w:p>
        </w:tc>
        <w:tc>
          <w:tcPr>
            <w:tcW w:w="1060" w:type="dxa"/>
            <w:vAlign w:val="bottom"/>
            <w:tcBorders>
              <w:bottom w:val="single" w:sz="8" w:color="B2B2B2"/>
            </w:tcBorders>
            <w:gridSpan w:val="2"/>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37"/>
        </w:trPr>
        <w:tc>
          <w:tcPr>
            <w:tcW w:w="5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2024</w:t>
            </w:r>
          </w:p>
        </w:tc>
        <w:tc>
          <w:tcPr>
            <w:tcW w:w="72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$9,559,263</w:t>
            </w:r>
          </w:p>
        </w:tc>
        <w:tc>
          <w:tcPr>
            <w:tcW w:w="1500" w:type="dxa"/>
            <w:vAlign w:val="bottom"/>
            <w:tcBorders>
              <w:bottom w:val="single" w:sz="8" w:color="B2B2B2"/>
            </w:tcBorders>
          </w:tcPr>
          <w:p>
            <w:pPr>
              <w:jc w:val="right"/>
              <w:ind w:right="54"/>
              <w:spacing w:after="0"/>
              <w:rPr>
                <w:sz w:val="20"/>
                <w:szCs w:val="20"/>
                <w:color w:val="auto"/>
              </w:rPr>
            </w:pPr>
            <w:r>
              <w:rPr>
                <w:rFonts w:ascii="Arial" w:cs="Arial" w:eastAsia="Arial" w:hAnsi="Arial"/>
                <w:sz w:val="14"/>
                <w:szCs w:val="14"/>
                <w:color w:val="auto"/>
              </w:rPr>
              <w:t>$10,808,053</w:t>
            </w:r>
            <w:r>
              <w:rPr>
                <w:rFonts w:ascii="Arial" w:cs="Arial" w:eastAsia="Arial" w:hAnsi="Arial"/>
                <w:sz w:val="17"/>
                <w:szCs w:val="17"/>
                <w:color w:val="auto"/>
                <w:vertAlign w:val="superscript"/>
              </w:rPr>
              <w:t>(5)</w:t>
            </w:r>
          </w:p>
        </w:tc>
        <w:tc>
          <w:tcPr>
            <w:tcW w:w="142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$2,713,582</w:t>
            </w:r>
          </w:p>
        </w:tc>
        <w:tc>
          <w:tcPr>
            <w:tcW w:w="138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7"/>
              </w:rPr>
              <w:t>$3,048,249</w:t>
            </w:r>
            <w:r>
              <w:rPr>
                <w:rFonts w:ascii="Arial" w:cs="Arial" w:eastAsia="Arial" w:hAnsi="Arial"/>
                <w:sz w:val="17"/>
                <w:szCs w:val="17"/>
                <w:color w:val="auto"/>
                <w:w w:val="97"/>
                <w:vertAlign w:val="superscript"/>
              </w:rPr>
              <w:t>(4)</w:t>
            </w:r>
          </w:p>
        </w:tc>
        <w:tc>
          <w:tcPr>
            <w:tcW w:w="9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$144.74</w:t>
            </w:r>
          </w:p>
        </w:tc>
        <w:tc>
          <w:tcPr>
            <w:tcW w:w="110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4"/>
                <w:szCs w:val="14"/>
                <w:color w:val="auto"/>
              </w:rPr>
              <w:t>$136.97</w:t>
            </w:r>
          </w:p>
        </w:tc>
        <w:tc>
          <w:tcPr>
            <w:tcW w:w="10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$409,840</w:t>
            </w:r>
          </w:p>
        </w:tc>
        <w:tc>
          <w:tcPr>
            <w:tcW w:w="1060" w:type="dxa"/>
            <w:vAlign w:val="bottom"/>
            <w:tcBorders>
              <w:bottom w:val="single" w:sz="8" w:color="B2B2B2"/>
            </w:tcBorders>
            <w:gridSpan w:val="2"/>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36"/>
        </w:trPr>
        <w:tc>
          <w:tcPr>
            <w:tcW w:w="5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2023</w:t>
            </w:r>
          </w:p>
        </w:tc>
        <w:tc>
          <w:tcPr>
            <w:tcW w:w="72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$9,269,035</w:t>
            </w:r>
          </w:p>
        </w:tc>
        <w:tc>
          <w:tcPr>
            <w:tcW w:w="1500" w:type="dxa"/>
            <w:vAlign w:val="bottom"/>
            <w:tcBorders>
              <w:bottom w:val="single" w:sz="8" w:color="B2B2B2"/>
            </w:tcBorders>
          </w:tcPr>
          <w:p>
            <w:pPr>
              <w:jc w:val="right"/>
              <w:ind w:right="54"/>
              <w:spacing w:after="0"/>
              <w:rPr>
                <w:sz w:val="20"/>
                <w:szCs w:val="20"/>
                <w:color w:val="auto"/>
              </w:rPr>
            </w:pPr>
            <w:r>
              <w:rPr>
                <w:rFonts w:ascii="Arial" w:cs="Arial" w:eastAsia="Arial" w:hAnsi="Arial"/>
                <w:sz w:val="14"/>
                <w:szCs w:val="14"/>
                <w:color w:val="auto"/>
              </w:rPr>
              <w:t>$9,530,042</w:t>
            </w:r>
            <w:r>
              <w:rPr>
                <w:rFonts w:ascii="Arial" w:cs="Arial" w:eastAsia="Arial" w:hAnsi="Arial"/>
                <w:sz w:val="17"/>
                <w:szCs w:val="17"/>
                <w:color w:val="auto"/>
                <w:vertAlign w:val="superscript"/>
              </w:rPr>
              <w:t>(6)</w:t>
            </w:r>
          </w:p>
        </w:tc>
        <w:tc>
          <w:tcPr>
            <w:tcW w:w="142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$2,479,595</w:t>
            </w:r>
          </w:p>
        </w:tc>
        <w:tc>
          <w:tcPr>
            <w:tcW w:w="138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7"/>
              </w:rPr>
              <w:t>$2,586,810</w:t>
            </w:r>
            <w:r>
              <w:rPr>
                <w:rFonts w:ascii="Arial" w:cs="Arial" w:eastAsia="Arial" w:hAnsi="Arial"/>
                <w:sz w:val="17"/>
                <w:szCs w:val="17"/>
                <w:color w:val="auto"/>
                <w:w w:val="97"/>
                <w:vertAlign w:val="superscript"/>
              </w:rPr>
              <w:t>(5)</w:t>
            </w:r>
          </w:p>
        </w:tc>
        <w:tc>
          <w:tcPr>
            <w:tcW w:w="9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$125.99</w:t>
            </w:r>
          </w:p>
        </w:tc>
        <w:tc>
          <w:tcPr>
            <w:tcW w:w="110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4"/>
                <w:szCs w:val="14"/>
                <w:color w:val="auto"/>
              </w:rPr>
              <w:t>$117.03</w:t>
            </w:r>
          </w:p>
        </w:tc>
        <w:tc>
          <w:tcPr>
            <w:tcW w:w="10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$370,867</w:t>
            </w:r>
          </w:p>
        </w:tc>
        <w:tc>
          <w:tcPr>
            <w:tcW w:w="1060" w:type="dxa"/>
            <w:vAlign w:val="bottom"/>
            <w:tcBorders>
              <w:bottom w:val="single" w:sz="8" w:color="B2B2B2"/>
            </w:tcBorders>
            <w:gridSpan w:val="2"/>
          </w:tcPr>
          <w:p>
            <w:pPr>
              <w:jc w:val="right"/>
              <w:spacing w:after="0"/>
              <w:rPr>
                <w:sz w:val="20"/>
                <w:szCs w:val="20"/>
                <w:color w:val="auto"/>
              </w:rPr>
            </w:pPr>
            <w:r>
              <w:rPr>
                <w:rFonts w:ascii="Arial" w:cs="Arial" w:eastAsia="Arial" w:hAnsi="Arial"/>
                <w:sz w:val="14"/>
                <w:szCs w:val="14"/>
                <w:color w:val="auto"/>
              </w:rPr>
              <w:t>$3.93</w:t>
            </w:r>
            <w:r>
              <w:rPr>
                <w:rFonts w:ascii="Arial" w:cs="Arial" w:eastAsia="Arial" w:hAnsi="Arial"/>
                <w:sz w:val="17"/>
                <w:szCs w:val="17"/>
                <w:color w:val="auto"/>
                <w:vertAlign w:val="superscript"/>
              </w:rPr>
              <w:t>(11)</w:t>
            </w:r>
          </w:p>
        </w:tc>
        <w:tc>
          <w:tcPr>
            <w:tcW w:w="0" w:type="dxa"/>
            <w:vAlign w:val="bottom"/>
          </w:tcPr>
          <w:p>
            <w:pPr>
              <w:spacing w:after="0"/>
              <w:rPr>
                <w:sz w:val="1"/>
                <w:szCs w:val="1"/>
                <w:color w:val="auto"/>
              </w:rPr>
            </w:pPr>
          </w:p>
        </w:tc>
      </w:tr>
      <w:tr>
        <w:trPr>
          <w:trHeight w:val="237"/>
        </w:trPr>
        <w:tc>
          <w:tcPr>
            <w:tcW w:w="5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2022</w:t>
            </w:r>
          </w:p>
        </w:tc>
        <w:tc>
          <w:tcPr>
            <w:tcW w:w="72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$8,649,788</w:t>
            </w:r>
          </w:p>
        </w:tc>
        <w:tc>
          <w:tcPr>
            <w:tcW w:w="1500" w:type="dxa"/>
            <w:vAlign w:val="bottom"/>
            <w:tcBorders>
              <w:bottom w:val="single" w:sz="8" w:color="B2B2B2"/>
            </w:tcBorders>
          </w:tcPr>
          <w:p>
            <w:pPr>
              <w:jc w:val="right"/>
              <w:ind w:right="54"/>
              <w:spacing w:after="0"/>
              <w:rPr>
                <w:sz w:val="20"/>
                <w:szCs w:val="20"/>
                <w:color w:val="auto"/>
              </w:rPr>
            </w:pPr>
            <w:r>
              <w:rPr>
                <w:rFonts w:ascii="Arial" w:cs="Arial" w:eastAsia="Arial" w:hAnsi="Arial"/>
                <w:sz w:val="14"/>
                <w:szCs w:val="14"/>
                <w:color w:val="auto"/>
              </w:rPr>
              <w:t>$6,276,760</w:t>
            </w:r>
            <w:r>
              <w:rPr>
                <w:rFonts w:ascii="Arial" w:cs="Arial" w:eastAsia="Arial" w:hAnsi="Arial"/>
                <w:sz w:val="17"/>
                <w:szCs w:val="17"/>
                <w:color w:val="auto"/>
                <w:vertAlign w:val="superscript"/>
              </w:rPr>
              <w:t>(7)</w:t>
            </w:r>
          </w:p>
        </w:tc>
        <w:tc>
          <w:tcPr>
            <w:tcW w:w="142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$2,291,627</w:t>
            </w:r>
          </w:p>
        </w:tc>
        <w:tc>
          <w:tcPr>
            <w:tcW w:w="1380" w:type="dxa"/>
            <w:vAlign w:val="bottom"/>
            <w:tcBorders>
              <w:bottom w:val="single" w:sz="8" w:color="B2B2B2"/>
            </w:tcBorders>
          </w:tcPr>
          <w:p>
            <w:pPr>
              <w:jc w:val="center"/>
              <w:spacing w:after="0"/>
              <w:rPr>
                <w:sz w:val="20"/>
                <w:szCs w:val="20"/>
                <w:color w:val="auto"/>
              </w:rPr>
            </w:pPr>
            <w:r>
              <w:rPr>
                <w:rFonts w:ascii="Arial" w:cs="Arial" w:eastAsia="Arial" w:hAnsi="Arial"/>
                <w:sz w:val="14"/>
                <w:szCs w:val="14"/>
                <w:color w:val="auto"/>
                <w:w w:val="97"/>
              </w:rPr>
              <w:t>$1,608,823</w:t>
            </w:r>
            <w:r>
              <w:rPr>
                <w:rFonts w:ascii="Arial" w:cs="Arial" w:eastAsia="Arial" w:hAnsi="Arial"/>
                <w:sz w:val="17"/>
                <w:szCs w:val="17"/>
                <w:color w:val="auto"/>
                <w:w w:val="97"/>
                <w:vertAlign w:val="superscript"/>
              </w:rPr>
              <w:t>(6)</w:t>
            </w:r>
          </w:p>
        </w:tc>
        <w:tc>
          <w:tcPr>
            <w:tcW w:w="9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$112.72</w:t>
            </w:r>
          </w:p>
        </w:tc>
        <w:tc>
          <w:tcPr>
            <w:tcW w:w="110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4"/>
                <w:szCs w:val="14"/>
                <w:color w:val="auto"/>
              </w:rPr>
              <w:t>$104.46</w:t>
            </w:r>
          </w:p>
        </w:tc>
        <w:tc>
          <w:tcPr>
            <w:tcW w:w="10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$488,035</w:t>
            </w:r>
          </w:p>
        </w:tc>
        <w:tc>
          <w:tcPr>
            <w:tcW w:w="1060" w:type="dxa"/>
            <w:vAlign w:val="bottom"/>
            <w:tcBorders>
              <w:bottom w:val="single" w:sz="8" w:color="B2B2B2"/>
            </w:tcBorders>
            <w:gridSpan w:val="2"/>
          </w:tcPr>
          <w:p>
            <w:pPr>
              <w:jc w:val="right"/>
              <w:spacing w:after="0"/>
              <w:rPr>
                <w:sz w:val="20"/>
                <w:szCs w:val="20"/>
                <w:color w:val="auto"/>
              </w:rPr>
            </w:pPr>
            <w:r>
              <w:rPr>
                <w:rFonts w:ascii="Arial" w:cs="Arial" w:eastAsia="Arial" w:hAnsi="Arial"/>
                <w:sz w:val="14"/>
                <w:szCs w:val="14"/>
                <w:color w:val="auto"/>
              </w:rPr>
              <w:t>$3.62</w:t>
            </w:r>
            <w:r>
              <w:rPr>
                <w:rFonts w:ascii="Arial" w:cs="Arial" w:eastAsia="Arial" w:hAnsi="Arial"/>
                <w:sz w:val="17"/>
                <w:szCs w:val="17"/>
                <w:color w:val="auto"/>
                <w:vertAlign w:val="superscript"/>
              </w:rPr>
              <w:t>(11)</w:t>
            </w:r>
          </w:p>
        </w:tc>
        <w:tc>
          <w:tcPr>
            <w:tcW w:w="0" w:type="dxa"/>
            <w:vAlign w:val="bottom"/>
          </w:tcPr>
          <w:p>
            <w:pPr>
              <w:spacing w:after="0"/>
              <w:rPr>
                <w:sz w:val="1"/>
                <w:szCs w:val="1"/>
                <w:color w:val="auto"/>
              </w:rPr>
            </w:pPr>
          </w:p>
        </w:tc>
      </w:tr>
      <w:tr>
        <w:trPr>
          <w:trHeight w:val="237"/>
        </w:trPr>
        <w:tc>
          <w:tcPr>
            <w:tcW w:w="500" w:type="dxa"/>
            <w:vAlign w:val="bottom"/>
            <w:tcBorders>
              <w:bottom w:val="single" w:sz="8" w:color="E56D3D"/>
            </w:tcBorders>
          </w:tcPr>
          <w:p>
            <w:pPr>
              <w:ind w:left="60"/>
              <w:spacing w:after="0"/>
              <w:rPr>
                <w:sz w:val="20"/>
                <w:szCs w:val="20"/>
                <w:color w:val="auto"/>
              </w:rPr>
            </w:pPr>
            <w:r>
              <w:rPr>
                <w:rFonts w:ascii="Arial" w:cs="Arial" w:eastAsia="Arial" w:hAnsi="Arial"/>
                <w:sz w:val="14"/>
                <w:szCs w:val="14"/>
                <w:color w:val="auto"/>
              </w:rPr>
              <w:t>2021</w:t>
            </w:r>
          </w:p>
        </w:tc>
        <w:tc>
          <w:tcPr>
            <w:tcW w:w="720" w:type="dxa"/>
            <w:vAlign w:val="bottom"/>
            <w:tcBorders>
              <w:bottom w:val="single" w:sz="8" w:color="E56D3D"/>
            </w:tcBorders>
          </w:tcPr>
          <w:p>
            <w:pPr>
              <w:spacing w:after="0"/>
              <w:rPr>
                <w:sz w:val="20"/>
                <w:szCs w:val="20"/>
                <w:color w:val="auto"/>
              </w:rPr>
            </w:pPr>
          </w:p>
        </w:tc>
        <w:tc>
          <w:tcPr>
            <w:tcW w:w="1320" w:type="dxa"/>
            <w:vAlign w:val="bottom"/>
            <w:tcBorders>
              <w:bottom w:val="single" w:sz="8" w:color="E56D3D"/>
            </w:tcBorders>
          </w:tcPr>
          <w:p>
            <w:pPr>
              <w:jc w:val="right"/>
              <w:spacing w:after="0"/>
              <w:rPr>
                <w:sz w:val="20"/>
                <w:szCs w:val="20"/>
                <w:color w:val="auto"/>
              </w:rPr>
            </w:pPr>
            <w:r>
              <w:rPr>
                <w:rFonts w:ascii="Arial" w:cs="Arial" w:eastAsia="Arial" w:hAnsi="Arial"/>
                <w:sz w:val="14"/>
                <w:szCs w:val="14"/>
                <w:color w:val="auto"/>
              </w:rPr>
              <w:t>$7,026,315</w:t>
            </w:r>
          </w:p>
        </w:tc>
        <w:tc>
          <w:tcPr>
            <w:tcW w:w="1500" w:type="dxa"/>
            <w:vAlign w:val="bottom"/>
            <w:tcBorders>
              <w:bottom w:val="single" w:sz="8" w:color="E56D3D"/>
            </w:tcBorders>
          </w:tcPr>
          <w:p>
            <w:pPr>
              <w:jc w:val="right"/>
              <w:ind w:right="54"/>
              <w:spacing w:after="0"/>
              <w:rPr>
                <w:sz w:val="20"/>
                <w:szCs w:val="20"/>
                <w:color w:val="auto"/>
              </w:rPr>
            </w:pPr>
            <w:r>
              <w:rPr>
                <w:rFonts w:ascii="Arial" w:cs="Arial" w:eastAsia="Arial" w:hAnsi="Arial"/>
                <w:sz w:val="14"/>
                <w:szCs w:val="14"/>
                <w:color w:val="auto"/>
              </w:rPr>
              <w:t>$14,742,502</w:t>
            </w:r>
            <w:r>
              <w:rPr>
                <w:rFonts w:ascii="Arial" w:cs="Arial" w:eastAsia="Arial" w:hAnsi="Arial"/>
                <w:sz w:val="17"/>
                <w:szCs w:val="17"/>
                <w:color w:val="auto"/>
                <w:vertAlign w:val="superscript"/>
              </w:rPr>
              <w:t>(8)</w:t>
            </w:r>
          </w:p>
        </w:tc>
        <w:tc>
          <w:tcPr>
            <w:tcW w:w="1420" w:type="dxa"/>
            <w:vAlign w:val="bottom"/>
            <w:tcBorders>
              <w:bottom w:val="single" w:sz="8" w:color="E56D3D"/>
            </w:tcBorders>
          </w:tcPr>
          <w:p>
            <w:pPr>
              <w:jc w:val="right"/>
              <w:ind w:right="168"/>
              <w:spacing w:after="0"/>
              <w:rPr>
                <w:sz w:val="20"/>
                <w:szCs w:val="20"/>
                <w:color w:val="auto"/>
              </w:rPr>
            </w:pPr>
            <w:r>
              <w:rPr>
                <w:rFonts w:ascii="Arial" w:cs="Arial" w:eastAsia="Arial" w:hAnsi="Arial"/>
                <w:sz w:val="14"/>
                <w:szCs w:val="14"/>
                <w:color w:val="auto"/>
              </w:rPr>
              <w:t>$2,374,789</w:t>
            </w:r>
          </w:p>
        </w:tc>
        <w:tc>
          <w:tcPr>
            <w:tcW w:w="1380" w:type="dxa"/>
            <w:vAlign w:val="bottom"/>
            <w:tcBorders>
              <w:bottom w:val="single" w:sz="8" w:color="E56D3D"/>
            </w:tcBorders>
          </w:tcPr>
          <w:p>
            <w:pPr>
              <w:jc w:val="center"/>
              <w:spacing w:after="0"/>
              <w:rPr>
                <w:sz w:val="20"/>
                <w:szCs w:val="20"/>
                <w:color w:val="auto"/>
              </w:rPr>
            </w:pPr>
            <w:r>
              <w:rPr>
                <w:rFonts w:ascii="Arial" w:cs="Arial" w:eastAsia="Arial" w:hAnsi="Arial"/>
                <w:sz w:val="14"/>
                <w:szCs w:val="14"/>
                <w:color w:val="auto"/>
                <w:w w:val="97"/>
              </w:rPr>
              <w:t>$3,894,473</w:t>
            </w:r>
            <w:r>
              <w:rPr>
                <w:rFonts w:ascii="Arial" w:cs="Arial" w:eastAsia="Arial" w:hAnsi="Arial"/>
                <w:sz w:val="17"/>
                <w:szCs w:val="17"/>
                <w:color w:val="auto"/>
                <w:w w:val="97"/>
                <w:vertAlign w:val="superscript"/>
              </w:rPr>
              <w:t>(7)</w:t>
            </w:r>
          </w:p>
        </w:tc>
        <w:tc>
          <w:tcPr>
            <w:tcW w:w="98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color w:val="auto"/>
              </w:rPr>
              <w:t>$130.41</w:t>
            </w:r>
          </w:p>
        </w:tc>
        <w:tc>
          <w:tcPr>
            <w:tcW w:w="1100" w:type="dxa"/>
            <w:vAlign w:val="bottom"/>
            <w:tcBorders>
              <w:bottom w:val="single" w:sz="8" w:color="E56D3D"/>
            </w:tcBorders>
            <w:gridSpan w:val="2"/>
          </w:tcPr>
          <w:p>
            <w:pPr>
              <w:jc w:val="right"/>
              <w:ind w:right="140"/>
              <w:spacing w:after="0"/>
              <w:rPr>
                <w:sz w:val="20"/>
                <w:szCs w:val="20"/>
                <w:color w:val="auto"/>
              </w:rPr>
            </w:pPr>
            <w:r>
              <w:rPr>
                <w:rFonts w:ascii="Arial" w:cs="Arial" w:eastAsia="Arial" w:hAnsi="Arial"/>
                <w:sz w:val="14"/>
                <w:szCs w:val="14"/>
                <w:color w:val="auto"/>
              </w:rPr>
              <w:t>$119.43</w:t>
            </w:r>
          </w:p>
        </w:tc>
        <w:tc>
          <w:tcPr>
            <w:tcW w:w="1040" w:type="dxa"/>
            <w:vAlign w:val="bottom"/>
            <w:tcBorders>
              <w:bottom w:val="single" w:sz="8" w:color="E56D3D"/>
            </w:tcBorders>
          </w:tcPr>
          <w:p>
            <w:pPr>
              <w:jc w:val="right"/>
              <w:ind w:right="68"/>
              <w:spacing w:after="0"/>
              <w:rPr>
                <w:sz w:val="20"/>
                <w:szCs w:val="20"/>
                <w:color w:val="auto"/>
              </w:rPr>
            </w:pPr>
            <w:r>
              <w:rPr>
                <w:rFonts w:ascii="Arial" w:cs="Arial" w:eastAsia="Arial" w:hAnsi="Arial"/>
                <w:sz w:val="14"/>
                <w:szCs w:val="14"/>
                <w:color w:val="auto"/>
              </w:rPr>
              <w:t>$366,288</w:t>
            </w:r>
          </w:p>
        </w:tc>
        <w:tc>
          <w:tcPr>
            <w:tcW w:w="1060" w:type="dxa"/>
            <w:vAlign w:val="bottom"/>
            <w:tcBorders>
              <w:bottom w:val="single" w:sz="8" w:color="E56D3D"/>
            </w:tcBorders>
            <w:gridSpan w:val="2"/>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42"/>
        </w:trPr>
        <w:tc>
          <w:tcPr>
            <w:tcW w:w="5460" w:type="dxa"/>
            <w:vAlign w:val="bottom"/>
            <w:gridSpan w:val="5"/>
          </w:tcPr>
          <w:p>
            <w:pPr>
              <w:jc w:val="right"/>
              <w:ind w:right="568"/>
              <w:spacing w:after="0"/>
              <w:rPr>
                <w:sz w:val="20"/>
                <w:szCs w:val="20"/>
                <w:color w:val="auto"/>
              </w:rPr>
            </w:pPr>
            <w:r>
              <w:rPr>
                <w:rFonts w:ascii="Arial" w:cs="Arial" w:eastAsia="Arial" w:hAnsi="Arial"/>
                <w:sz w:val="14"/>
                <w:szCs w:val="14"/>
                <w:color w:val="auto"/>
              </w:rPr>
              <w:t>(1) NEOs included in the above compensation columns reflect the following:</w:t>
            </w:r>
          </w:p>
        </w:tc>
        <w:tc>
          <w:tcPr>
            <w:tcW w:w="1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5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Arial" w:cs="Arial" w:eastAsia="Arial" w:hAnsi="Arial"/>
                <w:sz w:val="14"/>
                <w:szCs w:val="14"/>
                <w:b w:val="1"/>
                <w:bCs w:val="1"/>
                <w:color w:val="6A6E6F"/>
              </w:rPr>
              <w:t>Year</w:t>
            </w:r>
          </w:p>
        </w:tc>
        <w:tc>
          <w:tcPr>
            <w:tcW w:w="1320" w:type="dxa"/>
            <w:vAlign w:val="bottom"/>
          </w:tcPr>
          <w:p>
            <w:pPr>
              <w:jc w:val="right"/>
              <w:ind w:right="308"/>
              <w:spacing w:after="0"/>
              <w:rPr>
                <w:sz w:val="20"/>
                <w:szCs w:val="20"/>
                <w:color w:val="auto"/>
              </w:rPr>
            </w:pPr>
            <w:r>
              <w:rPr>
                <w:rFonts w:ascii="Arial" w:cs="Arial" w:eastAsia="Arial" w:hAnsi="Arial"/>
                <w:sz w:val="14"/>
                <w:szCs w:val="14"/>
                <w:b w:val="1"/>
                <w:bCs w:val="1"/>
                <w:color w:val="6A6E6F"/>
              </w:rPr>
              <w:t>PEO</w:t>
            </w:r>
          </w:p>
        </w:tc>
        <w:tc>
          <w:tcPr>
            <w:tcW w:w="1500" w:type="dxa"/>
            <w:vAlign w:val="bottom"/>
          </w:tcPr>
          <w:p>
            <w:pPr>
              <w:ind w:left="60"/>
              <w:spacing w:after="0"/>
              <w:rPr>
                <w:sz w:val="20"/>
                <w:szCs w:val="20"/>
                <w:color w:val="auto"/>
              </w:rPr>
            </w:pPr>
            <w:r>
              <w:rPr>
                <w:rFonts w:ascii="Arial" w:cs="Arial" w:eastAsia="Arial" w:hAnsi="Arial"/>
                <w:sz w:val="14"/>
                <w:szCs w:val="14"/>
                <w:b w:val="1"/>
                <w:bCs w:val="1"/>
                <w:color w:val="6A6E6F"/>
              </w:rPr>
              <w:t>Non-PEOs</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00" w:type="dxa"/>
            <w:vAlign w:val="bottom"/>
          </w:tcPr>
          <w:p>
            <w:pPr>
              <w:spacing w:after="0"/>
              <w:rPr>
                <w:sz w:val="3"/>
                <w:szCs w:val="3"/>
                <w:color w:val="auto"/>
              </w:rPr>
            </w:pPr>
          </w:p>
        </w:tc>
        <w:tc>
          <w:tcPr>
            <w:tcW w:w="720" w:type="dxa"/>
            <w:vAlign w:val="bottom"/>
            <w:tcBorders>
              <w:bottom w:val="single" w:sz="8" w:color="E56D3D"/>
            </w:tcBorders>
          </w:tcPr>
          <w:p>
            <w:pPr>
              <w:spacing w:after="0"/>
              <w:rPr>
                <w:sz w:val="3"/>
                <w:szCs w:val="3"/>
                <w:color w:val="auto"/>
              </w:rPr>
            </w:pPr>
          </w:p>
        </w:tc>
        <w:tc>
          <w:tcPr>
            <w:tcW w:w="1320" w:type="dxa"/>
            <w:vAlign w:val="bottom"/>
            <w:tcBorders>
              <w:bottom w:val="single" w:sz="8" w:color="E56D3D"/>
            </w:tcBorders>
          </w:tcPr>
          <w:p>
            <w:pPr>
              <w:spacing w:after="0"/>
              <w:rPr>
                <w:sz w:val="3"/>
                <w:szCs w:val="3"/>
                <w:color w:val="auto"/>
              </w:rPr>
            </w:pPr>
          </w:p>
        </w:tc>
        <w:tc>
          <w:tcPr>
            <w:tcW w:w="2920" w:type="dxa"/>
            <w:vAlign w:val="bottom"/>
            <w:tcBorders>
              <w:bottom w:val="single" w:sz="8" w:color="E56D3D"/>
            </w:tcBorders>
            <w:gridSpan w:val="2"/>
          </w:tcPr>
          <w:p>
            <w:pPr>
              <w:spacing w:after="0"/>
              <w:rPr>
                <w:sz w:val="3"/>
                <w:szCs w:val="3"/>
                <w:color w:val="auto"/>
              </w:rPr>
            </w:pPr>
          </w:p>
        </w:tc>
        <w:tc>
          <w:tcPr>
            <w:tcW w:w="1380" w:type="dxa"/>
            <w:vAlign w:val="bottom"/>
            <w:tcBorders>
              <w:bottom w:val="single" w:sz="8" w:color="E56D3D"/>
            </w:tcBorders>
          </w:tcPr>
          <w:p>
            <w:pPr>
              <w:spacing w:after="0"/>
              <w:rPr>
                <w:sz w:val="3"/>
                <w:szCs w:val="3"/>
                <w:color w:val="auto"/>
              </w:rPr>
            </w:pPr>
          </w:p>
        </w:tc>
        <w:tc>
          <w:tcPr>
            <w:tcW w:w="980" w:type="dxa"/>
            <w:vAlign w:val="bottom"/>
            <w:tcBorders>
              <w:bottom w:val="single" w:sz="8" w:color="E56D3D"/>
            </w:tcBorders>
          </w:tcPr>
          <w:p>
            <w:pPr>
              <w:spacing w:after="0"/>
              <w:rPr>
                <w:sz w:val="3"/>
                <w:szCs w:val="3"/>
                <w:color w:val="auto"/>
              </w:rPr>
            </w:pPr>
          </w:p>
        </w:tc>
        <w:tc>
          <w:tcPr>
            <w:tcW w:w="960" w:type="dxa"/>
            <w:vAlign w:val="bottom"/>
            <w:tcBorders>
              <w:bottom w:val="single" w:sz="8" w:color="E56D3D"/>
            </w:tcBorders>
          </w:tcPr>
          <w:p>
            <w:pPr>
              <w:spacing w:after="0"/>
              <w:rPr>
                <w:sz w:val="3"/>
                <w:szCs w:val="3"/>
                <w:color w:val="auto"/>
              </w:rPr>
            </w:pPr>
          </w:p>
        </w:tc>
        <w:tc>
          <w:tcPr>
            <w:tcW w:w="140" w:type="dxa"/>
            <w:vAlign w:val="bottom"/>
            <w:tcBorders>
              <w:bottom w:val="single" w:sz="8" w:color="E56D3D"/>
            </w:tcBorders>
          </w:tcPr>
          <w:p>
            <w:pPr>
              <w:spacing w:after="0"/>
              <w:rPr>
                <w:sz w:val="3"/>
                <w:szCs w:val="3"/>
                <w:color w:val="auto"/>
              </w:rPr>
            </w:pPr>
          </w:p>
        </w:tc>
        <w:tc>
          <w:tcPr>
            <w:tcW w:w="1040" w:type="dxa"/>
            <w:vAlign w:val="bottom"/>
            <w:tcBorders>
              <w:bottom w:val="single" w:sz="8" w:color="E56D3D"/>
            </w:tcBorders>
          </w:tcPr>
          <w:p>
            <w:pPr>
              <w:spacing w:after="0"/>
              <w:rPr>
                <w:sz w:val="3"/>
                <w:szCs w:val="3"/>
                <w:color w:val="auto"/>
              </w:rPr>
            </w:pPr>
          </w:p>
        </w:tc>
        <w:tc>
          <w:tcPr>
            <w:tcW w:w="560" w:type="dxa"/>
            <w:vAlign w:val="bottom"/>
            <w:tcBorders>
              <w:bottom w:val="single" w:sz="8" w:color="E56D3D"/>
            </w:tcBorders>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00" w:type="dxa"/>
            <w:vAlign w:val="bottom"/>
          </w:tcPr>
          <w:p>
            <w:pPr>
              <w:spacing w:after="0"/>
              <w:rPr>
                <w:sz w:val="20"/>
                <w:szCs w:val="20"/>
                <w:color w:val="auto"/>
              </w:rPr>
            </w:pPr>
          </w:p>
        </w:tc>
        <w:tc>
          <w:tcPr>
            <w:tcW w:w="72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  2025 </w:t>
            </w:r>
          </w:p>
        </w:tc>
        <w:tc>
          <w:tcPr>
            <w:tcW w:w="1320" w:type="dxa"/>
            <w:vAlign w:val="bottom"/>
            <w:tcBorders>
              <w:bottom w:val="single" w:sz="8" w:color="B2B2B2"/>
            </w:tcBorders>
          </w:tcPr>
          <w:p>
            <w:pPr>
              <w:jc w:val="right"/>
              <w:ind w:right="308"/>
              <w:spacing w:after="0"/>
              <w:rPr>
                <w:sz w:val="20"/>
                <w:szCs w:val="20"/>
                <w:color w:val="auto"/>
              </w:rPr>
            </w:pPr>
            <w:r>
              <w:rPr>
                <w:rFonts w:ascii="Arial" w:cs="Arial" w:eastAsia="Arial" w:hAnsi="Arial"/>
                <w:sz w:val="14"/>
                <w:szCs w:val="14"/>
                <w:color w:val="auto"/>
              </w:rPr>
              <w:t>Ms. Palmer</w:t>
            </w:r>
          </w:p>
        </w:tc>
        <w:tc>
          <w:tcPr>
            <w:tcW w:w="2920" w:type="dxa"/>
            <w:vAlign w:val="bottom"/>
            <w:tcBorders>
              <w:bottom w:val="single" w:sz="8" w:color="B2B2B2"/>
            </w:tcBorders>
            <w:gridSpan w:val="2"/>
          </w:tcPr>
          <w:p>
            <w:pPr>
              <w:ind w:left="60"/>
              <w:spacing w:after="0"/>
              <w:rPr>
                <w:sz w:val="20"/>
                <w:szCs w:val="20"/>
                <w:color w:val="auto"/>
              </w:rPr>
            </w:pPr>
            <w:r>
              <w:rPr>
                <w:rFonts w:ascii="Arial" w:cs="Arial" w:eastAsia="Arial" w:hAnsi="Arial"/>
                <w:sz w:val="13"/>
                <w:szCs w:val="13"/>
                <w:color w:val="auto"/>
                <w:w w:val="96"/>
              </w:rPr>
              <w:t>Mr. Stein, Mr. Mas, Mr. Roth and Mr. Wibbenmeyer</w:t>
            </w:r>
          </w:p>
        </w:tc>
        <w:tc>
          <w:tcPr>
            <w:tcW w:w="1380" w:type="dxa"/>
            <w:vAlign w:val="bottom"/>
            <w:tcBorders>
              <w:bottom w:val="single" w:sz="8" w:color="B2B2B2"/>
            </w:tcBorders>
          </w:tcPr>
          <w:p>
            <w:pPr>
              <w:spacing w:after="0"/>
              <w:rPr>
                <w:sz w:val="20"/>
                <w:szCs w:val="20"/>
                <w:color w:val="auto"/>
              </w:rPr>
            </w:pPr>
          </w:p>
        </w:tc>
        <w:tc>
          <w:tcPr>
            <w:tcW w:w="98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2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  2024 </w:t>
            </w:r>
          </w:p>
        </w:tc>
        <w:tc>
          <w:tcPr>
            <w:tcW w:w="1320" w:type="dxa"/>
            <w:vAlign w:val="bottom"/>
            <w:tcBorders>
              <w:bottom w:val="single" w:sz="8" w:color="B2B2B2"/>
            </w:tcBorders>
          </w:tcPr>
          <w:p>
            <w:pPr>
              <w:jc w:val="right"/>
              <w:ind w:right="308"/>
              <w:spacing w:after="0"/>
              <w:rPr>
                <w:sz w:val="20"/>
                <w:szCs w:val="20"/>
                <w:color w:val="auto"/>
              </w:rPr>
            </w:pPr>
            <w:r>
              <w:rPr>
                <w:rFonts w:ascii="Arial" w:cs="Arial" w:eastAsia="Arial" w:hAnsi="Arial"/>
                <w:sz w:val="14"/>
                <w:szCs w:val="14"/>
                <w:color w:val="auto"/>
              </w:rPr>
              <w:t>Ms. Palmer</w:t>
            </w:r>
          </w:p>
        </w:tc>
        <w:tc>
          <w:tcPr>
            <w:tcW w:w="2920" w:type="dxa"/>
            <w:vAlign w:val="bottom"/>
            <w:tcBorders>
              <w:bottom w:val="single" w:sz="8" w:color="B2B2B2"/>
            </w:tcBorders>
            <w:gridSpan w:val="2"/>
          </w:tcPr>
          <w:p>
            <w:pPr>
              <w:ind w:left="60"/>
              <w:spacing w:after="0"/>
              <w:rPr>
                <w:sz w:val="20"/>
                <w:szCs w:val="20"/>
                <w:color w:val="auto"/>
              </w:rPr>
            </w:pPr>
            <w:r>
              <w:rPr>
                <w:rFonts w:ascii="Arial" w:cs="Arial" w:eastAsia="Arial" w:hAnsi="Arial"/>
                <w:sz w:val="13"/>
                <w:szCs w:val="13"/>
                <w:color w:val="auto"/>
                <w:w w:val="96"/>
              </w:rPr>
              <w:t>Mr. Stein, Mr. Mas, Mr. Roth and Mr. Wibbenmeyer</w:t>
            </w:r>
          </w:p>
        </w:tc>
        <w:tc>
          <w:tcPr>
            <w:tcW w:w="1380" w:type="dxa"/>
            <w:vAlign w:val="bottom"/>
            <w:tcBorders>
              <w:bottom w:val="single" w:sz="8" w:color="B2B2B2"/>
            </w:tcBorders>
          </w:tcPr>
          <w:p>
            <w:pPr>
              <w:spacing w:after="0"/>
              <w:rPr>
                <w:sz w:val="20"/>
                <w:szCs w:val="20"/>
                <w:color w:val="auto"/>
              </w:rPr>
            </w:pPr>
          </w:p>
        </w:tc>
        <w:tc>
          <w:tcPr>
            <w:tcW w:w="98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2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  2023 </w:t>
            </w:r>
          </w:p>
        </w:tc>
        <w:tc>
          <w:tcPr>
            <w:tcW w:w="1320" w:type="dxa"/>
            <w:vAlign w:val="bottom"/>
            <w:tcBorders>
              <w:bottom w:val="single" w:sz="8" w:color="B2B2B2"/>
            </w:tcBorders>
          </w:tcPr>
          <w:p>
            <w:pPr>
              <w:jc w:val="right"/>
              <w:ind w:right="308"/>
              <w:spacing w:after="0"/>
              <w:rPr>
                <w:sz w:val="20"/>
                <w:szCs w:val="20"/>
                <w:color w:val="auto"/>
              </w:rPr>
            </w:pPr>
            <w:r>
              <w:rPr>
                <w:rFonts w:ascii="Arial" w:cs="Arial" w:eastAsia="Arial" w:hAnsi="Arial"/>
                <w:sz w:val="14"/>
                <w:szCs w:val="14"/>
                <w:color w:val="auto"/>
              </w:rPr>
              <w:t>Ms. Palmer</w:t>
            </w:r>
          </w:p>
        </w:tc>
        <w:tc>
          <w:tcPr>
            <w:tcW w:w="2920" w:type="dxa"/>
            <w:vAlign w:val="bottom"/>
            <w:tcBorders>
              <w:bottom w:val="single" w:sz="8" w:color="B2B2B2"/>
            </w:tcBorders>
            <w:gridSpan w:val="2"/>
          </w:tcPr>
          <w:p>
            <w:pPr>
              <w:ind w:left="60"/>
              <w:spacing w:after="0"/>
              <w:rPr>
                <w:sz w:val="20"/>
                <w:szCs w:val="20"/>
                <w:color w:val="auto"/>
              </w:rPr>
            </w:pPr>
            <w:r>
              <w:rPr>
                <w:rFonts w:ascii="Arial" w:cs="Arial" w:eastAsia="Arial" w:hAnsi="Arial"/>
                <w:sz w:val="13"/>
                <w:szCs w:val="13"/>
                <w:color w:val="auto"/>
                <w:w w:val="96"/>
              </w:rPr>
              <w:t>Mr. Stein, Mr. Mas, Mr. Roth and Mr. Wibbenmeyer</w:t>
            </w:r>
          </w:p>
        </w:tc>
        <w:tc>
          <w:tcPr>
            <w:tcW w:w="1380" w:type="dxa"/>
            <w:vAlign w:val="bottom"/>
            <w:tcBorders>
              <w:bottom w:val="single" w:sz="8" w:color="B2B2B2"/>
            </w:tcBorders>
          </w:tcPr>
          <w:p>
            <w:pPr>
              <w:spacing w:after="0"/>
              <w:rPr>
                <w:sz w:val="20"/>
                <w:szCs w:val="20"/>
                <w:color w:val="auto"/>
              </w:rPr>
            </w:pPr>
          </w:p>
        </w:tc>
        <w:tc>
          <w:tcPr>
            <w:tcW w:w="98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72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  2022 </w:t>
            </w:r>
          </w:p>
        </w:tc>
        <w:tc>
          <w:tcPr>
            <w:tcW w:w="1320" w:type="dxa"/>
            <w:vAlign w:val="bottom"/>
            <w:tcBorders>
              <w:bottom w:val="single" w:sz="8" w:color="B2B2B2"/>
            </w:tcBorders>
          </w:tcPr>
          <w:p>
            <w:pPr>
              <w:jc w:val="right"/>
              <w:ind w:right="308"/>
              <w:spacing w:after="0"/>
              <w:rPr>
                <w:sz w:val="20"/>
                <w:szCs w:val="20"/>
                <w:color w:val="auto"/>
              </w:rPr>
            </w:pPr>
            <w:r>
              <w:rPr>
                <w:rFonts w:ascii="Arial" w:cs="Arial" w:eastAsia="Arial" w:hAnsi="Arial"/>
                <w:sz w:val="14"/>
                <w:szCs w:val="14"/>
                <w:color w:val="auto"/>
              </w:rPr>
              <w:t>Ms. Palmer</w:t>
            </w:r>
          </w:p>
        </w:tc>
        <w:tc>
          <w:tcPr>
            <w:tcW w:w="4300" w:type="dxa"/>
            <w:vAlign w:val="bottom"/>
            <w:tcBorders>
              <w:bottom w:val="single" w:sz="8" w:color="B2B2B2"/>
            </w:tcBorders>
            <w:gridSpan w:val="3"/>
          </w:tcPr>
          <w:p>
            <w:pPr>
              <w:ind w:left="60"/>
              <w:spacing w:after="0"/>
              <w:rPr>
                <w:sz w:val="20"/>
                <w:szCs w:val="20"/>
                <w:color w:val="auto"/>
              </w:rPr>
            </w:pPr>
            <w:r>
              <w:rPr>
                <w:rFonts w:ascii="Arial" w:cs="Arial" w:eastAsia="Arial" w:hAnsi="Arial"/>
                <w:sz w:val="13"/>
                <w:szCs w:val="13"/>
                <w:color w:val="auto"/>
              </w:rPr>
              <w:t>Mr. Stein, Mr. Mas, Mr. James D. Thompson, and Mr. Roth</w:t>
            </w:r>
          </w:p>
        </w:tc>
        <w:tc>
          <w:tcPr>
            <w:tcW w:w="98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20" w:type="dxa"/>
            <w:vAlign w:val="bottom"/>
            <w:tcBorders>
              <w:bottom w:val="single" w:sz="8" w:color="E56D3D"/>
            </w:tcBorders>
          </w:tcPr>
          <w:p>
            <w:pPr>
              <w:spacing w:after="0"/>
              <w:rPr>
                <w:sz w:val="20"/>
                <w:szCs w:val="20"/>
                <w:color w:val="auto"/>
              </w:rPr>
            </w:pPr>
            <w:r>
              <w:rPr>
                <w:rFonts w:ascii="Arial" w:cs="Arial" w:eastAsia="Arial" w:hAnsi="Arial"/>
                <w:sz w:val="14"/>
                <w:szCs w:val="14"/>
                <w:color w:val="auto"/>
              </w:rPr>
              <w:t>  2021 </w:t>
            </w:r>
          </w:p>
        </w:tc>
        <w:tc>
          <w:tcPr>
            <w:tcW w:w="1320" w:type="dxa"/>
            <w:vAlign w:val="bottom"/>
            <w:tcBorders>
              <w:bottom w:val="single" w:sz="8" w:color="E56D3D"/>
            </w:tcBorders>
          </w:tcPr>
          <w:p>
            <w:pPr>
              <w:jc w:val="right"/>
              <w:ind w:right="308"/>
              <w:spacing w:after="0"/>
              <w:rPr>
                <w:sz w:val="20"/>
                <w:szCs w:val="20"/>
                <w:color w:val="auto"/>
              </w:rPr>
            </w:pPr>
            <w:r>
              <w:rPr>
                <w:rFonts w:ascii="Arial" w:cs="Arial" w:eastAsia="Arial" w:hAnsi="Arial"/>
                <w:sz w:val="14"/>
                <w:szCs w:val="14"/>
                <w:color w:val="auto"/>
              </w:rPr>
              <w:t>Ms. Palmer</w:t>
            </w:r>
          </w:p>
        </w:tc>
        <w:tc>
          <w:tcPr>
            <w:tcW w:w="4300" w:type="dxa"/>
            <w:vAlign w:val="bottom"/>
            <w:tcBorders>
              <w:bottom w:val="single" w:sz="8" w:color="E56D3D"/>
            </w:tcBorders>
            <w:gridSpan w:val="3"/>
          </w:tcPr>
          <w:p>
            <w:pPr>
              <w:ind w:left="60"/>
              <w:spacing w:after="0"/>
              <w:rPr>
                <w:sz w:val="20"/>
                <w:szCs w:val="20"/>
                <w:color w:val="auto"/>
              </w:rPr>
            </w:pPr>
            <w:r>
              <w:rPr>
                <w:rFonts w:ascii="Arial" w:cs="Arial" w:eastAsia="Arial" w:hAnsi="Arial"/>
                <w:sz w:val="13"/>
                <w:szCs w:val="13"/>
                <w:color w:val="auto"/>
              </w:rPr>
              <w:t>Mr. Stein, Mr. Mas, Mr. James D. Thompson, and Mr. Dan M. Chandler</w:t>
            </w:r>
          </w:p>
        </w:tc>
        <w:tc>
          <w:tcPr>
            <w:tcW w:w="980" w:type="dxa"/>
            <w:vAlign w:val="bottom"/>
            <w:tcBorders>
              <w:bottom w:val="single" w:sz="8" w:color="E56D3D"/>
            </w:tcBorders>
          </w:tcPr>
          <w:p>
            <w:pPr>
              <w:spacing w:after="0"/>
              <w:rPr>
                <w:sz w:val="20"/>
                <w:szCs w:val="20"/>
                <w:color w:val="auto"/>
              </w:rPr>
            </w:pPr>
          </w:p>
        </w:tc>
        <w:tc>
          <w:tcPr>
            <w:tcW w:w="960" w:type="dxa"/>
            <w:vAlign w:val="bottom"/>
            <w:tcBorders>
              <w:bottom w:val="single" w:sz="8" w:color="E56D3D"/>
            </w:tcBorders>
          </w:tcPr>
          <w:p>
            <w:pPr>
              <w:spacing w:after="0"/>
              <w:rPr>
                <w:sz w:val="20"/>
                <w:szCs w:val="20"/>
                <w:color w:val="auto"/>
              </w:rPr>
            </w:pPr>
          </w:p>
        </w:tc>
        <w:tc>
          <w:tcPr>
            <w:tcW w:w="140" w:type="dxa"/>
            <w:vAlign w:val="bottom"/>
            <w:tcBorders>
              <w:bottom w:val="single" w:sz="8" w:color="E56D3D"/>
            </w:tcBorders>
          </w:tcPr>
          <w:p>
            <w:pPr>
              <w:spacing w:after="0"/>
              <w:rPr>
                <w:sz w:val="20"/>
                <w:szCs w:val="20"/>
                <w:color w:val="auto"/>
              </w:rPr>
            </w:pPr>
          </w:p>
        </w:tc>
        <w:tc>
          <w:tcPr>
            <w:tcW w:w="1040" w:type="dxa"/>
            <w:vAlign w:val="bottom"/>
            <w:tcBorders>
              <w:bottom w:val="single" w:sz="8" w:color="E56D3D"/>
            </w:tcBorders>
          </w:tcPr>
          <w:p>
            <w:pPr>
              <w:spacing w:after="0"/>
              <w:rPr>
                <w:sz w:val="20"/>
                <w:szCs w:val="20"/>
                <w:color w:val="auto"/>
              </w:rPr>
            </w:pPr>
          </w:p>
        </w:tc>
        <w:tc>
          <w:tcPr>
            <w:tcW w:w="560" w:type="dxa"/>
            <w:vAlign w:val="bottom"/>
            <w:tcBorders>
              <w:bottom w:val="single" w:sz="8" w:color="E56D3D"/>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4" w:right="20" w:hanging="4"/>
        <w:spacing w:after="0" w:line="220" w:lineRule="auto"/>
        <w:tabs>
          <w:tab w:leader="none" w:pos="193"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dollar amounts reported represent the amount of “Compensation Actually Paid”, as computed in accordance with SEC rules, but do not reflect the actual amount of compensation received by our PEO (CEO) or other NEOs during the applicable year. Fair value or change in fair value, as applicable, of equity awards in the “Compensation Actually Paid” columns was determined by reference to (a) for restricted share awards, closing price on applicable year-end date(s) or, in the case of vesting dates, the actual vesting price, (b) for performance share awards that are not market based, the same valuation methodology as restricted share awards above except year-end values are multiplied times the probability of achievement as of each such date, and (c) for market-based performance share awards, the fair value calculated by a Monte Carlo simulation model as of the applicable year-end dates.</w:t>
      </w:r>
    </w:p>
    <w:p>
      <w:pPr>
        <w:spacing w:after="0" w:line="1" w:lineRule="exact"/>
        <w:rPr>
          <w:rFonts w:ascii="Arial" w:cs="Arial" w:eastAsia="Arial" w:hAnsi="Arial"/>
          <w:sz w:val="13"/>
          <w:szCs w:val="13"/>
          <w:color w:val="auto"/>
        </w:rPr>
      </w:pPr>
    </w:p>
    <w:p>
      <w:pPr>
        <w:ind w:left="4" w:right="220" w:hanging="4"/>
        <w:spacing w:after="0" w:line="231" w:lineRule="auto"/>
        <w:tabs>
          <w:tab w:leader="none" w:pos="193" w:val="left"/>
        </w:tabs>
        <w:numPr>
          <w:ilvl w:val="0"/>
          <w:numId w:val="70"/>
        </w:numPr>
        <w:rPr>
          <w:rFonts w:ascii="Arial" w:cs="Arial" w:eastAsia="Arial" w:hAnsi="Arial"/>
          <w:sz w:val="13"/>
          <w:szCs w:val="13"/>
          <w:color w:val="auto"/>
        </w:rPr>
      </w:pPr>
      <w:r>
        <w:rPr>
          <w:rFonts w:ascii="Arial" w:cs="Arial" w:eastAsia="Arial" w:hAnsi="Arial"/>
          <w:sz w:val="13"/>
          <w:szCs w:val="13"/>
          <w:color w:val="auto"/>
        </w:rPr>
        <w:t>For the portion of “Compensation Actually Paid” that is based on year-end stock prices, the following prices were used: $69.03, $73.93, $67.00, $62.50, $75.35 and $45.59, for year-end 2025, 2024, 2023, 2022, 2021 and 2020, respectively.</w:t>
      </w:r>
    </w:p>
    <w:p>
      <w:pPr>
        <w:spacing w:after="0" w:line="118" w:lineRule="exact"/>
        <w:rPr>
          <w:sz w:val="20"/>
          <w:szCs w:val="20"/>
          <w:color w:val="auto"/>
        </w:rPr>
      </w:pPr>
    </w:p>
    <w:p>
      <w:pPr>
        <w:ind w:left="7884"/>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47</w:t>
      </w:r>
    </w:p>
    <w:p>
      <w:pPr>
        <w:sectPr>
          <w:pgSz w:w="11900" w:h="16838" w:orient="portrait"/>
          <w:cols w:equalWidth="0" w:num="1">
            <w:col w:w="11024"/>
          </w:cols>
          <w:pgMar w:left="436" w:top="291" w:right="439" w:bottom="1440" w:gutter="0" w:footer="0" w:header="0"/>
        </w:sectPr>
      </w:pPr>
    </w:p>
    <w:bookmarkStart w:id="53" w:name="page54"/>
    <w:bookmarkEnd w:id="53"/>
    <w:p>
      <w:pPr>
        <w:ind w:left="4"/>
        <w:spacing w:after="0"/>
        <w:rPr>
          <w:sz w:val="20"/>
          <w:szCs w:val="20"/>
          <w:color w:val="auto"/>
        </w:rPr>
      </w:pPr>
      <w:r>
        <w:rPr>
          <w:rFonts w:ascii="Arial" w:cs="Arial" w:eastAsia="Arial" w:hAnsi="Arial"/>
          <w:sz w:val="20"/>
          <w:szCs w:val="20"/>
          <w:b w:val="1"/>
          <w:bCs w:val="1"/>
          <w:color w:val="E56D3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t>
      </w:r>
      <w:r>
        <w:rPr>
          <w:rFonts w:ascii="Arial" w:cs="Arial" w:eastAsia="Arial" w:hAnsi="Arial"/>
          <w:sz w:val="16"/>
          <w:szCs w:val="16"/>
          <w:b w:val="1"/>
          <w:bCs w:val="1"/>
          <w:color w:val="000000"/>
        </w:rPr>
        <w:t> Executive Compensation</w:t>
      </w:r>
    </w:p>
    <w:p>
      <w:pPr>
        <w:spacing w:after="0" w:line="140" w:lineRule="exact"/>
        <w:rPr>
          <w:sz w:val="20"/>
          <w:szCs w:val="20"/>
          <w:color w:val="auto"/>
        </w:rPr>
      </w:pPr>
    </w:p>
    <w:p>
      <w:pPr>
        <w:ind w:left="4" w:right="480" w:hanging="4"/>
        <w:spacing w:after="0" w:line="243" w:lineRule="auto"/>
        <w:tabs>
          <w:tab w:leader="none" w:pos="193" w:val="left"/>
        </w:tabs>
        <w:numPr>
          <w:ilvl w:val="0"/>
          <w:numId w:val="71"/>
        </w:numPr>
        <w:rPr>
          <w:rFonts w:ascii="Arial" w:cs="Arial" w:eastAsia="Arial" w:hAnsi="Arial"/>
          <w:sz w:val="13"/>
          <w:szCs w:val="13"/>
          <w:color w:val="auto"/>
        </w:rPr>
      </w:pPr>
      <w:r>
        <w:rPr>
          <w:rFonts w:ascii="Arial" w:cs="Arial" w:eastAsia="Arial" w:hAnsi="Arial"/>
          <w:sz w:val="13"/>
          <w:szCs w:val="13"/>
          <w:color w:val="auto"/>
        </w:rPr>
        <w:t>2025 “Compensation Actually Paid” to Ms. Palmer and the average “Compensation Actually Paid” to non-PEOs reflects the following adjustments from Total Compensation reported in the Summary Compensation Table:</w:t>
      </w: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6A6E6F"/>
              </w:rPr>
              <w:t>Average</w:t>
            </w:r>
          </w:p>
        </w:tc>
      </w:tr>
      <w:tr>
        <w:trPr>
          <w:trHeight w:val="185"/>
        </w:trPr>
        <w:tc>
          <w:tcPr>
            <w:tcW w:w="7500" w:type="dxa"/>
            <w:vAlign w:val="bottom"/>
            <w:tcBorders>
              <w:bottom w:val="single" w:sz="8" w:color="E56D3D"/>
            </w:tcBorders>
          </w:tcPr>
          <w:p>
            <w:pPr>
              <w:spacing w:after="0"/>
              <w:rPr>
                <w:sz w:val="16"/>
                <w:szCs w:val="16"/>
                <w:color w:val="auto"/>
              </w:rPr>
            </w:pPr>
          </w:p>
        </w:tc>
        <w:tc>
          <w:tcPr>
            <w:tcW w:w="2480" w:type="dxa"/>
            <w:vAlign w:val="bottom"/>
            <w:tcBorders>
              <w:bottom w:val="single" w:sz="8" w:color="E56D3D"/>
            </w:tcBorders>
          </w:tcPr>
          <w:p>
            <w:pPr>
              <w:jc w:val="right"/>
              <w:ind w:right="128"/>
              <w:spacing w:after="0"/>
              <w:rPr>
                <w:sz w:val="20"/>
                <w:szCs w:val="20"/>
                <w:color w:val="auto"/>
              </w:rPr>
            </w:pPr>
            <w:r>
              <w:rPr>
                <w:rFonts w:ascii="Arial" w:cs="Arial" w:eastAsia="Arial" w:hAnsi="Arial"/>
                <w:sz w:val="14"/>
                <w:szCs w:val="14"/>
                <w:b w:val="1"/>
                <w:bCs w:val="1"/>
                <w:color w:val="6A6E6F"/>
              </w:rPr>
              <w:t>PEO</w:t>
            </w:r>
          </w:p>
        </w:tc>
        <w:tc>
          <w:tcPr>
            <w:tcW w:w="104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6A6E6F"/>
              </w:rPr>
              <w:t>Non-PEO</w:t>
            </w:r>
          </w:p>
        </w:tc>
      </w:tr>
      <w:tr>
        <w:trPr>
          <w:trHeight w:val="235"/>
        </w:trPr>
        <w:tc>
          <w:tcPr>
            <w:tcW w:w="7500" w:type="dxa"/>
            <w:vAlign w:val="bottom"/>
            <w:tcBorders>
              <w:bottom w:val="single" w:sz="8" w:color="B2B2B2"/>
            </w:tcBorders>
          </w:tcPr>
          <w:p>
            <w:pPr>
              <w:ind w:left="60"/>
              <w:spacing w:after="0"/>
              <w:rPr>
                <w:sz w:val="20"/>
                <w:szCs w:val="20"/>
                <w:color w:val="auto"/>
              </w:rPr>
            </w:pPr>
            <w:r>
              <w:rPr>
                <w:rFonts w:ascii="Arial" w:cs="Arial" w:eastAsia="Arial" w:hAnsi="Arial"/>
                <w:sz w:val="14"/>
                <w:szCs w:val="14"/>
                <w:b w:val="1"/>
                <w:bCs w:val="1"/>
                <w:color w:val="auto"/>
              </w:rPr>
              <w:t>Total Reported in 2025 Summary Compensation Table (SCT)</w:t>
            </w:r>
          </w:p>
        </w:tc>
        <w:tc>
          <w:tcPr>
            <w:tcW w:w="248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b w:val="1"/>
                <w:bCs w:val="1"/>
                <w:color w:val="auto"/>
              </w:rPr>
              <w:t>$11,092,432</w:t>
            </w:r>
          </w:p>
        </w:tc>
        <w:tc>
          <w:tcPr>
            <w:tcW w:w="10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b w:val="1"/>
                <w:bCs w:val="1"/>
                <w:color w:val="auto"/>
              </w:rPr>
              <w:t>$3,095,165</w:t>
            </w:r>
          </w:p>
        </w:tc>
      </w:tr>
      <w:tr>
        <w:trPr>
          <w:trHeight w:val="234"/>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Less, value of Stock Awards reported in SCT</w:t>
            </w:r>
          </w:p>
        </w:tc>
        <w:tc>
          <w:tcPr>
            <w:tcW w:w="248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($7,099,098)</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($1,621,463)</w:t>
            </w:r>
          </w:p>
        </w:tc>
      </w:tr>
      <w:tr>
        <w:trPr>
          <w:trHeight w:val="236"/>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Year-End value of Awards Granted in Fiscal Year that are Unvested and Outstanding</w:t>
            </w:r>
          </w:p>
        </w:tc>
        <w:tc>
          <w:tcPr>
            <w:tcW w:w="248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$7,007,243</w:t>
            </w:r>
          </w:p>
        </w:tc>
        <w:tc>
          <w:tcPr>
            <w:tcW w:w="10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$1,600,467</w:t>
            </w:r>
          </w:p>
        </w:tc>
      </w:tr>
      <w:tr>
        <w:trPr>
          <w:trHeight w:val="237"/>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Change in Fair Value of Prior Year awards that are Outstanding and Unvested</w:t>
            </w:r>
          </w:p>
        </w:tc>
        <w:tc>
          <w:tcPr>
            <w:tcW w:w="248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($71,416)</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($22,853)</w:t>
            </w:r>
          </w:p>
        </w:tc>
      </w:tr>
      <w:tr>
        <w:trPr>
          <w:trHeight w:val="237"/>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FMV of Awards Granted this Year and that Vested this Year</w:t>
            </w:r>
          </w:p>
        </w:tc>
        <w:tc>
          <w:tcPr>
            <w:tcW w:w="248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$0</w:t>
            </w:r>
          </w:p>
        </w:tc>
      </w:tr>
      <w:tr>
        <w:trPr>
          <w:trHeight w:val="237"/>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Change in Fair Value (from prior year-end) of Prior Year awards that Vested this year</w:t>
            </w:r>
          </w:p>
        </w:tc>
        <w:tc>
          <w:tcPr>
            <w:tcW w:w="248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$341,165</w:t>
            </w:r>
          </w:p>
        </w:tc>
        <w:tc>
          <w:tcPr>
            <w:tcW w:w="10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$74,029</w:t>
            </w:r>
          </w:p>
        </w:tc>
      </w:tr>
      <w:tr>
        <w:trPr>
          <w:trHeight w:val="237"/>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Less Prior Year Fair Value of Prior Year awards that Failed to vest this year</w:t>
            </w:r>
          </w:p>
        </w:tc>
        <w:tc>
          <w:tcPr>
            <w:tcW w:w="248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$0</w:t>
            </w:r>
          </w:p>
        </w:tc>
      </w:tr>
      <w:tr>
        <w:trPr>
          <w:trHeight w:val="236"/>
        </w:trPr>
        <w:tc>
          <w:tcPr>
            <w:tcW w:w="75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Total Adjustments</w:t>
            </w:r>
          </w:p>
        </w:tc>
        <w:tc>
          <w:tcPr>
            <w:tcW w:w="248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$177,894</w:t>
            </w:r>
          </w:p>
        </w:tc>
        <w:tc>
          <w:tcPr>
            <w:tcW w:w="10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$30,180</w:t>
            </w:r>
          </w:p>
        </w:tc>
      </w:tr>
      <w:tr>
        <w:trPr>
          <w:trHeight w:val="239"/>
        </w:trPr>
        <w:tc>
          <w:tcPr>
            <w:tcW w:w="750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auto"/>
              </w:rPr>
              <w:t>Compensation Actually Paid for Fiscal Year 2025</w:t>
            </w:r>
          </w:p>
        </w:tc>
        <w:tc>
          <w:tcPr>
            <w:tcW w:w="2480" w:type="dxa"/>
            <w:vAlign w:val="bottom"/>
            <w:tcBorders>
              <w:bottom w:val="single" w:sz="8" w:color="E56D3D"/>
            </w:tcBorders>
          </w:tcPr>
          <w:p>
            <w:pPr>
              <w:jc w:val="right"/>
              <w:ind w:right="128"/>
              <w:spacing w:after="0"/>
              <w:rPr>
                <w:sz w:val="20"/>
                <w:szCs w:val="20"/>
                <w:color w:val="auto"/>
              </w:rPr>
            </w:pPr>
            <w:r>
              <w:rPr>
                <w:rFonts w:ascii="Arial" w:cs="Arial" w:eastAsia="Arial" w:hAnsi="Arial"/>
                <w:sz w:val="14"/>
                <w:szCs w:val="14"/>
                <w:b w:val="1"/>
                <w:bCs w:val="1"/>
                <w:color w:val="auto"/>
              </w:rPr>
              <w:t>$11,270,326</w:t>
            </w:r>
          </w:p>
        </w:tc>
        <w:tc>
          <w:tcPr>
            <w:tcW w:w="104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auto"/>
              </w:rPr>
              <w:t>$3,125,345</w:t>
            </w:r>
          </w:p>
        </w:tc>
      </w:tr>
    </w:tbl>
    <w:p>
      <w:pPr>
        <w:spacing w:after="0" w:line="50" w:lineRule="exact"/>
        <w:rPr>
          <w:sz w:val="20"/>
          <w:szCs w:val="20"/>
          <w:color w:val="auto"/>
        </w:rPr>
      </w:pPr>
    </w:p>
    <w:p>
      <w:pPr>
        <w:ind w:left="4" w:right="480" w:hanging="4"/>
        <w:spacing w:after="0" w:line="243" w:lineRule="auto"/>
        <w:tabs>
          <w:tab w:leader="none" w:pos="193" w:val="left"/>
        </w:tabs>
        <w:numPr>
          <w:ilvl w:val="0"/>
          <w:numId w:val="72"/>
        </w:numPr>
        <w:rPr>
          <w:rFonts w:ascii="Arial" w:cs="Arial" w:eastAsia="Arial" w:hAnsi="Arial"/>
          <w:sz w:val="13"/>
          <w:szCs w:val="13"/>
          <w:color w:val="auto"/>
        </w:rPr>
      </w:pPr>
      <w:r>
        <w:rPr>
          <w:rFonts w:ascii="Arial" w:cs="Arial" w:eastAsia="Arial" w:hAnsi="Arial"/>
          <w:sz w:val="13"/>
          <w:szCs w:val="13"/>
          <w:color w:val="auto"/>
        </w:rPr>
        <w:t>2024 “Compensation Actually Paid” to Ms. Palmer and the average “Compensation Actually Paid” to non-PEOs reflects the following adjustments from Total Compensation reported in the Summary Compensation Table:</w:t>
      </w: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6A6E6F"/>
              </w:rPr>
              <w:t>Average</w:t>
            </w:r>
          </w:p>
        </w:tc>
      </w:tr>
      <w:tr>
        <w:trPr>
          <w:trHeight w:val="185"/>
        </w:trPr>
        <w:tc>
          <w:tcPr>
            <w:tcW w:w="7460" w:type="dxa"/>
            <w:vAlign w:val="bottom"/>
            <w:tcBorders>
              <w:bottom w:val="single" w:sz="8" w:color="E56D3D"/>
            </w:tcBorders>
          </w:tcPr>
          <w:p>
            <w:pPr>
              <w:spacing w:after="0"/>
              <w:rPr>
                <w:sz w:val="16"/>
                <w:szCs w:val="16"/>
                <w:color w:val="auto"/>
              </w:rPr>
            </w:pPr>
          </w:p>
        </w:tc>
        <w:tc>
          <w:tcPr>
            <w:tcW w:w="2460" w:type="dxa"/>
            <w:vAlign w:val="bottom"/>
            <w:tcBorders>
              <w:bottom w:val="single" w:sz="8" w:color="E56D3D"/>
            </w:tcBorders>
          </w:tcPr>
          <w:p>
            <w:pPr>
              <w:jc w:val="right"/>
              <w:ind w:right="168"/>
              <w:spacing w:after="0"/>
              <w:rPr>
                <w:sz w:val="20"/>
                <w:szCs w:val="20"/>
                <w:color w:val="auto"/>
              </w:rPr>
            </w:pPr>
            <w:r>
              <w:rPr>
                <w:rFonts w:ascii="Arial" w:cs="Arial" w:eastAsia="Arial" w:hAnsi="Arial"/>
                <w:sz w:val="14"/>
                <w:szCs w:val="14"/>
                <w:b w:val="1"/>
                <w:bCs w:val="1"/>
                <w:color w:val="6A6E6F"/>
              </w:rPr>
              <w:t>PEO</w:t>
            </w:r>
          </w:p>
        </w:tc>
        <w:tc>
          <w:tcPr>
            <w:tcW w:w="110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6A6E6F"/>
              </w:rPr>
              <w:t>Non-PEO</w:t>
            </w:r>
          </w:p>
        </w:tc>
      </w:tr>
      <w:tr>
        <w:trPr>
          <w:trHeight w:val="235"/>
        </w:trPr>
        <w:tc>
          <w:tcPr>
            <w:tcW w:w="7460" w:type="dxa"/>
            <w:vAlign w:val="bottom"/>
            <w:tcBorders>
              <w:bottom w:val="single" w:sz="8" w:color="B2B2B2"/>
            </w:tcBorders>
          </w:tcPr>
          <w:p>
            <w:pPr>
              <w:ind w:left="60"/>
              <w:spacing w:after="0"/>
              <w:rPr>
                <w:sz w:val="20"/>
                <w:szCs w:val="20"/>
                <w:color w:val="auto"/>
              </w:rPr>
            </w:pPr>
            <w:r>
              <w:rPr>
                <w:rFonts w:ascii="Arial" w:cs="Arial" w:eastAsia="Arial" w:hAnsi="Arial"/>
                <w:sz w:val="14"/>
                <w:szCs w:val="14"/>
                <w:b w:val="1"/>
                <w:bCs w:val="1"/>
                <w:color w:val="auto"/>
              </w:rPr>
              <w:t>Total Reported in 2024 Summary Compensation Table (SCT)</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b w:val="1"/>
                <w:bCs w:val="1"/>
                <w:color w:val="auto"/>
              </w:rPr>
              <w:t>$9,559,263</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b w:val="1"/>
                <w:bCs w:val="1"/>
                <w:color w:val="auto"/>
              </w:rPr>
              <w:t>$2,713,582</w:t>
            </w:r>
          </w:p>
        </w:tc>
      </w:tr>
      <w:tr>
        <w:trPr>
          <w:trHeight w:val="234"/>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Less, value of Stock Awards reported in SCT</w:t>
            </w:r>
          </w:p>
        </w:tc>
        <w:tc>
          <w:tcPr>
            <w:tcW w:w="246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($5,702,941)</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($1,295,055)</w:t>
            </w:r>
          </w:p>
        </w:tc>
      </w:tr>
      <w:tr>
        <w:trPr>
          <w:trHeight w:val="236"/>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Year-End value of Awards Granted in Fiscal Year that are Unvested and Outstanding</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$7,340,943</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$1,667,006</w:t>
            </w:r>
          </w:p>
        </w:tc>
      </w:tr>
      <w:tr>
        <w:trPr>
          <w:trHeight w:val="237"/>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Change in Fair Value of Prior Year awards that are Outstanding and Unvested</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$185,673</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$52,457</w:t>
            </w:r>
          </w:p>
        </w:tc>
      </w:tr>
      <w:tr>
        <w:trPr>
          <w:trHeight w:val="237"/>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FMV of Awards Granted this Year and that Vested this Year</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$0</w:t>
            </w:r>
          </w:p>
        </w:tc>
      </w:tr>
      <w:tr>
        <w:trPr>
          <w:trHeight w:val="236"/>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Change in Fair Value (from prior year-end) of Prior Year awards that Vested this year</w:t>
            </w:r>
          </w:p>
        </w:tc>
        <w:tc>
          <w:tcPr>
            <w:tcW w:w="246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($574,885)</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($89,740)</w:t>
            </w:r>
          </w:p>
        </w:tc>
      </w:tr>
      <w:tr>
        <w:trPr>
          <w:trHeight w:val="237"/>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Less Prior Year Fair Value of Prior Year awards that Failed to vest this year</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$0</w:t>
            </w:r>
          </w:p>
        </w:tc>
      </w:tr>
      <w:tr>
        <w:trPr>
          <w:trHeight w:val="237"/>
        </w:trPr>
        <w:tc>
          <w:tcPr>
            <w:tcW w:w="74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Total Adjustments</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$1,248,790</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$334,667</w:t>
            </w:r>
          </w:p>
        </w:tc>
      </w:tr>
      <w:tr>
        <w:trPr>
          <w:trHeight w:val="240"/>
        </w:trPr>
        <w:tc>
          <w:tcPr>
            <w:tcW w:w="746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auto"/>
              </w:rPr>
              <w:t>Compensation Actually Paid for Fiscal Year 2024</w:t>
            </w:r>
          </w:p>
        </w:tc>
        <w:tc>
          <w:tcPr>
            <w:tcW w:w="2460" w:type="dxa"/>
            <w:vAlign w:val="bottom"/>
            <w:tcBorders>
              <w:bottom w:val="single" w:sz="8" w:color="E56D3D"/>
            </w:tcBorders>
          </w:tcPr>
          <w:p>
            <w:pPr>
              <w:jc w:val="right"/>
              <w:ind w:right="168"/>
              <w:spacing w:after="0"/>
              <w:rPr>
                <w:sz w:val="20"/>
                <w:szCs w:val="20"/>
                <w:color w:val="auto"/>
              </w:rPr>
            </w:pPr>
            <w:r>
              <w:rPr>
                <w:rFonts w:ascii="Arial" w:cs="Arial" w:eastAsia="Arial" w:hAnsi="Arial"/>
                <w:sz w:val="14"/>
                <w:szCs w:val="14"/>
                <w:b w:val="1"/>
                <w:bCs w:val="1"/>
                <w:color w:val="auto"/>
              </w:rPr>
              <w:t>$10,808,053</w:t>
            </w:r>
          </w:p>
        </w:tc>
        <w:tc>
          <w:tcPr>
            <w:tcW w:w="110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auto"/>
              </w:rPr>
              <w:t>$3,048,249</w:t>
            </w:r>
          </w:p>
        </w:tc>
      </w:tr>
    </w:tbl>
    <w:p>
      <w:pPr>
        <w:spacing w:after="0" w:line="63" w:lineRule="exact"/>
        <w:rPr>
          <w:sz w:val="20"/>
          <w:szCs w:val="20"/>
          <w:color w:val="auto"/>
        </w:rPr>
      </w:pPr>
    </w:p>
    <w:p>
      <w:pPr>
        <w:ind w:left="4" w:right="480" w:hanging="4"/>
        <w:spacing w:after="0" w:line="243" w:lineRule="auto"/>
        <w:tabs>
          <w:tab w:leader="none" w:pos="193" w:val="left"/>
        </w:tabs>
        <w:numPr>
          <w:ilvl w:val="0"/>
          <w:numId w:val="73"/>
        </w:numPr>
        <w:rPr>
          <w:rFonts w:ascii="Arial" w:cs="Arial" w:eastAsia="Arial" w:hAnsi="Arial"/>
          <w:sz w:val="13"/>
          <w:szCs w:val="13"/>
          <w:color w:val="auto"/>
        </w:rPr>
      </w:pPr>
      <w:r>
        <w:rPr>
          <w:rFonts w:ascii="Arial" w:cs="Arial" w:eastAsia="Arial" w:hAnsi="Arial"/>
          <w:sz w:val="13"/>
          <w:szCs w:val="13"/>
          <w:color w:val="auto"/>
        </w:rPr>
        <w:t>2023 “Compensation Actually Paid” to Ms. Palmer and the average “Compensation Actually Paid” to non-PEOs reflects the following adjustments from Total Compensation reported in the Summary Compensation Table:</w:t>
      </w: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6A6E6F"/>
              </w:rPr>
              <w:t>Average</w:t>
            </w:r>
          </w:p>
        </w:tc>
      </w:tr>
      <w:tr>
        <w:trPr>
          <w:trHeight w:val="185"/>
        </w:trPr>
        <w:tc>
          <w:tcPr>
            <w:tcW w:w="7480" w:type="dxa"/>
            <w:vAlign w:val="bottom"/>
            <w:tcBorders>
              <w:bottom w:val="single" w:sz="8" w:color="E56D3D"/>
            </w:tcBorders>
          </w:tcPr>
          <w:p>
            <w:pPr>
              <w:spacing w:after="0"/>
              <w:rPr>
                <w:sz w:val="16"/>
                <w:szCs w:val="16"/>
                <w:color w:val="auto"/>
              </w:rPr>
            </w:pPr>
          </w:p>
        </w:tc>
        <w:tc>
          <w:tcPr>
            <w:tcW w:w="2460" w:type="dxa"/>
            <w:vAlign w:val="bottom"/>
            <w:tcBorders>
              <w:bottom w:val="single" w:sz="8" w:color="E56D3D"/>
            </w:tcBorders>
          </w:tcPr>
          <w:p>
            <w:pPr>
              <w:jc w:val="right"/>
              <w:ind w:right="168"/>
              <w:spacing w:after="0"/>
              <w:rPr>
                <w:sz w:val="20"/>
                <w:szCs w:val="20"/>
                <w:color w:val="auto"/>
              </w:rPr>
            </w:pPr>
            <w:r>
              <w:rPr>
                <w:rFonts w:ascii="Arial" w:cs="Arial" w:eastAsia="Arial" w:hAnsi="Arial"/>
                <w:sz w:val="14"/>
                <w:szCs w:val="14"/>
                <w:b w:val="1"/>
                <w:bCs w:val="1"/>
                <w:color w:val="6A6E6F"/>
              </w:rPr>
              <w:t>PEO</w:t>
            </w:r>
          </w:p>
        </w:tc>
        <w:tc>
          <w:tcPr>
            <w:tcW w:w="108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6A6E6F"/>
              </w:rPr>
              <w:t>Non-PEO</w:t>
            </w:r>
          </w:p>
        </w:tc>
      </w:tr>
      <w:tr>
        <w:trPr>
          <w:trHeight w:val="235"/>
        </w:trPr>
        <w:tc>
          <w:tcPr>
            <w:tcW w:w="7480" w:type="dxa"/>
            <w:vAlign w:val="bottom"/>
            <w:tcBorders>
              <w:bottom w:val="single" w:sz="8" w:color="B2B2B2"/>
            </w:tcBorders>
          </w:tcPr>
          <w:p>
            <w:pPr>
              <w:ind w:left="60"/>
              <w:spacing w:after="0"/>
              <w:rPr>
                <w:sz w:val="20"/>
                <w:szCs w:val="20"/>
                <w:color w:val="auto"/>
              </w:rPr>
            </w:pPr>
            <w:r>
              <w:rPr>
                <w:rFonts w:ascii="Arial" w:cs="Arial" w:eastAsia="Arial" w:hAnsi="Arial"/>
                <w:sz w:val="14"/>
                <w:szCs w:val="14"/>
                <w:b w:val="1"/>
                <w:bCs w:val="1"/>
                <w:color w:val="auto"/>
              </w:rPr>
              <w:t>Total Reported in 2023 Summary Compensation Table (SCT)</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b w:val="1"/>
                <w:bCs w:val="1"/>
                <w:color w:val="auto"/>
              </w:rPr>
              <w:t>$9,269,035</w:t>
            </w:r>
          </w:p>
        </w:tc>
        <w:tc>
          <w:tcPr>
            <w:tcW w:w="10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b w:val="1"/>
                <w:bCs w:val="1"/>
                <w:color w:val="auto"/>
              </w:rPr>
              <w:t>$2,479,595</w:t>
            </w:r>
          </w:p>
        </w:tc>
      </w:tr>
      <w:tr>
        <w:trPr>
          <w:trHeight w:val="233"/>
        </w:trPr>
        <w:tc>
          <w:tcPr>
            <w:tcW w:w="748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Less, value of Stock Awards reported in SCT</w:t>
            </w:r>
          </w:p>
        </w:tc>
        <w:tc>
          <w:tcPr>
            <w:tcW w:w="246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($5,536,918)</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($1,265,942)</w:t>
            </w:r>
          </w:p>
        </w:tc>
      </w:tr>
      <w:tr>
        <w:trPr>
          <w:trHeight w:val="237"/>
        </w:trPr>
        <w:tc>
          <w:tcPr>
            <w:tcW w:w="748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Year-End value of Awards Granted in Fiscal Year that are Unvested and Outstanding</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$5,517,908</w:t>
            </w:r>
          </w:p>
        </w:tc>
        <w:tc>
          <w:tcPr>
            <w:tcW w:w="10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$1,263,196</w:t>
            </w:r>
          </w:p>
        </w:tc>
      </w:tr>
      <w:tr>
        <w:trPr>
          <w:trHeight w:val="237"/>
        </w:trPr>
        <w:tc>
          <w:tcPr>
            <w:tcW w:w="748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Change in Fair Value of Prior Year awards that are Outstanding and Unvested</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$216,704</w:t>
            </w:r>
          </w:p>
        </w:tc>
        <w:tc>
          <w:tcPr>
            <w:tcW w:w="10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$72,835</w:t>
            </w:r>
          </w:p>
        </w:tc>
      </w:tr>
      <w:tr>
        <w:trPr>
          <w:trHeight w:val="237"/>
        </w:trPr>
        <w:tc>
          <w:tcPr>
            <w:tcW w:w="748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FMV of Awards Granted this Year and that Vested this Year</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$0</w:t>
            </w:r>
          </w:p>
        </w:tc>
        <w:tc>
          <w:tcPr>
            <w:tcW w:w="10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$0</w:t>
            </w:r>
          </w:p>
        </w:tc>
      </w:tr>
      <w:tr>
        <w:trPr>
          <w:trHeight w:val="236"/>
        </w:trPr>
        <w:tc>
          <w:tcPr>
            <w:tcW w:w="748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Change in Fair Value (from prior year-end) of Prior Year awards that Vested this year</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$63,313</w:t>
            </w:r>
          </w:p>
        </w:tc>
        <w:tc>
          <w:tcPr>
            <w:tcW w:w="10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$37,126</w:t>
            </w:r>
          </w:p>
        </w:tc>
      </w:tr>
      <w:tr>
        <w:trPr>
          <w:trHeight w:val="236"/>
        </w:trPr>
        <w:tc>
          <w:tcPr>
            <w:tcW w:w="748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Less Prior Year Fair Value of Prior Year awards that Failed to vest this year</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$0</w:t>
            </w:r>
          </w:p>
        </w:tc>
        <w:tc>
          <w:tcPr>
            <w:tcW w:w="10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$0</w:t>
            </w:r>
          </w:p>
        </w:tc>
      </w:tr>
      <w:tr>
        <w:trPr>
          <w:trHeight w:val="237"/>
        </w:trPr>
        <w:tc>
          <w:tcPr>
            <w:tcW w:w="74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Total Adjustments</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$261,007</w:t>
            </w:r>
          </w:p>
        </w:tc>
        <w:tc>
          <w:tcPr>
            <w:tcW w:w="10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$107,215</w:t>
            </w:r>
          </w:p>
        </w:tc>
      </w:tr>
      <w:tr>
        <w:trPr>
          <w:trHeight w:val="240"/>
        </w:trPr>
        <w:tc>
          <w:tcPr>
            <w:tcW w:w="748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auto"/>
              </w:rPr>
              <w:t>Compensation Actually Paid for Fiscal Year 2023</w:t>
            </w:r>
          </w:p>
        </w:tc>
        <w:tc>
          <w:tcPr>
            <w:tcW w:w="2460" w:type="dxa"/>
            <w:vAlign w:val="bottom"/>
            <w:tcBorders>
              <w:bottom w:val="single" w:sz="8" w:color="E56D3D"/>
            </w:tcBorders>
          </w:tcPr>
          <w:p>
            <w:pPr>
              <w:jc w:val="right"/>
              <w:ind w:right="168"/>
              <w:spacing w:after="0"/>
              <w:rPr>
                <w:sz w:val="20"/>
                <w:szCs w:val="20"/>
                <w:color w:val="auto"/>
              </w:rPr>
            </w:pPr>
            <w:r>
              <w:rPr>
                <w:rFonts w:ascii="Arial" w:cs="Arial" w:eastAsia="Arial" w:hAnsi="Arial"/>
                <w:sz w:val="14"/>
                <w:szCs w:val="14"/>
                <w:b w:val="1"/>
                <w:bCs w:val="1"/>
                <w:color w:val="auto"/>
              </w:rPr>
              <w:t>$9,530,042</w:t>
            </w:r>
          </w:p>
        </w:tc>
        <w:tc>
          <w:tcPr>
            <w:tcW w:w="108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auto"/>
              </w:rPr>
              <w:t>$2,586,810</w:t>
            </w:r>
          </w:p>
        </w:tc>
      </w:tr>
    </w:tbl>
    <w:p>
      <w:pPr>
        <w:spacing w:after="0" w:line="130"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48</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024"/>
          </w:cols>
          <w:pgMar w:left="436" w:top="291" w:right="439" w:bottom="1440" w:gutter="0" w:footer="0" w:header="0"/>
        </w:sectPr>
      </w:pPr>
    </w:p>
    <w:bookmarkStart w:id="54" w:name="page55"/>
    <w:bookmarkEnd w:id="54"/>
    <w:p>
      <w:pPr>
        <w:ind w:left="900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 </w:t>
      </w:r>
      <w:r>
        <w:rPr>
          <w:rFonts w:ascii="Arial" w:cs="Arial" w:eastAsia="Arial" w:hAnsi="Arial"/>
          <w:sz w:val="19"/>
          <w:szCs w:val="19"/>
          <w:b w:val="1"/>
          <w:bCs w:val="1"/>
          <w:color w:val="E56D3D"/>
        </w:rPr>
        <w:t>|</w:t>
      </w:r>
    </w:p>
    <w:p>
      <w:pPr>
        <w:spacing w:after="0" w:line="152" w:lineRule="exact"/>
        <w:rPr>
          <w:sz w:val="20"/>
          <w:szCs w:val="20"/>
          <w:color w:val="auto"/>
        </w:rPr>
      </w:pPr>
    </w:p>
    <w:p>
      <w:pPr>
        <w:ind w:left="4" w:right="20" w:hanging="4"/>
        <w:spacing w:after="0" w:line="243" w:lineRule="auto"/>
        <w:tabs>
          <w:tab w:leader="none" w:pos="193" w:val="left"/>
        </w:tabs>
        <w:numPr>
          <w:ilvl w:val="0"/>
          <w:numId w:val="74"/>
        </w:numPr>
        <w:rPr>
          <w:rFonts w:ascii="Arial" w:cs="Arial" w:eastAsia="Arial" w:hAnsi="Arial"/>
          <w:sz w:val="13"/>
          <w:szCs w:val="13"/>
          <w:color w:val="auto"/>
        </w:rPr>
      </w:pPr>
      <w:r>
        <w:rPr>
          <w:rFonts w:ascii="Arial" w:cs="Arial" w:eastAsia="Arial" w:hAnsi="Arial"/>
          <w:sz w:val="13"/>
          <w:szCs w:val="13"/>
          <w:color w:val="auto"/>
        </w:rPr>
        <w:t>2022 compensation “Actually Paid” to Ms. Palmer and the average Actually Paid to non-PEOs reflects the following adjustments from Total Compensation reported in the Summary Compensation Table:</w:t>
      </w: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6A6E6F"/>
              </w:rPr>
              <w:t>Average</w:t>
            </w:r>
          </w:p>
        </w:tc>
      </w:tr>
      <w:tr>
        <w:trPr>
          <w:trHeight w:val="185"/>
        </w:trPr>
        <w:tc>
          <w:tcPr>
            <w:tcW w:w="7500" w:type="dxa"/>
            <w:vAlign w:val="bottom"/>
            <w:tcBorders>
              <w:bottom w:val="single" w:sz="8" w:color="E56D3D"/>
            </w:tcBorders>
          </w:tcPr>
          <w:p>
            <w:pPr>
              <w:spacing w:after="0"/>
              <w:rPr>
                <w:sz w:val="16"/>
                <w:szCs w:val="16"/>
                <w:color w:val="auto"/>
              </w:rPr>
            </w:pPr>
          </w:p>
        </w:tc>
        <w:tc>
          <w:tcPr>
            <w:tcW w:w="2480" w:type="dxa"/>
            <w:vAlign w:val="bottom"/>
            <w:tcBorders>
              <w:bottom w:val="single" w:sz="8" w:color="E56D3D"/>
            </w:tcBorders>
          </w:tcPr>
          <w:p>
            <w:pPr>
              <w:jc w:val="right"/>
              <w:ind w:right="148"/>
              <w:spacing w:after="0"/>
              <w:rPr>
                <w:sz w:val="20"/>
                <w:szCs w:val="20"/>
                <w:color w:val="auto"/>
              </w:rPr>
            </w:pPr>
            <w:r>
              <w:rPr>
                <w:rFonts w:ascii="Arial" w:cs="Arial" w:eastAsia="Arial" w:hAnsi="Arial"/>
                <w:sz w:val="14"/>
                <w:szCs w:val="14"/>
                <w:b w:val="1"/>
                <w:bCs w:val="1"/>
                <w:color w:val="6A6E6F"/>
              </w:rPr>
              <w:t>PEO</w:t>
            </w:r>
          </w:p>
        </w:tc>
        <w:tc>
          <w:tcPr>
            <w:tcW w:w="104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6A6E6F"/>
              </w:rPr>
              <w:t>Non-PEO</w:t>
            </w:r>
          </w:p>
        </w:tc>
      </w:tr>
      <w:tr>
        <w:trPr>
          <w:trHeight w:val="236"/>
        </w:trPr>
        <w:tc>
          <w:tcPr>
            <w:tcW w:w="7500" w:type="dxa"/>
            <w:vAlign w:val="bottom"/>
            <w:tcBorders>
              <w:bottom w:val="single" w:sz="8" w:color="B2B2B2"/>
            </w:tcBorders>
          </w:tcPr>
          <w:p>
            <w:pPr>
              <w:ind w:left="60"/>
              <w:spacing w:after="0"/>
              <w:rPr>
                <w:sz w:val="20"/>
                <w:szCs w:val="20"/>
                <w:color w:val="auto"/>
              </w:rPr>
            </w:pPr>
            <w:r>
              <w:rPr>
                <w:rFonts w:ascii="Arial" w:cs="Arial" w:eastAsia="Arial" w:hAnsi="Arial"/>
                <w:sz w:val="14"/>
                <w:szCs w:val="14"/>
                <w:b w:val="1"/>
                <w:bCs w:val="1"/>
                <w:color w:val="auto"/>
              </w:rPr>
              <w:t>Total Reported in 2022 Summary Compensation Table (SCT)</w:t>
            </w:r>
          </w:p>
        </w:tc>
        <w:tc>
          <w:tcPr>
            <w:tcW w:w="24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b w:val="1"/>
                <w:bCs w:val="1"/>
                <w:color w:val="auto"/>
              </w:rPr>
              <w:t>$8,649,788</w:t>
            </w:r>
          </w:p>
        </w:tc>
        <w:tc>
          <w:tcPr>
            <w:tcW w:w="10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b w:val="1"/>
                <w:bCs w:val="1"/>
                <w:color w:val="auto"/>
              </w:rPr>
              <w:t>$2,291,627</w:t>
            </w:r>
          </w:p>
        </w:tc>
      </w:tr>
      <w:tr>
        <w:trPr>
          <w:trHeight w:val="233"/>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Less, value of Stock Awards reported in SCT</w:t>
            </w:r>
          </w:p>
        </w:tc>
        <w:tc>
          <w:tcPr>
            <w:tcW w:w="24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($5,184,152)</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($1,212,490)</w:t>
            </w:r>
          </w:p>
        </w:tc>
      </w:tr>
      <w:tr>
        <w:trPr>
          <w:trHeight w:val="237"/>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Year-End value of Awards Granted in Fiscal Year that are Unvested and Outstanding</w:t>
            </w:r>
          </w:p>
        </w:tc>
        <w:tc>
          <w:tcPr>
            <w:tcW w:w="24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$4,567,311</w:t>
            </w:r>
          </w:p>
        </w:tc>
        <w:tc>
          <w:tcPr>
            <w:tcW w:w="10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$1,085,215</w:t>
            </w:r>
          </w:p>
        </w:tc>
      </w:tr>
      <w:tr>
        <w:trPr>
          <w:trHeight w:val="236"/>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Change in Fair Value of Prior Year awards that are Outstanding and Unvested</w:t>
            </w:r>
          </w:p>
        </w:tc>
        <w:tc>
          <w:tcPr>
            <w:tcW w:w="24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($1,288,996)</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($384,424)</w:t>
            </w:r>
          </w:p>
        </w:tc>
      </w:tr>
      <w:tr>
        <w:trPr>
          <w:trHeight w:val="237"/>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FMV of Awards Granted this Year and that Vested this Year</w:t>
            </w:r>
          </w:p>
        </w:tc>
        <w:tc>
          <w:tcPr>
            <w:tcW w:w="24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$0</w:t>
            </w:r>
          </w:p>
        </w:tc>
      </w:tr>
      <w:tr>
        <w:trPr>
          <w:trHeight w:val="237"/>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Change in Fair Value (from prior year-end) of Prior Year awards that Vested this year</w:t>
            </w:r>
          </w:p>
        </w:tc>
        <w:tc>
          <w:tcPr>
            <w:tcW w:w="24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($467,191)</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($171,104)</w:t>
            </w:r>
          </w:p>
        </w:tc>
      </w:tr>
      <w:tr>
        <w:trPr>
          <w:trHeight w:val="237"/>
        </w:trPr>
        <w:tc>
          <w:tcPr>
            <w:tcW w:w="750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Less Prior Year Fair Value of Prior Year awards that Failed to vest this year</w:t>
            </w:r>
          </w:p>
        </w:tc>
        <w:tc>
          <w:tcPr>
            <w:tcW w:w="24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$0</w:t>
            </w:r>
          </w:p>
        </w:tc>
      </w:tr>
      <w:tr>
        <w:trPr>
          <w:trHeight w:val="237"/>
        </w:trPr>
        <w:tc>
          <w:tcPr>
            <w:tcW w:w="75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Total Adjustments</w:t>
            </w:r>
          </w:p>
        </w:tc>
        <w:tc>
          <w:tcPr>
            <w:tcW w:w="24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($2,373,028)</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($682,803)</w:t>
            </w:r>
          </w:p>
        </w:tc>
      </w:tr>
      <w:tr>
        <w:trPr>
          <w:trHeight w:val="239"/>
        </w:trPr>
        <w:tc>
          <w:tcPr>
            <w:tcW w:w="750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auto"/>
              </w:rPr>
              <w:t>Compensation Actually Paid for Fiscal Year 2022</w:t>
            </w:r>
          </w:p>
        </w:tc>
        <w:tc>
          <w:tcPr>
            <w:tcW w:w="2480" w:type="dxa"/>
            <w:vAlign w:val="bottom"/>
            <w:tcBorders>
              <w:bottom w:val="single" w:sz="8" w:color="E56D3D"/>
            </w:tcBorders>
          </w:tcPr>
          <w:p>
            <w:pPr>
              <w:jc w:val="right"/>
              <w:ind w:right="148"/>
              <w:spacing w:after="0"/>
              <w:rPr>
                <w:sz w:val="20"/>
                <w:szCs w:val="20"/>
                <w:color w:val="auto"/>
              </w:rPr>
            </w:pPr>
            <w:r>
              <w:rPr>
                <w:rFonts w:ascii="Arial" w:cs="Arial" w:eastAsia="Arial" w:hAnsi="Arial"/>
                <w:sz w:val="14"/>
                <w:szCs w:val="14"/>
                <w:b w:val="1"/>
                <w:bCs w:val="1"/>
                <w:color w:val="auto"/>
              </w:rPr>
              <w:t>$6,276,760</w:t>
            </w:r>
          </w:p>
        </w:tc>
        <w:tc>
          <w:tcPr>
            <w:tcW w:w="104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auto"/>
              </w:rPr>
              <w:t>$1,608,823</w:t>
            </w:r>
          </w:p>
        </w:tc>
      </w:tr>
    </w:tbl>
    <w:p>
      <w:pPr>
        <w:spacing w:after="0" w:line="50" w:lineRule="exact"/>
        <w:rPr>
          <w:sz w:val="20"/>
          <w:szCs w:val="20"/>
          <w:color w:val="auto"/>
        </w:rPr>
      </w:pPr>
    </w:p>
    <w:p>
      <w:pPr>
        <w:ind w:left="4" w:right="20" w:hanging="4"/>
        <w:spacing w:after="0" w:line="243" w:lineRule="auto"/>
        <w:tabs>
          <w:tab w:leader="none" w:pos="193" w:val="left"/>
        </w:tabs>
        <w:numPr>
          <w:ilvl w:val="0"/>
          <w:numId w:val="75"/>
        </w:numPr>
        <w:rPr>
          <w:rFonts w:ascii="Arial" w:cs="Arial" w:eastAsia="Arial" w:hAnsi="Arial"/>
          <w:sz w:val="13"/>
          <w:szCs w:val="13"/>
          <w:color w:val="auto"/>
        </w:rPr>
      </w:pPr>
      <w:r>
        <w:rPr>
          <w:rFonts w:ascii="Arial" w:cs="Arial" w:eastAsia="Arial" w:hAnsi="Arial"/>
          <w:sz w:val="13"/>
          <w:szCs w:val="13"/>
          <w:color w:val="auto"/>
        </w:rPr>
        <w:t>2021 compensation “Actually Paid” to Ms. Palmer and the average Actually Paid to non-PEOs reflects the following adjustments from Total Compensation reported in the Summary Compensation Table:</w:t>
      </w: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6A6E6F"/>
              </w:rPr>
              <w:t>Average</w:t>
            </w:r>
          </w:p>
        </w:tc>
      </w:tr>
      <w:tr>
        <w:trPr>
          <w:trHeight w:val="185"/>
        </w:trPr>
        <w:tc>
          <w:tcPr>
            <w:tcW w:w="7460" w:type="dxa"/>
            <w:vAlign w:val="bottom"/>
            <w:tcBorders>
              <w:bottom w:val="single" w:sz="8" w:color="E56D3D"/>
            </w:tcBorders>
          </w:tcPr>
          <w:p>
            <w:pPr>
              <w:spacing w:after="0"/>
              <w:rPr>
                <w:sz w:val="16"/>
                <w:szCs w:val="16"/>
                <w:color w:val="auto"/>
              </w:rPr>
            </w:pPr>
          </w:p>
        </w:tc>
        <w:tc>
          <w:tcPr>
            <w:tcW w:w="2460" w:type="dxa"/>
            <w:vAlign w:val="bottom"/>
            <w:tcBorders>
              <w:bottom w:val="single" w:sz="8" w:color="E56D3D"/>
            </w:tcBorders>
          </w:tcPr>
          <w:p>
            <w:pPr>
              <w:jc w:val="right"/>
              <w:ind w:right="168"/>
              <w:spacing w:after="0"/>
              <w:rPr>
                <w:sz w:val="20"/>
                <w:szCs w:val="20"/>
                <w:color w:val="auto"/>
              </w:rPr>
            </w:pPr>
            <w:r>
              <w:rPr>
                <w:rFonts w:ascii="Arial" w:cs="Arial" w:eastAsia="Arial" w:hAnsi="Arial"/>
                <w:sz w:val="14"/>
                <w:szCs w:val="14"/>
                <w:b w:val="1"/>
                <w:bCs w:val="1"/>
                <w:color w:val="6A6E6F"/>
              </w:rPr>
              <w:t>PEO</w:t>
            </w:r>
          </w:p>
        </w:tc>
        <w:tc>
          <w:tcPr>
            <w:tcW w:w="110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6A6E6F"/>
              </w:rPr>
              <w:t>Non-PEO</w:t>
            </w:r>
          </w:p>
        </w:tc>
      </w:tr>
      <w:tr>
        <w:trPr>
          <w:trHeight w:val="236"/>
        </w:trPr>
        <w:tc>
          <w:tcPr>
            <w:tcW w:w="7460" w:type="dxa"/>
            <w:vAlign w:val="bottom"/>
            <w:tcBorders>
              <w:bottom w:val="single" w:sz="8" w:color="B2B2B2"/>
            </w:tcBorders>
          </w:tcPr>
          <w:p>
            <w:pPr>
              <w:ind w:left="60"/>
              <w:spacing w:after="0"/>
              <w:rPr>
                <w:sz w:val="20"/>
                <w:szCs w:val="20"/>
                <w:color w:val="auto"/>
              </w:rPr>
            </w:pPr>
            <w:r>
              <w:rPr>
                <w:rFonts w:ascii="Arial" w:cs="Arial" w:eastAsia="Arial" w:hAnsi="Arial"/>
                <w:sz w:val="14"/>
                <w:szCs w:val="14"/>
                <w:b w:val="1"/>
                <w:bCs w:val="1"/>
                <w:color w:val="auto"/>
              </w:rPr>
              <w:t>Total Reported in 2021 Summary Compensation Table (SCT)</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b w:val="1"/>
                <w:bCs w:val="1"/>
                <w:color w:val="auto"/>
              </w:rPr>
              <w:t>$7,026,315</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b w:val="1"/>
                <w:bCs w:val="1"/>
                <w:color w:val="auto"/>
              </w:rPr>
              <w:t>$2,374,789</w:t>
            </w:r>
          </w:p>
        </w:tc>
      </w:tr>
      <w:tr>
        <w:trPr>
          <w:trHeight w:val="233"/>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Less, value of Stock Awards reported in SCT</w:t>
            </w:r>
          </w:p>
        </w:tc>
        <w:tc>
          <w:tcPr>
            <w:tcW w:w="2460" w:type="dxa"/>
            <w:vAlign w:val="bottom"/>
            <w:tcBorders>
              <w:bottom w:val="single" w:sz="8" w:color="B2B2B2"/>
            </w:tcBorders>
          </w:tcPr>
          <w:p>
            <w:pPr>
              <w:jc w:val="right"/>
              <w:ind w:right="128"/>
              <w:spacing w:after="0"/>
              <w:rPr>
                <w:sz w:val="20"/>
                <w:szCs w:val="20"/>
                <w:color w:val="auto"/>
              </w:rPr>
            </w:pPr>
            <w:r>
              <w:rPr>
                <w:rFonts w:ascii="Arial" w:cs="Arial" w:eastAsia="Arial" w:hAnsi="Arial"/>
                <w:sz w:val="14"/>
                <w:szCs w:val="14"/>
                <w:color w:val="auto"/>
              </w:rPr>
              <w:t>($3,950,257)</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($1,420,337)</w:t>
            </w:r>
          </w:p>
        </w:tc>
      </w:tr>
      <w:tr>
        <w:trPr>
          <w:trHeight w:val="237"/>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Year-End value of Awards Granted in Fiscal Year that are Unvested and Outstanding</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$7,830,287</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$2,153,181</w:t>
            </w:r>
          </w:p>
        </w:tc>
      </w:tr>
      <w:tr>
        <w:trPr>
          <w:trHeight w:val="237"/>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Change in Fair Value of Prior Year awards that are Outstanding and Unvested</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$2,664,658</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$790,463</w:t>
            </w:r>
          </w:p>
        </w:tc>
      </w:tr>
      <w:tr>
        <w:trPr>
          <w:trHeight w:val="237"/>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FMV of Awards Granted this Year and that Vested this Year</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$0</w:t>
            </w:r>
          </w:p>
        </w:tc>
      </w:tr>
      <w:tr>
        <w:trPr>
          <w:trHeight w:val="237"/>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Plus, Change in Fair Value (from prior year-end) of Prior Year awards that Vested this year</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$1,171,500</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$608,353</w:t>
            </w:r>
          </w:p>
        </w:tc>
      </w:tr>
      <w:tr>
        <w:trPr>
          <w:trHeight w:val="236"/>
        </w:trPr>
        <w:tc>
          <w:tcPr>
            <w:tcW w:w="74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Less Prior Year Fair Value of Prior Year awards that Failed to vest this year</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($611,977)</w:t>
            </w:r>
          </w:p>
        </w:tc>
      </w:tr>
      <w:tr>
        <w:trPr>
          <w:trHeight w:val="237"/>
        </w:trPr>
        <w:tc>
          <w:tcPr>
            <w:tcW w:w="74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Total Adjustments</w:t>
            </w:r>
          </w:p>
        </w:tc>
        <w:tc>
          <w:tcPr>
            <w:tcW w:w="2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$7,716,187</w:t>
            </w:r>
          </w:p>
        </w:tc>
        <w:tc>
          <w:tcPr>
            <w:tcW w:w="110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$1,519,684</w:t>
            </w:r>
          </w:p>
        </w:tc>
      </w:tr>
      <w:tr>
        <w:trPr>
          <w:trHeight w:val="240"/>
        </w:trPr>
        <w:tc>
          <w:tcPr>
            <w:tcW w:w="746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auto"/>
              </w:rPr>
              <w:t>Compensation Actually Paid for Fiscal Year 2021</w:t>
            </w:r>
          </w:p>
        </w:tc>
        <w:tc>
          <w:tcPr>
            <w:tcW w:w="2460" w:type="dxa"/>
            <w:vAlign w:val="bottom"/>
            <w:tcBorders>
              <w:bottom w:val="single" w:sz="8" w:color="E56D3D"/>
            </w:tcBorders>
          </w:tcPr>
          <w:p>
            <w:pPr>
              <w:jc w:val="right"/>
              <w:ind w:right="168"/>
              <w:spacing w:after="0"/>
              <w:rPr>
                <w:sz w:val="20"/>
                <w:szCs w:val="20"/>
                <w:color w:val="auto"/>
              </w:rPr>
            </w:pPr>
            <w:r>
              <w:rPr>
                <w:rFonts w:ascii="Arial" w:cs="Arial" w:eastAsia="Arial" w:hAnsi="Arial"/>
                <w:sz w:val="14"/>
                <w:szCs w:val="14"/>
                <w:b w:val="1"/>
                <w:bCs w:val="1"/>
                <w:color w:val="auto"/>
              </w:rPr>
              <w:t>$14,742,502</w:t>
            </w:r>
          </w:p>
        </w:tc>
        <w:tc>
          <w:tcPr>
            <w:tcW w:w="110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b w:val="1"/>
                <w:bCs w:val="1"/>
                <w:color w:val="auto"/>
              </w:rPr>
              <w:t>$3,894,473</w:t>
            </w:r>
          </w:p>
        </w:tc>
      </w:tr>
    </w:tbl>
    <w:p>
      <w:pPr>
        <w:spacing w:after="0" w:line="63" w:lineRule="exact"/>
        <w:rPr>
          <w:sz w:val="20"/>
          <w:szCs w:val="20"/>
          <w:color w:val="auto"/>
        </w:rPr>
      </w:pPr>
    </w:p>
    <w:p>
      <w:pPr>
        <w:ind w:left="4" w:right="200" w:hanging="4"/>
        <w:spacing w:after="0" w:line="226" w:lineRule="auto"/>
        <w:tabs>
          <w:tab w:leader="none" w:pos="193" w:val="left"/>
        </w:tabs>
        <w:numPr>
          <w:ilvl w:val="0"/>
          <w:numId w:val="76"/>
        </w:numPr>
        <w:rPr>
          <w:rFonts w:ascii="Arial" w:cs="Arial" w:eastAsia="Arial" w:hAnsi="Arial"/>
          <w:sz w:val="13"/>
          <w:szCs w:val="13"/>
          <w:color w:val="auto"/>
        </w:rPr>
      </w:pPr>
      <w:r>
        <w:rPr>
          <w:rFonts w:ascii="Arial" w:cs="Arial" w:eastAsia="Arial" w:hAnsi="Arial"/>
          <w:sz w:val="13"/>
          <w:szCs w:val="13"/>
          <w:color w:val="auto"/>
        </w:rPr>
        <w:t>“Peer Group Total Shareholder Return” means as reflected by the FTSE Nareit Shopping Center Index. Each year reflects the cumulative value of a $100 investment, including reinvestment of dividends, if such amount had been invested on December 31, 2020.</w:t>
      </w:r>
    </w:p>
    <w:p>
      <w:pPr>
        <w:ind w:left="264" w:hanging="264"/>
        <w:spacing w:after="0" w:line="216" w:lineRule="auto"/>
        <w:tabs>
          <w:tab w:leader="none" w:pos="264" w:val="left"/>
        </w:tabs>
        <w:numPr>
          <w:ilvl w:val="0"/>
          <w:numId w:val="76"/>
        </w:numPr>
        <w:rPr>
          <w:rFonts w:ascii="Arial" w:cs="Arial" w:eastAsia="Arial" w:hAnsi="Arial"/>
          <w:sz w:val="13"/>
          <w:szCs w:val="13"/>
          <w:color w:val="auto"/>
        </w:rPr>
      </w:pPr>
      <w:r>
        <w:rPr>
          <w:rFonts w:ascii="Arial" w:cs="Arial" w:eastAsia="Arial" w:hAnsi="Arial"/>
          <w:sz w:val="13"/>
          <w:szCs w:val="13"/>
          <w:color w:val="auto"/>
        </w:rPr>
        <w:t>Core Operating Earnings per Share is a non-GAAP financial measure. See Appendix A for reconciliations of GAAP to non-GAAP financial measures.</w:t>
      </w:r>
    </w:p>
    <w:p>
      <w:pPr>
        <w:ind w:left="4" w:right="320" w:hanging="4"/>
        <w:spacing w:after="0" w:line="231" w:lineRule="auto"/>
        <w:tabs>
          <w:tab w:leader="none" w:pos="254" w:val="left"/>
        </w:tabs>
        <w:numPr>
          <w:ilvl w:val="0"/>
          <w:numId w:val="76"/>
        </w:numPr>
        <w:rPr>
          <w:rFonts w:ascii="Arial" w:cs="Arial" w:eastAsia="Arial" w:hAnsi="Arial"/>
          <w:sz w:val="13"/>
          <w:szCs w:val="13"/>
          <w:color w:val="auto"/>
        </w:rPr>
      </w:pPr>
      <w:r>
        <w:rPr>
          <w:rFonts w:ascii="Arial" w:cs="Arial" w:eastAsia="Arial" w:hAnsi="Arial"/>
          <w:sz w:val="13"/>
          <w:szCs w:val="13"/>
          <w:color w:val="auto"/>
        </w:rPr>
        <w:t>For 2023 and 2022, Adjusted Core Operating Earnings Per Share was utilized as the Company’s Selected Measure, to eliminate the impact of COVID-related collections and/or prior period recoveries. See Appendix A of the respective Proxy Statement for reconciliations of GAAP to non-GAAP financial measures.</w:t>
      </w:r>
    </w:p>
    <w:p>
      <w:pPr>
        <w:spacing w:after="0" w:line="118" w:lineRule="exact"/>
        <w:rPr>
          <w:sz w:val="20"/>
          <w:szCs w:val="20"/>
          <w:color w:val="auto"/>
        </w:rPr>
      </w:pPr>
    </w:p>
    <w:p>
      <w:pPr>
        <w:ind w:left="7884"/>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49</w:t>
      </w:r>
    </w:p>
    <w:p>
      <w:pPr>
        <w:sectPr>
          <w:pgSz w:w="11900" w:h="16838" w:orient="portrait"/>
          <w:cols w:equalWidth="0" w:num="1">
            <w:col w:w="11024"/>
          </w:cols>
          <w:pgMar w:left="436" w:top="291" w:right="4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E56D3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t>
      </w:r>
      <w:r>
        <w:rPr>
          <w:rFonts w:ascii="Arial" w:cs="Arial" w:eastAsia="Arial" w:hAnsi="Arial"/>
          <w:sz w:val="16"/>
          <w:szCs w:val="16"/>
          <w:b w:val="1"/>
          <w:bCs w:val="1"/>
          <w:color w:val="000000"/>
        </w:rPr>
        <w:t> Executive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6A6E6F"/>
        </w:rPr>
        <w:t>Pay Versus Performance Descriptive Disclosure</w:t>
      </w:r>
    </w:p>
    <w:p>
      <w:pPr>
        <w:spacing w:after="0" w:line="7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believe the “Compensation Actually Paid” in each of the four years reported above and over the four-year cumulative period is reflective of the Compensation Committee’s emphasis on “pay-for-performance”, as the “Compensation Actually Paid” varied year over year, primarily due to the result of our relative total shareholder return and levels of achievement against pre-established performance goals under our annual and long-term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337820</wp:posOffset>
            </wp:positionV>
            <wp:extent cx="5288915" cy="59232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88915" cy="592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50</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0920"/>
          </w:cols>
          <w:pgMar w:left="440" w:top="291" w:right="5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 </w:t>
      </w:r>
      <w:r>
        <w:rPr>
          <w:rFonts w:ascii="Arial" w:cs="Arial" w:eastAsia="Arial" w:hAnsi="Arial"/>
          <w:sz w:val="19"/>
          <w:szCs w:val="19"/>
          <w:b w:val="1"/>
          <w:bCs w:val="1"/>
          <w:color w:val="E56D3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107950</wp:posOffset>
            </wp:positionV>
            <wp:extent cx="5220335" cy="28460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2033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following unranked list reflects the Company’s most important performance measures used by our Company to link Compensation Actually Paid for fiscal 2025 to our performance. Each of these financial performance measures is further described and defined in the Compensation Discussion and Analysis section of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Most Important Performance Measures for 2025</w:t>
      </w:r>
    </w:p>
    <w:p>
      <w:pPr>
        <w:spacing w:after="0" w:line="316"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Core Operating Earnings Per Share (Company-Selected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49530</wp:posOffset>
            </wp:positionV>
            <wp:extent cx="46120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16"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Corporate Responsibility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49530</wp:posOffset>
            </wp:positionV>
            <wp:extent cx="46120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116"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Relative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49530</wp:posOffset>
            </wp:positionV>
            <wp:extent cx="46120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6A6E6F"/>
        </w:rPr>
        <w:t>CEO Pay Ratio</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have estimated the ratio of our 2025 CEO’s total compensation to the median annual total compensation of all employees (except our CEO).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determining the median employee, we considered taxable compensation totals in 2025. We identified the “Median Employee” based on the taxable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of all full-time, part-time, and temporary employees employed by Regency on December 31, 2025. Then, we calculated the Median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Employee’s compensation under the Summary Compensation Table rules. Our CEO in 2025, Ms. Palmer, had an annual total compensation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$11,092,432 and our Median Employee had an annual total compensation of $154,922. Therefore, we estimate that our CEO’s annual total compensation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2025 is 72 times that of the median of the annual total compensation of all of our employees.</w:t>
      </w:r>
    </w:p>
    <w:p>
      <w:pPr>
        <w:spacing w:after="0" w:line="133" w:lineRule="exact"/>
        <w:rPr>
          <w:sz w:val="20"/>
          <w:szCs w:val="20"/>
          <w:color w:val="auto"/>
        </w:rPr>
      </w:pPr>
    </w:p>
    <w:p>
      <w:pPr>
        <w:ind w:left="788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51</w:t>
      </w:r>
    </w:p>
    <w:p>
      <w:pPr>
        <w:sectPr>
          <w:pgSz w:w="11900" w:h="16838" w:orient="portrait"/>
          <w:cols w:equalWidth="0" w:num="1">
            <w:col w:w="11020"/>
          </w:cols>
          <w:pgMar w:left="440" w:top="291"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Audit Committee Report</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E56D3D"/>
        </w:rPr>
        <w:t>Audit Committee Report</w:t>
      </w:r>
    </w:p>
    <w:p>
      <w:pPr>
        <w:spacing w:after="0" w:line="213" w:lineRule="exact"/>
        <w:rPr>
          <w:sz w:val="20"/>
          <w:szCs w:val="20"/>
          <w:color w:val="auto"/>
        </w:rPr>
      </w:pPr>
    </w:p>
    <w:p>
      <w:pPr>
        <w:ind w:left="120" w:right="120"/>
        <w:spacing w:after="0" w:line="265" w:lineRule="auto"/>
        <w:rPr>
          <w:sz w:val="20"/>
          <w:szCs w:val="20"/>
          <w:color w:val="auto"/>
        </w:rPr>
      </w:pPr>
      <w:r>
        <w:rPr>
          <w:rFonts w:ascii="Arial" w:cs="Arial" w:eastAsia="Arial" w:hAnsi="Arial"/>
          <w:sz w:val="16"/>
          <w:szCs w:val="16"/>
          <w:i w:val="1"/>
          <w:iCs w:val="1"/>
          <w:color w:val="auto"/>
        </w:rPr>
        <w:t>The following Report of our Audit Committee (this “Audit Committee Report”) does not constitute soliciting material and should not be deemed filed or incorporated by reference into any other previous or future filings by us under the Securities Act of 1933, as amended, or the Securities Exchange Act of 1934, as amended, except to the extent we specifically incorporate this Audit Committee Report by reference therein.</w:t>
      </w:r>
    </w:p>
    <w:p>
      <w:pPr>
        <w:spacing w:after="0" w:line="131"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The Audit Committee assists the Board in its general oversight of the Company’s financial reporting, internal controls and audit functions. The Audit Committee operates under a written charter adopted by the Board. A copy of its charter can be found on the Company’s website at https://investors.regencycenters.com. The directors who serve on the Audit Committee have no direct financial or personal ties to the Company (other than director compensation and equity ownership as described in this proxy statement) and are all “financially literate” and “independent” for purposes of the Nasdaq Stock Market listing requirements applicable to Audit Committee members. The Board has determined that each of Deirdre J. Evens, Thomas W. Furphy, Karin M. Klein, Peter D. Linneman, Mark J. Parrell, and James H. Simmons, III are Audit Committee financial experts as defined by the rules of the SEC. The Board has determined that none of the Audit Committee members has a relationship with the Company that may interfere with the member’s independence from the Company and its management.</w:t>
      </w:r>
    </w:p>
    <w:p>
      <w:pPr>
        <w:spacing w:after="0" w:line="156"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Management is responsible for the Company’s internal controls and financial reporting process. The Audit Committee met with management, KPMG LLP, the Company’s independent registered public accounting firm and internal auditors four times during the year to consider and discuss the adequacy of the Company’s internal controls and the objectivity of its financial reporting. In addition, the Audit Committee was on call as needed by management and KPMG LLP to meet with or discuss any issues arising during the course of the year. At the end of each quarterly meeting, the Audit Committee met privately with both KPMG LLP and the internal auditors, each of whom has unrestricted access to the Audit Committee.</w:t>
      </w:r>
    </w:p>
    <w:p>
      <w:pPr>
        <w:spacing w:after="0" w:line="139"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The Audit Committee has extensively reviewed and discussed the consolidated financial statements with management and the independent registered public accounting firm. Management is responsible for the preparation, presentation and integrity of the Company’s financial statements; accounting and financial reporting principles; establishing and maintaining disclosure controls and procedures; establishing and maintaining internal control over financial reporting;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The independent registered public accounting firm is responsible for performing an independent audit of the consolidated financial statements and expressing an opinion on the conformity of those financial statements with accounting principles generally accepted in the United States of America, as well as expressing an opinion on the effectiveness of internal control over financial reporting.</w:t>
      </w:r>
    </w:p>
    <w:p>
      <w:pPr>
        <w:spacing w:after="0" w:line="142"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Audit Committee supervises the relationship between the Company and its independent registered public accounting firm, including making decisions about their appointment or removal, reviewing the scope of their audit services, approving non-audit services, approving the lead partner selection, approving the fees for their services, and confirming their independence. The Audit Committee has discussed with KPMG LLP the matters required to be discussed by the applicable requirements of the Public Company Accounting Oversight Board (“PCAOB”) and the SEC. In addition, the Audit Committee has received the written disclosures and the letter from KPMG LLP required by applicable requirements of the PCAOB regarding KPMG LLP’s communications with the Audit Committee concerning independence and has discussed with KPMG LLP the independent registered public accounting firm’s independence. KPMG LLP has served as the Company’s independent registered public accounting firm since 1993.</w:t>
      </w:r>
    </w:p>
    <w:p>
      <w:pPr>
        <w:spacing w:after="0" w:line="154" w:lineRule="exact"/>
        <w:rPr>
          <w:sz w:val="20"/>
          <w:szCs w:val="20"/>
          <w:color w:val="auto"/>
        </w:rPr>
      </w:pPr>
    </w:p>
    <w:p>
      <w:pPr>
        <w:ind w:left="120" w:right="280"/>
        <w:spacing w:after="0" w:line="259" w:lineRule="auto"/>
        <w:rPr>
          <w:sz w:val="20"/>
          <w:szCs w:val="20"/>
          <w:color w:val="auto"/>
        </w:rPr>
      </w:pPr>
      <w:r>
        <w:rPr>
          <w:rFonts w:ascii="Arial" w:cs="Arial" w:eastAsia="Arial" w:hAnsi="Arial"/>
          <w:sz w:val="16"/>
          <w:szCs w:val="16"/>
          <w:color w:val="auto"/>
        </w:rPr>
        <w:t>In addition, the Audit Committee reviewed key initiatives and programs aimed at maintaining and strengthening the effectiveness of the Company’s internal controls over financial reporting and disclosure controls and procedures. As part of this process, the Audit Committee continues to monitor the scope and adequacy of the Company’s internal auditing program, review staffing levels and steps taken to maintain the effectiveness of internal procedures and controls and oversees the implementation of the internal audit plan.</w:t>
      </w:r>
    </w:p>
    <w:p>
      <w:pPr>
        <w:spacing w:after="0" w:line="137"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Based on these reviews and discussions, the Audit Committee recommended to the Board and the Board approved that the audited financial statements be included in Regency’s annual report on Form 10-K for the year ended December 31, 2025.</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Submitted by the Audit Committee of the Board:</w:t>
      </w:r>
    </w:p>
    <w:p>
      <w:pPr>
        <w:sectPr>
          <w:pgSz w:w="11900" w:h="16838" w:orient="portrait"/>
          <w:cols w:equalWidth="0" w:num="1">
            <w:col w:w="11120"/>
          </w:cols>
          <w:pgMar w:left="320" w:top="482" w:right="45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Karin M. Klein, Chair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Peter D. Linneman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Deirdre J. Evens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Thomas W. Furphy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Mark J. Parrell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James H. Simmons, III</w:t>
      </w:r>
    </w:p>
    <w:p>
      <w:pPr>
        <w:spacing w:after="0" w:line="133" w:lineRule="exact"/>
        <w:rPr>
          <w:sz w:val="20"/>
          <w:szCs w:val="20"/>
          <w:color w:val="auto"/>
        </w:rPr>
      </w:pPr>
    </w:p>
    <w:p>
      <w:pPr>
        <w:sectPr>
          <w:pgSz w:w="11900" w:h="16838" w:orient="portrait"/>
          <w:cols w:equalWidth="0" w:num="3">
            <w:col w:w="3500" w:space="720"/>
            <w:col w:w="2960" w:space="720"/>
            <w:col w:w="3220"/>
          </w:cols>
          <w:pgMar w:left="320" w:top="482" w:right="459" w:bottom="1440" w:gutter="0" w:footer="0" w:header="0"/>
          <w:type w:val="continuous"/>
        </w:sectPr>
      </w:pPr>
    </w:p>
    <w:p>
      <w:pPr>
        <w:ind w:left="120"/>
        <w:spacing w:after="0"/>
        <w:rPr>
          <w:sz w:val="20"/>
          <w:szCs w:val="20"/>
          <w:color w:val="auto"/>
        </w:rPr>
      </w:pPr>
      <w:r>
        <w:rPr>
          <w:rFonts w:ascii="Arial" w:cs="Arial" w:eastAsia="Arial" w:hAnsi="Arial"/>
          <w:sz w:val="12"/>
          <w:szCs w:val="12"/>
          <w:b w:val="1"/>
          <w:bCs w:val="1"/>
          <w:color w:val="auto"/>
        </w:rPr>
        <w:t>52</w:t>
      </w:r>
      <w:r>
        <w:rPr>
          <w:rFonts w:ascii="Arial" w:cs="Arial" w:eastAsia="Arial" w:hAnsi="Arial"/>
          <w:sz w:val="12"/>
          <w:szCs w:val="12"/>
          <w:color w:val="auto"/>
        </w:rPr>
        <w:t xml:space="preserve"> </w:t>
      </w:r>
      <w:r>
        <w:rPr>
          <w:rFonts w:ascii="Arial" w:cs="Arial" w:eastAsia="Arial" w:hAnsi="Arial"/>
          <w:sz w:val="16"/>
          <w:szCs w:val="16"/>
          <w:color w:val="6A6E6F"/>
        </w:rPr>
        <w:t>|</w:t>
      </w:r>
      <w:r>
        <w:rPr>
          <w:rFonts w:ascii="Arial" w:cs="Arial" w:eastAsia="Arial" w:hAnsi="Arial"/>
          <w:sz w:val="12"/>
          <w:szCs w:val="12"/>
          <w:color w:val="6A6E6F"/>
        </w:rPr>
        <w:t> REGENCY CENTERS </w:t>
      </w:r>
      <w:r>
        <w:rPr>
          <w:rFonts w:ascii="Arial" w:cs="Arial" w:eastAsia="Arial" w:hAnsi="Arial"/>
          <w:sz w:val="16"/>
          <w:szCs w:val="16"/>
          <w:color w:val="6A6E6F"/>
        </w:rPr>
        <w:t>|</w:t>
      </w:r>
      <w:r>
        <w:rPr>
          <w:rFonts w:ascii="Arial" w:cs="Arial" w:eastAsia="Arial" w:hAnsi="Arial"/>
          <w:sz w:val="12"/>
          <w:szCs w:val="12"/>
          <w:color w:val="6A6E6F"/>
        </w:rPr>
        <w:t> 2026 PROXY STATEMENT</w:t>
      </w:r>
    </w:p>
    <w:p>
      <w:pPr>
        <w:sectPr>
          <w:pgSz w:w="11900" w:h="16838" w:orient="portrait"/>
          <w:cols w:equalWidth="0" w:num="1">
            <w:col w:w="11120"/>
          </w:cols>
          <w:pgMar w:left="320" w:top="482" w:right="4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Proposal Three: Ratification of Appointment of KPMG LLP </w:t>
      </w:r>
      <w:r>
        <w:rPr>
          <w:rFonts w:ascii="Arial" w:cs="Arial" w:eastAsia="Arial" w:hAnsi="Arial"/>
          <w:sz w:val="19"/>
          <w:szCs w:val="19"/>
          <w:b w:val="1"/>
          <w:bCs w:val="1"/>
          <w:color w:val="E56D3D"/>
        </w:rPr>
        <w:t>|</w:t>
      </w:r>
    </w:p>
    <w:p>
      <w:pPr>
        <w:spacing w:after="0" w:line="125" w:lineRule="exact"/>
        <w:rPr>
          <w:sz w:val="20"/>
          <w:szCs w:val="20"/>
          <w:color w:val="auto"/>
        </w:rPr>
      </w:pPr>
    </w:p>
    <w:p>
      <w:pPr>
        <w:ind w:left="120" w:right="760"/>
        <w:spacing w:after="0" w:line="280" w:lineRule="auto"/>
        <w:rPr>
          <w:sz w:val="20"/>
          <w:szCs w:val="20"/>
          <w:color w:val="auto"/>
        </w:rPr>
      </w:pPr>
      <w:r>
        <w:rPr>
          <w:rFonts w:ascii="Times New Roman" w:cs="Times New Roman" w:eastAsia="Times New Roman" w:hAnsi="Times New Roman"/>
          <w:sz w:val="36"/>
          <w:szCs w:val="36"/>
          <w:b w:val="1"/>
          <w:bCs w:val="1"/>
          <w:color w:val="E56D3D"/>
        </w:rPr>
        <w:t>Proposal Three: Ratification of Appointment of KPMG LLP as the Company’s Independent Registered Public Accounting Firm</w:t>
      </w:r>
    </w:p>
    <w:p>
      <w:pPr>
        <w:spacing w:after="0" w:line="77"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Our Board has selected the firm of KPMG LLP to serve as our independent registered public accounting firm for the year ending December 31, 2026. KPMG LLP has served as our auditors since 1993. The Company and KPMG rotate KPMG’s lead audit engagement partner no less frequently than every five years. For this fiscal year ending December 31, 2026, the KPMG lead audit engagement partner for the Company is in his first year in his current role.</w:t>
      </w:r>
    </w:p>
    <w:p>
      <w:pPr>
        <w:spacing w:after="0" w:line="131"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As part of its oversight responsibility, the Audit Committee, at least annually, evaluates our independent registered public accounting firm’s qualifications, performance and independence and reports its conclusions to our Board. This evaluation was considered when deciding whether or not to reappoint KPMG LLP for the year ending December 31, 2026. Our Board believes it is in the best interest of our Company and shareholders to retain KPMG LLP and has unanimously directed that the appointment of the independent registered public accounting firm be submitted for ratification by our shareholders at the Annual Meeting. Representatives of KPMG LLP will be present at the Annual Meeting and will be provided the opportunity to make a statement, if they so desire, and to respond to appropriate questions.</w:t>
      </w:r>
    </w:p>
    <w:p>
      <w:pPr>
        <w:spacing w:after="0" w:line="155"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Shareholder ratification of the selection of KPMG LLP as our independent registered public accounting firm is not required by our articles of incorporation or bylaws. However, our Board is submitting ratification of the appointment of KPMG LLP to a shareholder vote as a matter of good corporate practice. If the shareholders do not ratify the appointment, the Audit Committee will reconsider whether or not to retain KPMG LLP. In such event, the Audit Committee may retain KPMG LLP notwithstanding the fact that the shareholders did not ratify the appointment or select another nationally recognized accounting firm without re-submitting the matter to a shareholder vote. Even if the appointment is ratified, the Audit Committee retains the right in its discretion to select a different nationally recognized accounting firm at any time during the year if it determines that such a change would be in the best interests of our shareholders and us.</w:t>
      </w:r>
    </w:p>
    <w:p>
      <w:pPr>
        <w:spacing w:after="0" w:line="141"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All decisions regarding selection of independent registered public accounting firms and approval of accounting services and fees are made by our Audit Committee in accordance with the provisions of the Sarbanes-Oxley Act of 2002 and the rules and regulations of the SEC. There are no exceptions to the policy of securing pre-approval of the Audit Committee for any service provided by our independent registered public accounting firm.</w:t>
      </w:r>
    </w:p>
    <w:p>
      <w:pPr>
        <w:spacing w:after="0" w:line="131"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The following table provides information relating to the fees billed or expected to be billed to Regency by KPMG LLP for the years ended December 31, 2025 and 2024:</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4880" w:type="dxa"/>
            <w:vAlign w:val="bottom"/>
          </w:tcPr>
          <w:p>
            <w:pPr>
              <w:jc w:val="right"/>
              <w:ind w:right="28"/>
              <w:spacing w:after="0"/>
              <w:rPr>
                <w:sz w:val="20"/>
                <w:szCs w:val="20"/>
                <w:color w:val="auto"/>
              </w:rPr>
            </w:pPr>
            <w:r>
              <w:rPr>
                <w:rFonts w:ascii="Arial" w:cs="Arial" w:eastAsia="Arial" w:hAnsi="Arial"/>
                <w:sz w:val="14"/>
                <w:szCs w:val="14"/>
                <w:b w:val="1"/>
                <w:bCs w:val="1"/>
                <w:color w:val="E56D3D"/>
              </w:rPr>
              <w:t>2025</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E56D3D"/>
              </w:rPr>
              <w:t>2024</w:t>
            </w:r>
          </w:p>
        </w:tc>
      </w:tr>
      <w:tr>
        <w:trPr>
          <w:trHeight w:val="43"/>
        </w:trPr>
        <w:tc>
          <w:tcPr>
            <w:tcW w:w="5280" w:type="dxa"/>
            <w:vAlign w:val="bottom"/>
            <w:tcBorders>
              <w:bottom w:val="single" w:sz="8" w:color="E56D3D"/>
            </w:tcBorders>
          </w:tcPr>
          <w:p>
            <w:pPr>
              <w:spacing w:after="0"/>
              <w:rPr>
                <w:sz w:val="3"/>
                <w:szCs w:val="3"/>
                <w:color w:val="auto"/>
              </w:rPr>
            </w:pPr>
          </w:p>
        </w:tc>
        <w:tc>
          <w:tcPr>
            <w:tcW w:w="4880" w:type="dxa"/>
            <w:vAlign w:val="bottom"/>
            <w:tcBorders>
              <w:bottom w:val="single" w:sz="8" w:color="E56D3D"/>
            </w:tcBorders>
          </w:tcPr>
          <w:p>
            <w:pPr>
              <w:spacing w:after="0"/>
              <w:rPr>
                <w:sz w:val="3"/>
                <w:szCs w:val="3"/>
                <w:color w:val="auto"/>
              </w:rPr>
            </w:pPr>
          </w:p>
        </w:tc>
        <w:tc>
          <w:tcPr>
            <w:tcW w:w="860" w:type="dxa"/>
            <w:vAlign w:val="bottom"/>
            <w:tcBorders>
              <w:bottom w:val="single" w:sz="8" w:color="E56D3D"/>
            </w:tcBorders>
          </w:tcPr>
          <w:p>
            <w:pPr>
              <w:spacing w:after="0"/>
              <w:rPr>
                <w:sz w:val="3"/>
                <w:szCs w:val="3"/>
                <w:color w:val="auto"/>
              </w:rPr>
            </w:pPr>
          </w:p>
        </w:tc>
      </w:tr>
      <w:tr>
        <w:trPr>
          <w:trHeight w:val="277"/>
        </w:trPr>
        <w:tc>
          <w:tcPr>
            <w:tcW w:w="52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Audit fees</w:t>
            </w:r>
            <w:r>
              <w:rPr>
                <w:rFonts w:ascii="Arial" w:cs="Arial" w:eastAsia="Arial" w:hAnsi="Arial"/>
                <w:sz w:val="21"/>
                <w:szCs w:val="21"/>
                <w:color w:val="auto"/>
                <w:vertAlign w:val="superscript"/>
              </w:rPr>
              <w:t>(1)(2)</w:t>
            </w:r>
          </w:p>
        </w:tc>
        <w:tc>
          <w:tcPr>
            <w:tcW w:w="4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$2,380,000</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$2,110,147</w:t>
            </w:r>
          </w:p>
        </w:tc>
      </w:tr>
      <w:tr>
        <w:trPr>
          <w:trHeight w:val="228"/>
        </w:trPr>
        <w:tc>
          <w:tcPr>
            <w:tcW w:w="5280" w:type="dxa"/>
            <w:vAlign w:val="bottom"/>
          </w:tcPr>
          <w:p>
            <w:pPr>
              <w:ind w:left="60"/>
              <w:spacing w:after="0"/>
              <w:rPr>
                <w:sz w:val="20"/>
                <w:szCs w:val="20"/>
                <w:color w:val="auto"/>
              </w:rPr>
            </w:pPr>
            <w:r>
              <w:rPr>
                <w:rFonts w:ascii="Arial" w:cs="Arial" w:eastAsia="Arial" w:hAnsi="Arial"/>
                <w:sz w:val="14"/>
                <w:szCs w:val="14"/>
                <w:color w:val="auto"/>
              </w:rPr>
              <w:t>Audit-related fees</w:t>
            </w:r>
          </w:p>
        </w:tc>
        <w:tc>
          <w:tcPr>
            <w:tcW w:w="4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9"/>
        </w:trPr>
        <w:tc>
          <w:tcPr>
            <w:tcW w:w="5280" w:type="dxa"/>
            <w:vAlign w:val="bottom"/>
            <w:tcBorders>
              <w:bottom w:val="single" w:sz="8" w:color="B2B2B2"/>
            </w:tcBorders>
          </w:tcPr>
          <w:p>
            <w:pPr>
              <w:spacing w:after="0"/>
              <w:rPr>
                <w:sz w:val="4"/>
                <w:szCs w:val="4"/>
                <w:color w:val="auto"/>
              </w:rPr>
            </w:pPr>
          </w:p>
        </w:tc>
        <w:tc>
          <w:tcPr>
            <w:tcW w:w="488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r>
      <w:tr>
        <w:trPr>
          <w:trHeight w:val="277"/>
        </w:trPr>
        <w:tc>
          <w:tcPr>
            <w:tcW w:w="528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Tax fees</w:t>
            </w:r>
            <w:r>
              <w:rPr>
                <w:rFonts w:ascii="Arial" w:cs="Arial" w:eastAsia="Arial" w:hAnsi="Arial"/>
                <w:sz w:val="21"/>
                <w:szCs w:val="21"/>
                <w:color w:val="auto"/>
                <w:vertAlign w:val="superscript"/>
              </w:rPr>
              <w:t>(3)(4)</w:t>
            </w:r>
          </w:p>
        </w:tc>
        <w:tc>
          <w:tcPr>
            <w:tcW w:w="488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$518,130</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$450,290</w:t>
            </w:r>
          </w:p>
        </w:tc>
      </w:tr>
      <w:tr>
        <w:trPr>
          <w:trHeight w:val="228"/>
        </w:trPr>
        <w:tc>
          <w:tcPr>
            <w:tcW w:w="5280" w:type="dxa"/>
            <w:vAlign w:val="bottom"/>
          </w:tcPr>
          <w:p>
            <w:pPr>
              <w:ind w:left="60"/>
              <w:spacing w:after="0"/>
              <w:rPr>
                <w:sz w:val="20"/>
                <w:szCs w:val="20"/>
                <w:color w:val="auto"/>
              </w:rPr>
            </w:pPr>
            <w:r>
              <w:rPr>
                <w:rFonts w:ascii="Arial" w:cs="Arial" w:eastAsia="Arial" w:hAnsi="Arial"/>
                <w:sz w:val="14"/>
                <w:szCs w:val="14"/>
                <w:color w:val="auto"/>
              </w:rPr>
              <w:t>All other fees</w:t>
            </w:r>
          </w:p>
        </w:tc>
        <w:tc>
          <w:tcPr>
            <w:tcW w:w="4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9"/>
        </w:trPr>
        <w:tc>
          <w:tcPr>
            <w:tcW w:w="5280" w:type="dxa"/>
            <w:vAlign w:val="bottom"/>
            <w:tcBorders>
              <w:bottom w:val="single" w:sz="8" w:color="E56D3D"/>
            </w:tcBorders>
          </w:tcPr>
          <w:p>
            <w:pPr>
              <w:spacing w:after="0"/>
              <w:rPr>
                <w:sz w:val="4"/>
                <w:szCs w:val="4"/>
                <w:color w:val="auto"/>
              </w:rPr>
            </w:pPr>
          </w:p>
        </w:tc>
        <w:tc>
          <w:tcPr>
            <w:tcW w:w="4880" w:type="dxa"/>
            <w:vAlign w:val="bottom"/>
            <w:tcBorders>
              <w:bottom w:val="single" w:sz="8" w:color="E56D3D"/>
            </w:tcBorders>
          </w:tcPr>
          <w:p>
            <w:pPr>
              <w:spacing w:after="0"/>
              <w:rPr>
                <w:sz w:val="4"/>
                <w:szCs w:val="4"/>
                <w:color w:val="auto"/>
              </w:rPr>
            </w:pPr>
          </w:p>
        </w:tc>
        <w:tc>
          <w:tcPr>
            <w:tcW w:w="860" w:type="dxa"/>
            <w:vAlign w:val="bottom"/>
            <w:tcBorders>
              <w:bottom w:val="single" w:sz="8" w:color="E56D3D"/>
            </w:tcBorders>
          </w:tcPr>
          <w:p>
            <w:pPr>
              <w:spacing w:after="0"/>
              <w:rPr>
                <w:sz w:val="4"/>
                <w:szCs w:val="4"/>
                <w:color w:val="auto"/>
              </w:rPr>
            </w:pPr>
          </w:p>
        </w:tc>
      </w:tr>
    </w:tbl>
    <w:p>
      <w:pPr>
        <w:spacing w:after="0" w:line="72" w:lineRule="exact"/>
        <w:rPr>
          <w:sz w:val="20"/>
          <w:szCs w:val="20"/>
          <w:color w:val="auto"/>
        </w:rPr>
      </w:pPr>
    </w:p>
    <w:p>
      <w:pPr>
        <w:ind w:left="340" w:hanging="224"/>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Amounts include actual and estimated fees.</w:t>
      </w:r>
    </w:p>
    <w:p>
      <w:pPr>
        <w:spacing w:after="0" w:line="15" w:lineRule="exact"/>
        <w:rPr>
          <w:rFonts w:ascii="Arial" w:cs="Arial" w:eastAsia="Arial" w:hAnsi="Arial"/>
          <w:sz w:val="14"/>
          <w:szCs w:val="14"/>
          <w:color w:val="auto"/>
        </w:rPr>
      </w:pPr>
    </w:p>
    <w:p>
      <w:pPr>
        <w:ind w:left="120" w:right="100" w:hanging="4"/>
        <w:spacing w:after="0" w:line="241" w:lineRule="auto"/>
        <w:tabs>
          <w:tab w:leader="none" w:pos="336" w:val="left"/>
        </w:tabs>
        <w:numPr>
          <w:ilvl w:val="0"/>
          <w:numId w:val="77"/>
        </w:numPr>
        <w:rPr>
          <w:rFonts w:ascii="Arial" w:cs="Arial" w:eastAsia="Arial" w:hAnsi="Arial"/>
          <w:sz w:val="14"/>
          <w:szCs w:val="14"/>
          <w:color w:val="auto"/>
        </w:rPr>
      </w:pPr>
      <w:r>
        <w:rPr>
          <w:rFonts w:ascii="Arial" w:cs="Arial" w:eastAsia="Arial" w:hAnsi="Arial"/>
          <w:sz w:val="14"/>
          <w:szCs w:val="14"/>
          <w:color w:val="auto"/>
        </w:rPr>
        <w:t>Audit fees consists of fees for professional services for the audit of our consolidated financial statements (including Regency Centers Corporation and Regency Centers, L.P.) included in our annual report on Form 10-K and review of our condensed consolidated financial information included in our quarterly filings on Form 10-Q. Audit fees also include fees for all services required to comply with the standards of the Public Company Accounting Oversight Board (United States), fees associated with performing the integrated audit of internal controls over financial reporting (Sarbanes-Oxley Section 404 work), and fees for services associated with comfort letters, reviews of documents filed with the SEC, and consents on SEC registration statements.</w:t>
      </w:r>
    </w:p>
    <w:p>
      <w:pPr>
        <w:spacing w:after="0" w:line="1" w:lineRule="exact"/>
        <w:rPr>
          <w:rFonts w:ascii="Arial" w:cs="Arial" w:eastAsia="Arial" w:hAnsi="Arial"/>
          <w:sz w:val="14"/>
          <w:szCs w:val="14"/>
          <w:color w:val="auto"/>
        </w:rPr>
      </w:pPr>
    </w:p>
    <w:p>
      <w:pPr>
        <w:ind w:left="340" w:hanging="224"/>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Audit Committee discussed these services with KPMG LLP and determined that these services would not impair KPMG LLP’s independence.</w:t>
      </w:r>
    </w:p>
    <w:p>
      <w:pPr>
        <w:spacing w:after="0" w:line="1" w:lineRule="exact"/>
        <w:rPr>
          <w:rFonts w:ascii="Arial" w:cs="Arial" w:eastAsia="Arial" w:hAnsi="Arial"/>
          <w:sz w:val="14"/>
          <w:szCs w:val="14"/>
          <w:color w:val="auto"/>
        </w:rPr>
      </w:pPr>
    </w:p>
    <w:p>
      <w:pPr>
        <w:ind w:left="340" w:hanging="224"/>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fees for tax consultation and tax compliance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5397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539750"/>
                    </a:xfrm>
                    <a:prstGeom prst="rect">
                      <a:avLst/>
                    </a:prstGeom>
                    <a:noFill/>
                  </pic:spPr>
                </pic:pic>
              </a:graphicData>
            </a:graphic>
          </wp:anchor>
        </w:drawing>
      </w:r>
    </w:p>
    <w:p>
      <w:pPr>
        <w:spacing w:after="0" w:line="394" w:lineRule="exact"/>
        <w:rPr>
          <w:sz w:val="20"/>
          <w:szCs w:val="20"/>
          <w:color w:val="auto"/>
        </w:rPr>
      </w:pPr>
    </w:p>
    <w:p>
      <w:pPr>
        <w:jc w:val="center"/>
        <w:ind w:left="420" w:right="140"/>
        <w:spacing w:after="0" w:line="296" w:lineRule="auto"/>
        <w:rPr>
          <w:sz w:val="20"/>
          <w:szCs w:val="20"/>
          <w:color w:val="auto"/>
        </w:rPr>
      </w:pPr>
      <w:r>
        <w:rPr>
          <w:rFonts w:ascii="Arial" w:cs="Arial" w:eastAsia="Arial" w:hAnsi="Arial"/>
          <w:sz w:val="16"/>
          <w:szCs w:val="16"/>
          <w:b w:val="1"/>
          <w:bCs w:val="1"/>
          <w:color w:val="E56D3D"/>
        </w:rPr>
        <w:t>OUR BOARD RECOMMENDS THAT OUR SHAREHOLDERS VOTE “FOR” THE PROPOSAL TO RATIFY THE APPOINTMENT OF KPMG LLP AS OUR INDEPENDENT REGISTERED PUBLIC ACCOUNTING FIRM FOR THE YEAR ENDING DECEMBER 31, 2026.</w:t>
      </w:r>
    </w:p>
    <w:p>
      <w:pPr>
        <w:spacing w:after="0" w:line="351"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53</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Beneficial Ownership</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E56D3D"/>
        </w:rPr>
        <w:t>Beneficial Ownership</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Beneficial Ownership of Principal Shareholders</w:t>
      </w:r>
    </w:p>
    <w:p>
      <w:pPr>
        <w:spacing w:after="0" w:line="72"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The following table shows each person known to Regency to be the beneficial owner of more than 5% of our common stock. Except as otherwise indicated, we believe the shareholders listed exercise sole voting and dispositive power over the shares. The percent of class shown below is based upon shares outstanding as of March 13, 2026.</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4620" w:type="dxa"/>
            <w:vAlign w:val="bottom"/>
          </w:tcPr>
          <w:p>
            <w:pPr>
              <w:ind w:left="3620"/>
              <w:spacing w:after="0"/>
              <w:rPr>
                <w:sz w:val="20"/>
                <w:szCs w:val="20"/>
                <w:color w:val="auto"/>
              </w:rPr>
            </w:pPr>
            <w:r>
              <w:rPr>
                <w:rFonts w:ascii="Arial" w:cs="Arial" w:eastAsia="Arial" w:hAnsi="Arial"/>
                <w:sz w:val="14"/>
                <w:szCs w:val="14"/>
                <w:b w:val="1"/>
                <w:bCs w:val="1"/>
                <w:color w:val="6A6E6F"/>
              </w:rPr>
              <w:t>Number of</w:t>
            </w: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6A6E6F"/>
              </w:rPr>
              <w:t>Percent of</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620" w:type="dxa"/>
            <w:vAlign w:val="bottom"/>
          </w:tcPr>
          <w:p>
            <w:pPr>
              <w:ind w:left="3860"/>
              <w:spacing w:after="0" w:line="149" w:lineRule="exact"/>
              <w:rPr>
                <w:sz w:val="20"/>
                <w:szCs w:val="20"/>
                <w:color w:val="auto"/>
              </w:rPr>
            </w:pPr>
            <w:r>
              <w:rPr>
                <w:rFonts w:ascii="Arial" w:cs="Arial" w:eastAsia="Arial" w:hAnsi="Arial"/>
                <w:sz w:val="14"/>
                <w:szCs w:val="14"/>
                <w:b w:val="1"/>
                <w:bCs w:val="1"/>
                <w:color w:val="6A6E6F"/>
              </w:rPr>
              <w:t>Shares</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40" w:type="dxa"/>
            <w:vAlign w:val="bottom"/>
            <w:tcBorders>
              <w:bottom w:val="single" w:sz="8" w:color="E56D3D"/>
            </w:tcBorders>
          </w:tcPr>
          <w:p>
            <w:pPr>
              <w:ind w:left="60"/>
              <w:spacing w:after="0" w:line="185" w:lineRule="exact"/>
              <w:rPr>
                <w:sz w:val="20"/>
                <w:szCs w:val="20"/>
                <w:color w:val="auto"/>
              </w:rPr>
            </w:pPr>
            <w:r>
              <w:rPr>
                <w:rFonts w:ascii="Arial" w:cs="Arial" w:eastAsia="Arial" w:hAnsi="Arial"/>
                <w:sz w:val="14"/>
                <w:szCs w:val="14"/>
                <w:b w:val="1"/>
                <w:bCs w:val="1"/>
                <w:color w:val="6A6E6F"/>
              </w:rPr>
              <w:t>Name</w:t>
            </w:r>
            <w:r>
              <w:rPr>
                <w:rFonts w:ascii="Arial" w:cs="Arial" w:eastAsia="Arial" w:hAnsi="Arial"/>
                <w:sz w:val="21"/>
                <w:szCs w:val="21"/>
                <w:b w:val="1"/>
                <w:bCs w:val="1"/>
                <w:color w:val="6A6E6F"/>
                <w:vertAlign w:val="superscript"/>
              </w:rPr>
              <w:t>(1)</w:t>
            </w:r>
          </w:p>
        </w:tc>
        <w:tc>
          <w:tcPr>
            <w:tcW w:w="4620" w:type="dxa"/>
            <w:vAlign w:val="bottom"/>
            <w:tcBorders>
              <w:bottom w:val="single" w:sz="8" w:color="E56D3D"/>
            </w:tcBorders>
          </w:tcPr>
          <w:p>
            <w:pPr>
              <w:ind w:left="3860"/>
              <w:spacing w:after="0"/>
              <w:rPr>
                <w:sz w:val="20"/>
                <w:szCs w:val="20"/>
                <w:color w:val="auto"/>
              </w:rPr>
            </w:pPr>
            <w:r>
              <w:rPr>
                <w:rFonts w:ascii="Arial" w:cs="Arial" w:eastAsia="Arial" w:hAnsi="Arial"/>
                <w:sz w:val="14"/>
                <w:szCs w:val="14"/>
                <w:b w:val="1"/>
                <w:bCs w:val="1"/>
                <w:color w:val="6A6E6F"/>
              </w:rPr>
              <w:t>Owned</w:t>
            </w:r>
          </w:p>
        </w:tc>
        <w:tc>
          <w:tcPr>
            <w:tcW w:w="1060" w:type="dxa"/>
            <w:vAlign w:val="bottom"/>
            <w:tcBorders>
              <w:bottom w:val="single" w:sz="8" w:color="E56D3D"/>
            </w:tcBorders>
          </w:tcPr>
          <w:p>
            <w:pPr>
              <w:jc w:val="right"/>
              <w:ind w:right="148"/>
              <w:spacing w:after="0"/>
              <w:rPr>
                <w:sz w:val="20"/>
                <w:szCs w:val="20"/>
                <w:color w:val="auto"/>
              </w:rPr>
            </w:pPr>
            <w:r>
              <w:rPr>
                <w:rFonts w:ascii="Arial" w:cs="Arial" w:eastAsia="Arial" w:hAnsi="Arial"/>
                <w:sz w:val="14"/>
                <w:szCs w:val="14"/>
                <w:b w:val="1"/>
                <w:bCs w:val="1"/>
                <w:color w:val="6A6E6F"/>
              </w:rPr>
              <w:t>Class</w:t>
            </w:r>
          </w:p>
        </w:tc>
        <w:tc>
          <w:tcPr>
            <w:tcW w:w="0" w:type="dxa"/>
            <w:vAlign w:val="bottom"/>
          </w:tcPr>
          <w:p>
            <w:pPr>
              <w:spacing w:after="0"/>
              <w:rPr>
                <w:sz w:val="1"/>
                <w:szCs w:val="1"/>
                <w:color w:val="auto"/>
              </w:rPr>
            </w:pPr>
          </w:p>
        </w:tc>
      </w:tr>
      <w:tr>
        <w:trPr>
          <w:trHeight w:val="200"/>
        </w:trPr>
        <w:tc>
          <w:tcPr>
            <w:tcW w:w="5340" w:type="dxa"/>
            <w:vAlign w:val="bottom"/>
          </w:tcPr>
          <w:p>
            <w:pPr>
              <w:ind w:left="60"/>
              <w:spacing w:after="0"/>
              <w:rPr>
                <w:sz w:val="20"/>
                <w:szCs w:val="20"/>
                <w:color w:val="auto"/>
              </w:rPr>
            </w:pPr>
            <w:r>
              <w:rPr>
                <w:rFonts w:ascii="Arial" w:cs="Arial" w:eastAsia="Arial" w:hAnsi="Arial"/>
                <w:sz w:val="14"/>
                <w:szCs w:val="14"/>
                <w:color w:val="auto"/>
              </w:rPr>
              <w:t>The Vanguard Group, Inc.</w:t>
            </w:r>
          </w:p>
        </w:tc>
        <w:tc>
          <w:tcPr>
            <w:tcW w:w="4620" w:type="dxa"/>
            <w:vAlign w:val="bottom"/>
            <w:vMerge w:val="restart"/>
          </w:tcPr>
          <w:p>
            <w:pPr>
              <w:ind w:left="3620"/>
              <w:spacing w:after="0"/>
              <w:rPr>
                <w:sz w:val="20"/>
                <w:szCs w:val="20"/>
                <w:color w:val="auto"/>
              </w:rPr>
            </w:pPr>
            <w:r>
              <w:rPr>
                <w:rFonts w:ascii="Arial" w:cs="Arial" w:eastAsia="Arial" w:hAnsi="Arial"/>
                <w:sz w:val="14"/>
                <w:szCs w:val="14"/>
                <w:color w:val="auto"/>
              </w:rPr>
              <w:t>28,058,356</w:t>
            </w:r>
            <w:r>
              <w:rPr>
                <w:rFonts w:ascii="Arial" w:cs="Arial" w:eastAsia="Arial" w:hAnsi="Arial"/>
                <w:sz w:val="21"/>
                <w:szCs w:val="21"/>
                <w:color w:val="auto"/>
                <w:vertAlign w:val="superscript"/>
              </w:rPr>
              <w:t>(2)</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60"/>
              <w:spacing w:after="0"/>
              <w:rPr>
                <w:sz w:val="20"/>
                <w:szCs w:val="20"/>
                <w:color w:val="auto"/>
              </w:rPr>
            </w:pPr>
            <w:r>
              <w:rPr>
                <w:rFonts w:ascii="Arial" w:cs="Arial" w:eastAsia="Arial" w:hAnsi="Arial"/>
                <w:sz w:val="14"/>
                <w:szCs w:val="14"/>
                <w:color w:val="auto"/>
              </w:rPr>
              <w:t>100 Vanguard Boulevard</w:t>
            </w:r>
          </w:p>
        </w:tc>
        <w:tc>
          <w:tcPr>
            <w:tcW w:w="4620" w:type="dxa"/>
            <w:vAlign w:val="bottom"/>
            <w:vMerge w:val="continue"/>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15.19% </w:t>
            </w:r>
          </w:p>
        </w:tc>
        <w:tc>
          <w:tcPr>
            <w:tcW w:w="0" w:type="dxa"/>
            <w:vAlign w:val="bottom"/>
          </w:tcPr>
          <w:p>
            <w:pPr>
              <w:spacing w:after="0"/>
              <w:rPr>
                <w:sz w:val="1"/>
                <w:szCs w:val="1"/>
                <w:color w:val="auto"/>
              </w:rPr>
            </w:pPr>
          </w:p>
        </w:tc>
      </w:tr>
      <w:tr>
        <w:trPr>
          <w:trHeight w:val="190"/>
        </w:trPr>
        <w:tc>
          <w:tcPr>
            <w:tcW w:w="5340" w:type="dxa"/>
            <w:vAlign w:val="bottom"/>
          </w:tcPr>
          <w:p>
            <w:pPr>
              <w:ind w:left="60"/>
              <w:spacing w:after="0"/>
              <w:rPr>
                <w:sz w:val="20"/>
                <w:szCs w:val="20"/>
                <w:color w:val="auto"/>
              </w:rPr>
            </w:pPr>
            <w:r>
              <w:rPr>
                <w:rFonts w:ascii="Arial" w:cs="Arial" w:eastAsia="Arial" w:hAnsi="Arial"/>
                <w:sz w:val="14"/>
                <w:szCs w:val="14"/>
                <w:color w:val="auto"/>
              </w:rPr>
              <w:t>Malvern, PA 19355</w:t>
            </w:r>
          </w:p>
        </w:tc>
        <w:tc>
          <w:tcPr>
            <w:tcW w:w="4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340" w:type="dxa"/>
            <w:vAlign w:val="bottom"/>
            <w:tcBorders>
              <w:bottom w:val="single" w:sz="8" w:color="B2B2B2"/>
            </w:tcBorders>
          </w:tcPr>
          <w:p>
            <w:pPr>
              <w:spacing w:after="0" w:line="20" w:lineRule="exact"/>
              <w:rPr>
                <w:sz w:val="1"/>
                <w:szCs w:val="1"/>
                <w:color w:val="auto"/>
              </w:rPr>
            </w:pPr>
          </w:p>
        </w:tc>
        <w:tc>
          <w:tcPr>
            <w:tcW w:w="462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340" w:type="dxa"/>
            <w:vAlign w:val="bottom"/>
          </w:tcPr>
          <w:p>
            <w:pPr>
              <w:ind w:left="60"/>
              <w:spacing w:after="0"/>
              <w:rPr>
                <w:sz w:val="20"/>
                <w:szCs w:val="20"/>
                <w:color w:val="auto"/>
              </w:rPr>
            </w:pPr>
            <w:r>
              <w:rPr>
                <w:rFonts w:ascii="Arial" w:cs="Arial" w:eastAsia="Arial" w:hAnsi="Arial"/>
                <w:sz w:val="14"/>
                <w:szCs w:val="14"/>
                <w:color w:val="auto"/>
              </w:rPr>
              <w:t>BlackRock, Inc.</w:t>
            </w:r>
          </w:p>
        </w:tc>
        <w:tc>
          <w:tcPr>
            <w:tcW w:w="4620" w:type="dxa"/>
            <w:vAlign w:val="bottom"/>
            <w:vMerge w:val="restart"/>
          </w:tcPr>
          <w:p>
            <w:pPr>
              <w:ind w:left="3620"/>
              <w:spacing w:after="0"/>
              <w:rPr>
                <w:sz w:val="20"/>
                <w:szCs w:val="20"/>
                <w:color w:val="auto"/>
              </w:rPr>
            </w:pPr>
            <w:r>
              <w:rPr>
                <w:rFonts w:ascii="Arial" w:cs="Arial" w:eastAsia="Arial" w:hAnsi="Arial"/>
                <w:sz w:val="14"/>
                <w:szCs w:val="14"/>
                <w:color w:val="auto"/>
              </w:rPr>
              <w:t>18,420,218</w:t>
            </w:r>
            <w:r>
              <w:rPr>
                <w:rFonts w:ascii="Arial" w:cs="Arial" w:eastAsia="Arial" w:hAnsi="Arial"/>
                <w:sz w:val="21"/>
                <w:szCs w:val="21"/>
                <w:color w:val="auto"/>
                <w:vertAlign w:val="superscript"/>
              </w:rPr>
              <w:t>(3)</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60"/>
              <w:spacing w:after="0"/>
              <w:rPr>
                <w:sz w:val="20"/>
                <w:szCs w:val="20"/>
                <w:color w:val="auto"/>
              </w:rPr>
            </w:pPr>
            <w:r>
              <w:rPr>
                <w:rFonts w:ascii="Arial" w:cs="Arial" w:eastAsia="Arial" w:hAnsi="Arial"/>
                <w:sz w:val="14"/>
                <w:szCs w:val="14"/>
                <w:color w:val="auto"/>
              </w:rPr>
              <w:t>55 Hudson Yards</w:t>
            </w:r>
          </w:p>
        </w:tc>
        <w:tc>
          <w:tcPr>
            <w:tcW w:w="4620" w:type="dxa"/>
            <w:vAlign w:val="bottom"/>
            <w:vMerge w:val="continue"/>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10.10% </w:t>
            </w:r>
          </w:p>
        </w:tc>
        <w:tc>
          <w:tcPr>
            <w:tcW w:w="0" w:type="dxa"/>
            <w:vAlign w:val="bottom"/>
          </w:tcPr>
          <w:p>
            <w:pPr>
              <w:spacing w:after="0"/>
              <w:rPr>
                <w:sz w:val="1"/>
                <w:szCs w:val="1"/>
                <w:color w:val="auto"/>
              </w:rPr>
            </w:pPr>
          </w:p>
        </w:tc>
      </w:tr>
      <w:tr>
        <w:trPr>
          <w:trHeight w:val="190"/>
        </w:trPr>
        <w:tc>
          <w:tcPr>
            <w:tcW w:w="5340" w:type="dxa"/>
            <w:vAlign w:val="bottom"/>
          </w:tcPr>
          <w:p>
            <w:pPr>
              <w:ind w:left="60"/>
              <w:spacing w:after="0"/>
              <w:rPr>
                <w:sz w:val="20"/>
                <w:szCs w:val="20"/>
                <w:color w:val="auto"/>
              </w:rPr>
            </w:pPr>
            <w:r>
              <w:rPr>
                <w:rFonts w:ascii="Arial" w:cs="Arial" w:eastAsia="Arial" w:hAnsi="Arial"/>
                <w:sz w:val="14"/>
                <w:szCs w:val="14"/>
                <w:color w:val="auto"/>
              </w:rPr>
              <w:t>New York, NY 10001</w:t>
            </w:r>
          </w:p>
        </w:tc>
        <w:tc>
          <w:tcPr>
            <w:tcW w:w="4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340" w:type="dxa"/>
            <w:vAlign w:val="bottom"/>
            <w:tcBorders>
              <w:bottom w:val="single" w:sz="8" w:color="B2B2B2"/>
            </w:tcBorders>
          </w:tcPr>
          <w:p>
            <w:pPr>
              <w:spacing w:after="0" w:line="20" w:lineRule="exact"/>
              <w:rPr>
                <w:sz w:val="1"/>
                <w:szCs w:val="1"/>
                <w:color w:val="auto"/>
              </w:rPr>
            </w:pPr>
          </w:p>
        </w:tc>
        <w:tc>
          <w:tcPr>
            <w:tcW w:w="462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340" w:type="dxa"/>
            <w:vAlign w:val="bottom"/>
          </w:tcPr>
          <w:p>
            <w:pPr>
              <w:ind w:left="60"/>
              <w:spacing w:after="0"/>
              <w:rPr>
                <w:sz w:val="20"/>
                <w:szCs w:val="20"/>
                <w:color w:val="auto"/>
              </w:rPr>
            </w:pPr>
            <w:r>
              <w:rPr>
                <w:rFonts w:ascii="Arial" w:cs="Arial" w:eastAsia="Arial" w:hAnsi="Arial"/>
                <w:sz w:val="14"/>
                <w:szCs w:val="14"/>
                <w:color w:val="auto"/>
              </w:rPr>
              <w:t>Norges Bank</w:t>
            </w:r>
          </w:p>
        </w:tc>
        <w:tc>
          <w:tcPr>
            <w:tcW w:w="4620" w:type="dxa"/>
            <w:vAlign w:val="bottom"/>
            <w:vMerge w:val="restart"/>
          </w:tcPr>
          <w:p>
            <w:pPr>
              <w:ind w:left="3620"/>
              <w:spacing w:after="0"/>
              <w:rPr>
                <w:sz w:val="20"/>
                <w:szCs w:val="20"/>
                <w:color w:val="auto"/>
              </w:rPr>
            </w:pPr>
            <w:r>
              <w:rPr>
                <w:rFonts w:ascii="Arial" w:cs="Arial" w:eastAsia="Arial" w:hAnsi="Arial"/>
                <w:sz w:val="14"/>
                <w:szCs w:val="14"/>
                <w:color w:val="auto"/>
              </w:rPr>
              <w:t>17,018,543</w:t>
            </w:r>
            <w:r>
              <w:rPr>
                <w:rFonts w:ascii="Arial" w:cs="Arial" w:eastAsia="Arial" w:hAnsi="Arial"/>
                <w:sz w:val="21"/>
                <w:szCs w:val="21"/>
                <w:color w:val="auto"/>
                <w:vertAlign w:val="superscript"/>
              </w:rPr>
              <w:t>(4)</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60"/>
              <w:spacing w:after="0"/>
              <w:rPr>
                <w:sz w:val="20"/>
                <w:szCs w:val="20"/>
                <w:color w:val="auto"/>
              </w:rPr>
            </w:pPr>
            <w:r>
              <w:rPr>
                <w:rFonts w:ascii="Arial" w:cs="Arial" w:eastAsia="Arial" w:hAnsi="Arial"/>
                <w:sz w:val="14"/>
                <w:szCs w:val="14"/>
                <w:color w:val="auto"/>
              </w:rPr>
              <w:t>P.O. Box 1179 Sentrum</w:t>
            </w:r>
          </w:p>
        </w:tc>
        <w:tc>
          <w:tcPr>
            <w:tcW w:w="4620" w:type="dxa"/>
            <w:vAlign w:val="bottom"/>
            <w:vMerge w:val="continue"/>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9.21% </w:t>
            </w:r>
          </w:p>
        </w:tc>
        <w:tc>
          <w:tcPr>
            <w:tcW w:w="0" w:type="dxa"/>
            <w:vAlign w:val="bottom"/>
          </w:tcPr>
          <w:p>
            <w:pPr>
              <w:spacing w:after="0"/>
              <w:rPr>
                <w:sz w:val="1"/>
                <w:szCs w:val="1"/>
                <w:color w:val="auto"/>
              </w:rPr>
            </w:pPr>
          </w:p>
        </w:tc>
      </w:tr>
      <w:tr>
        <w:trPr>
          <w:trHeight w:val="190"/>
        </w:trPr>
        <w:tc>
          <w:tcPr>
            <w:tcW w:w="5340" w:type="dxa"/>
            <w:vAlign w:val="bottom"/>
          </w:tcPr>
          <w:p>
            <w:pPr>
              <w:ind w:left="60"/>
              <w:spacing w:after="0"/>
              <w:rPr>
                <w:sz w:val="20"/>
                <w:szCs w:val="20"/>
                <w:color w:val="auto"/>
              </w:rPr>
            </w:pPr>
            <w:r>
              <w:rPr>
                <w:rFonts w:ascii="Arial" w:cs="Arial" w:eastAsia="Arial" w:hAnsi="Arial"/>
                <w:sz w:val="14"/>
                <w:szCs w:val="14"/>
                <w:color w:val="auto"/>
              </w:rPr>
              <w:t>NO 0107 Oslo Norway</w:t>
            </w:r>
          </w:p>
        </w:tc>
        <w:tc>
          <w:tcPr>
            <w:tcW w:w="4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340" w:type="dxa"/>
            <w:vAlign w:val="bottom"/>
            <w:tcBorders>
              <w:bottom w:val="single" w:sz="8" w:color="B2B2B2"/>
            </w:tcBorders>
          </w:tcPr>
          <w:p>
            <w:pPr>
              <w:spacing w:after="0" w:line="20" w:lineRule="exact"/>
              <w:rPr>
                <w:sz w:val="1"/>
                <w:szCs w:val="1"/>
                <w:color w:val="auto"/>
              </w:rPr>
            </w:pPr>
          </w:p>
        </w:tc>
        <w:tc>
          <w:tcPr>
            <w:tcW w:w="462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340" w:type="dxa"/>
            <w:vAlign w:val="bottom"/>
          </w:tcPr>
          <w:p>
            <w:pPr>
              <w:ind w:left="60"/>
              <w:spacing w:after="0"/>
              <w:rPr>
                <w:sz w:val="20"/>
                <w:szCs w:val="20"/>
                <w:color w:val="auto"/>
              </w:rPr>
            </w:pPr>
            <w:r>
              <w:rPr>
                <w:rFonts w:ascii="Arial" w:cs="Arial" w:eastAsia="Arial" w:hAnsi="Arial"/>
                <w:sz w:val="14"/>
                <w:szCs w:val="14"/>
                <w:color w:val="auto"/>
              </w:rPr>
              <w:t>State Street Corporation</w:t>
            </w:r>
          </w:p>
        </w:tc>
        <w:tc>
          <w:tcPr>
            <w:tcW w:w="4620" w:type="dxa"/>
            <w:vAlign w:val="bottom"/>
            <w:vMerge w:val="restart"/>
          </w:tcPr>
          <w:p>
            <w:pPr>
              <w:ind w:left="3620"/>
              <w:spacing w:after="0"/>
              <w:rPr>
                <w:sz w:val="20"/>
                <w:szCs w:val="20"/>
                <w:color w:val="auto"/>
              </w:rPr>
            </w:pPr>
            <w:r>
              <w:rPr>
                <w:rFonts w:ascii="Arial" w:cs="Arial" w:eastAsia="Arial" w:hAnsi="Arial"/>
                <w:sz w:val="14"/>
                <w:szCs w:val="14"/>
                <w:color w:val="auto"/>
              </w:rPr>
              <w:t>12,892,463</w:t>
            </w:r>
            <w:r>
              <w:rPr>
                <w:rFonts w:ascii="Arial" w:cs="Arial" w:eastAsia="Arial" w:hAnsi="Arial"/>
                <w:sz w:val="21"/>
                <w:szCs w:val="21"/>
                <w:color w:val="auto"/>
                <w:vertAlign w:val="superscript"/>
              </w:rPr>
              <w:t>(5)</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60"/>
              <w:spacing w:after="0"/>
              <w:rPr>
                <w:sz w:val="20"/>
                <w:szCs w:val="20"/>
                <w:color w:val="auto"/>
              </w:rPr>
            </w:pPr>
            <w:r>
              <w:rPr>
                <w:rFonts w:ascii="Arial" w:cs="Arial" w:eastAsia="Arial" w:hAnsi="Arial"/>
                <w:sz w:val="14"/>
                <w:szCs w:val="14"/>
                <w:color w:val="auto"/>
              </w:rPr>
              <w:t>One Lincoln Street</w:t>
            </w:r>
          </w:p>
        </w:tc>
        <w:tc>
          <w:tcPr>
            <w:tcW w:w="4620" w:type="dxa"/>
            <w:vAlign w:val="bottom"/>
            <w:vMerge w:val="continue"/>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6.98% </w:t>
            </w:r>
          </w:p>
        </w:tc>
        <w:tc>
          <w:tcPr>
            <w:tcW w:w="0" w:type="dxa"/>
            <w:vAlign w:val="bottom"/>
          </w:tcPr>
          <w:p>
            <w:pPr>
              <w:spacing w:after="0"/>
              <w:rPr>
                <w:sz w:val="1"/>
                <w:szCs w:val="1"/>
                <w:color w:val="auto"/>
              </w:rPr>
            </w:pPr>
          </w:p>
        </w:tc>
      </w:tr>
      <w:tr>
        <w:trPr>
          <w:trHeight w:val="190"/>
        </w:trPr>
        <w:tc>
          <w:tcPr>
            <w:tcW w:w="5340" w:type="dxa"/>
            <w:vAlign w:val="bottom"/>
          </w:tcPr>
          <w:p>
            <w:pPr>
              <w:ind w:left="60"/>
              <w:spacing w:after="0"/>
              <w:rPr>
                <w:sz w:val="20"/>
                <w:szCs w:val="20"/>
                <w:color w:val="auto"/>
              </w:rPr>
            </w:pPr>
            <w:r>
              <w:rPr>
                <w:rFonts w:ascii="Arial" w:cs="Arial" w:eastAsia="Arial" w:hAnsi="Arial"/>
                <w:sz w:val="14"/>
                <w:szCs w:val="14"/>
                <w:color w:val="auto"/>
              </w:rPr>
              <w:t>Boston, MA 02111</w:t>
            </w:r>
          </w:p>
        </w:tc>
        <w:tc>
          <w:tcPr>
            <w:tcW w:w="4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340" w:type="dxa"/>
            <w:vAlign w:val="bottom"/>
            <w:tcBorders>
              <w:bottom w:val="single" w:sz="8" w:color="B2B2B2"/>
            </w:tcBorders>
          </w:tcPr>
          <w:p>
            <w:pPr>
              <w:spacing w:after="0" w:line="20" w:lineRule="exact"/>
              <w:rPr>
                <w:sz w:val="1"/>
                <w:szCs w:val="1"/>
                <w:color w:val="auto"/>
              </w:rPr>
            </w:pPr>
          </w:p>
        </w:tc>
        <w:tc>
          <w:tcPr>
            <w:tcW w:w="462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340" w:type="dxa"/>
            <w:vAlign w:val="bottom"/>
          </w:tcPr>
          <w:p>
            <w:pPr>
              <w:ind w:left="60"/>
              <w:spacing w:after="0"/>
              <w:rPr>
                <w:sz w:val="20"/>
                <w:szCs w:val="20"/>
                <w:color w:val="auto"/>
              </w:rPr>
            </w:pPr>
            <w:r>
              <w:rPr>
                <w:rFonts w:ascii="Arial" w:cs="Arial" w:eastAsia="Arial" w:hAnsi="Arial"/>
                <w:sz w:val="14"/>
                <w:szCs w:val="14"/>
                <w:color w:val="auto"/>
              </w:rPr>
              <w:t>JPMorgan Chase &amp; Co.</w:t>
            </w:r>
          </w:p>
        </w:tc>
        <w:tc>
          <w:tcPr>
            <w:tcW w:w="4620" w:type="dxa"/>
            <w:vAlign w:val="bottom"/>
            <w:vMerge w:val="restart"/>
          </w:tcPr>
          <w:p>
            <w:pPr>
              <w:ind w:left="3620"/>
              <w:spacing w:after="0"/>
              <w:rPr>
                <w:sz w:val="20"/>
                <w:szCs w:val="20"/>
                <w:color w:val="auto"/>
              </w:rPr>
            </w:pPr>
            <w:r>
              <w:rPr>
                <w:rFonts w:ascii="Arial" w:cs="Arial" w:eastAsia="Arial" w:hAnsi="Arial"/>
                <w:sz w:val="14"/>
                <w:szCs w:val="14"/>
                <w:color w:val="auto"/>
              </w:rPr>
              <w:t>10,843,223</w:t>
            </w:r>
            <w:r>
              <w:rPr>
                <w:rFonts w:ascii="Arial" w:cs="Arial" w:eastAsia="Arial" w:hAnsi="Arial"/>
                <w:sz w:val="21"/>
                <w:szCs w:val="21"/>
                <w:color w:val="auto"/>
                <w:vertAlign w:val="superscript"/>
              </w:rPr>
              <w:t>(6)</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60"/>
              <w:spacing w:after="0"/>
              <w:rPr>
                <w:sz w:val="20"/>
                <w:szCs w:val="20"/>
                <w:color w:val="auto"/>
              </w:rPr>
            </w:pPr>
            <w:r>
              <w:rPr>
                <w:rFonts w:ascii="Arial" w:cs="Arial" w:eastAsia="Arial" w:hAnsi="Arial"/>
                <w:sz w:val="14"/>
                <w:szCs w:val="14"/>
                <w:color w:val="auto"/>
              </w:rPr>
              <w:t>383 Madison Avenue</w:t>
            </w:r>
          </w:p>
        </w:tc>
        <w:tc>
          <w:tcPr>
            <w:tcW w:w="4620" w:type="dxa"/>
            <w:vAlign w:val="bottom"/>
            <w:vMerge w:val="continue"/>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color w:val="auto"/>
              </w:rPr>
              <w:t>5.90% </w:t>
            </w:r>
          </w:p>
        </w:tc>
        <w:tc>
          <w:tcPr>
            <w:tcW w:w="0" w:type="dxa"/>
            <w:vAlign w:val="bottom"/>
          </w:tcPr>
          <w:p>
            <w:pPr>
              <w:spacing w:after="0"/>
              <w:rPr>
                <w:sz w:val="1"/>
                <w:szCs w:val="1"/>
                <w:color w:val="auto"/>
              </w:rPr>
            </w:pPr>
          </w:p>
        </w:tc>
      </w:tr>
      <w:tr>
        <w:trPr>
          <w:trHeight w:val="190"/>
        </w:trPr>
        <w:tc>
          <w:tcPr>
            <w:tcW w:w="5340" w:type="dxa"/>
            <w:vAlign w:val="bottom"/>
          </w:tcPr>
          <w:p>
            <w:pPr>
              <w:ind w:left="60"/>
              <w:spacing w:after="0"/>
              <w:rPr>
                <w:sz w:val="20"/>
                <w:szCs w:val="20"/>
                <w:color w:val="auto"/>
              </w:rPr>
            </w:pPr>
            <w:r>
              <w:rPr>
                <w:rFonts w:ascii="Arial" w:cs="Arial" w:eastAsia="Arial" w:hAnsi="Arial"/>
                <w:sz w:val="14"/>
                <w:szCs w:val="14"/>
                <w:color w:val="auto"/>
              </w:rPr>
              <w:t>New York, NY 10179</w:t>
            </w:r>
          </w:p>
        </w:tc>
        <w:tc>
          <w:tcPr>
            <w:tcW w:w="4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340" w:type="dxa"/>
            <w:vAlign w:val="bottom"/>
            <w:tcBorders>
              <w:bottom w:val="single" w:sz="8" w:color="E56D3D"/>
            </w:tcBorders>
          </w:tcPr>
          <w:p>
            <w:pPr>
              <w:spacing w:after="0" w:line="20" w:lineRule="exact"/>
              <w:rPr>
                <w:sz w:val="1"/>
                <w:szCs w:val="1"/>
                <w:color w:val="auto"/>
              </w:rPr>
            </w:pPr>
          </w:p>
        </w:tc>
        <w:tc>
          <w:tcPr>
            <w:tcW w:w="4620" w:type="dxa"/>
            <w:vAlign w:val="bottom"/>
            <w:tcBorders>
              <w:bottom w:val="single" w:sz="8" w:color="E56D3D"/>
            </w:tcBorders>
          </w:tcPr>
          <w:p>
            <w:pPr>
              <w:spacing w:after="0" w:line="20" w:lineRule="exact"/>
              <w:rPr>
                <w:sz w:val="1"/>
                <w:szCs w:val="1"/>
                <w:color w:val="auto"/>
              </w:rPr>
            </w:pPr>
          </w:p>
        </w:tc>
        <w:tc>
          <w:tcPr>
            <w:tcW w:w="1060" w:type="dxa"/>
            <w:vAlign w:val="bottom"/>
            <w:tcBorders>
              <w:bottom w:val="single" w:sz="8" w:color="E56D3D"/>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224"/>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Information presented in this table and related notes has been obtained from reports filed by the beneficial owner with the SEC.</w:t>
      </w:r>
    </w:p>
    <w:p>
      <w:pPr>
        <w:spacing w:after="0" w:line="68" w:lineRule="exact"/>
        <w:rPr>
          <w:rFonts w:ascii="Arial" w:cs="Arial" w:eastAsia="Arial" w:hAnsi="Arial"/>
          <w:sz w:val="14"/>
          <w:szCs w:val="14"/>
          <w:color w:val="auto"/>
        </w:rPr>
      </w:pPr>
    </w:p>
    <w:p>
      <w:pPr>
        <w:ind w:left="120" w:right="120" w:hanging="4"/>
        <w:spacing w:after="0" w:line="263" w:lineRule="auto"/>
        <w:tabs>
          <w:tab w:leader="none" w:pos="336"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Information is as of December 31, 2023 and is based on a report on Schedule 13G filed with the SEC on February 13, 2024 by The Vanguard Group, Inc. According to the information provided in the Schedule 13G, The Vanguard Group, Inc. has shared voting power over 361,904 shares, sole dispositive power over 27,188,510 shares and shared dispositive power over 869,846 shares.</w:t>
      </w:r>
    </w:p>
    <w:p>
      <w:pPr>
        <w:spacing w:after="0" w:line="24" w:lineRule="exact"/>
        <w:rPr>
          <w:rFonts w:ascii="Arial" w:cs="Arial" w:eastAsia="Arial" w:hAnsi="Arial"/>
          <w:sz w:val="14"/>
          <w:szCs w:val="14"/>
          <w:color w:val="auto"/>
        </w:rPr>
      </w:pPr>
    </w:p>
    <w:p>
      <w:pPr>
        <w:ind w:left="120" w:right="460" w:hanging="4"/>
        <w:spacing w:after="0" w:line="285" w:lineRule="auto"/>
        <w:tabs>
          <w:tab w:leader="none" w:pos="336"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Information is as of March 31, 2025 and is based on a report on Schedule 13G filed with the SEC on April 28, 2025 by BlackRock, Inc. According to the information provided in the Schedule 13G, BlackRock, Inc. has sole voting power over 16,532,579 shares and sole dispositive power over 18,420,218 shares.</w:t>
      </w:r>
    </w:p>
    <w:p>
      <w:pPr>
        <w:spacing w:after="0" w:line="22" w:lineRule="exact"/>
        <w:rPr>
          <w:rFonts w:ascii="Arial" w:cs="Arial" w:eastAsia="Arial" w:hAnsi="Arial"/>
          <w:sz w:val="14"/>
          <w:szCs w:val="14"/>
          <w:color w:val="auto"/>
        </w:rPr>
      </w:pPr>
    </w:p>
    <w:p>
      <w:pPr>
        <w:ind w:left="120" w:right="100" w:hanging="4"/>
        <w:spacing w:after="0" w:line="285" w:lineRule="auto"/>
        <w:tabs>
          <w:tab w:leader="none" w:pos="336"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Information is as of December 31, 2023 and is based on a report on Schedule 13G filed with the SEC on February 5, 2024 by Norges Bank. According to the information provided in the Schedule 13G, Norges Bank has sole voting power over 17,018,543 shares and sole dispositive power over 17,018,543 shares.</w:t>
      </w:r>
    </w:p>
    <w:p>
      <w:pPr>
        <w:spacing w:after="0" w:line="9" w:lineRule="exact"/>
        <w:rPr>
          <w:rFonts w:ascii="Arial" w:cs="Arial" w:eastAsia="Arial" w:hAnsi="Arial"/>
          <w:sz w:val="14"/>
          <w:szCs w:val="14"/>
          <w:color w:val="auto"/>
        </w:rPr>
      </w:pPr>
    </w:p>
    <w:p>
      <w:pPr>
        <w:ind w:left="120" w:right="120" w:hanging="4"/>
        <w:spacing w:after="0" w:line="285" w:lineRule="auto"/>
        <w:tabs>
          <w:tab w:leader="none" w:pos="336"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Information is as of December 31, 2023 and is based on a report on Schedule 13G filed with the SEC on January 29, 2024 by State Street Corporation. According to the information provided in the Schedule 13G, State Street Corporation has shared voting power over 8,129,090 shares and shared dispositive power over 12,868,055 shares.</w:t>
      </w:r>
    </w:p>
    <w:p>
      <w:pPr>
        <w:spacing w:after="0" w:line="9" w:lineRule="exact"/>
        <w:rPr>
          <w:rFonts w:ascii="Arial" w:cs="Arial" w:eastAsia="Arial" w:hAnsi="Arial"/>
          <w:sz w:val="14"/>
          <w:szCs w:val="14"/>
          <w:color w:val="auto"/>
        </w:rPr>
      </w:pPr>
    </w:p>
    <w:p>
      <w:pPr>
        <w:ind w:left="120" w:right="160" w:hanging="4"/>
        <w:spacing w:after="0" w:line="285" w:lineRule="auto"/>
        <w:tabs>
          <w:tab w:leader="none" w:pos="336"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Information is as of September 30, 2024 and is based on a report on Schedule 13G filed with the SEC on October 15, 2024 by JPMorgan Chase &amp; Co. According to the information provided in the Schedule 13G, JPMorgan Chase &amp; Co. has sole voting power over 8,709,772 shares and sole dispositive power over 10,536,730 shares.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54</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9400"/>
        <w:spacing w:after="0"/>
        <w:rPr>
          <w:sz w:val="20"/>
          <w:szCs w:val="20"/>
          <w:color w:val="auto"/>
        </w:rPr>
      </w:pPr>
      <w:r>
        <w:rPr>
          <w:rFonts w:ascii="Arial" w:cs="Arial" w:eastAsia="Arial" w:hAnsi="Arial"/>
          <w:sz w:val="16"/>
          <w:szCs w:val="16"/>
          <w:b w:val="1"/>
          <w:bCs w:val="1"/>
          <w:color w:val="auto"/>
        </w:rPr>
        <w:t>Beneficial Ownership </w:t>
      </w:r>
      <w:r>
        <w:rPr>
          <w:rFonts w:ascii="Arial" w:cs="Arial" w:eastAsia="Arial" w:hAnsi="Arial"/>
          <w:sz w:val="19"/>
          <w:szCs w:val="19"/>
          <w:b w:val="1"/>
          <w:bCs w:val="1"/>
          <w:color w:val="E56D3D"/>
        </w:rPr>
        <w: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Beneficial Ownership of Directors and Executive Officers</w:t>
      </w:r>
    </w:p>
    <w:p>
      <w:pPr>
        <w:spacing w:after="0" w:line="112"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The following table shows information relating to the beneficial ownership of our common stock as of March 13, 2026, of each director and nominee, each of the executive officers named in the summary compensation table included in this proxy statement, and all directors, nominees and executive officers as a group. As of March 13, 2026, we had 183,083,369 shares of common stock of Regency Centers Corporation issued and outstanding. Except as otherwise indicated, the shareholders listed exercise sole voting and dispositive power over the shares. No shares have been pledged as security by directors, nominees or executive officers. Unless otherwise indicated, the address of each director, nominee or executive officer is c/o: One Independent Drive, Suite 114, Jacksonville, Florida 32202.</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360" w:type="dxa"/>
            <w:vAlign w:val="bottom"/>
          </w:tcPr>
          <w:p>
            <w:pPr>
              <w:jc w:val="right"/>
              <w:ind w:right="368"/>
              <w:spacing w:after="0"/>
              <w:rPr>
                <w:sz w:val="20"/>
                <w:szCs w:val="20"/>
                <w:color w:val="auto"/>
              </w:rPr>
            </w:pPr>
            <w:r>
              <w:rPr>
                <w:rFonts w:ascii="Arial" w:cs="Arial" w:eastAsia="Arial" w:hAnsi="Arial"/>
                <w:sz w:val="14"/>
                <w:szCs w:val="14"/>
                <w:b w:val="1"/>
                <w:bCs w:val="1"/>
                <w:color w:val="6A6E6F"/>
              </w:rPr>
              <w:t>Number of</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58"/>
        </w:trPr>
        <w:tc>
          <w:tcPr>
            <w:tcW w:w="6300" w:type="dxa"/>
            <w:vAlign w:val="bottom"/>
          </w:tcPr>
          <w:p>
            <w:pPr>
              <w:spacing w:after="0"/>
              <w:rPr>
                <w:sz w:val="13"/>
                <w:szCs w:val="13"/>
                <w:color w:val="auto"/>
              </w:rPr>
            </w:pPr>
          </w:p>
        </w:tc>
        <w:tc>
          <w:tcPr>
            <w:tcW w:w="2360" w:type="dxa"/>
            <w:vAlign w:val="bottom"/>
          </w:tcPr>
          <w:p>
            <w:pPr>
              <w:jc w:val="right"/>
              <w:ind w:right="368"/>
              <w:spacing w:after="0" w:line="158" w:lineRule="exact"/>
              <w:rPr>
                <w:sz w:val="20"/>
                <w:szCs w:val="20"/>
                <w:color w:val="auto"/>
              </w:rPr>
            </w:pPr>
            <w:r>
              <w:rPr>
                <w:rFonts w:ascii="Arial" w:cs="Arial" w:eastAsia="Arial" w:hAnsi="Arial"/>
                <w:sz w:val="14"/>
                <w:szCs w:val="14"/>
                <w:b w:val="1"/>
                <w:bCs w:val="1"/>
                <w:color w:val="6A6E6F"/>
              </w:rPr>
              <w:t>Shares</w:t>
            </w:r>
          </w:p>
        </w:tc>
        <w:tc>
          <w:tcPr>
            <w:tcW w:w="116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6A6E6F"/>
              </w:rPr>
              <w:t>Right to</w:t>
            </w:r>
          </w:p>
        </w:tc>
        <w:tc>
          <w:tcPr>
            <w:tcW w:w="880" w:type="dxa"/>
            <w:vAlign w:val="bottom"/>
          </w:tcPr>
          <w:p>
            <w:pPr>
              <w:jc w:val="right"/>
              <w:spacing w:after="0" w:line="158" w:lineRule="exact"/>
              <w:rPr>
                <w:sz w:val="20"/>
                <w:szCs w:val="20"/>
                <w:color w:val="auto"/>
              </w:rPr>
            </w:pPr>
            <w:r>
              <w:rPr>
                <w:rFonts w:ascii="Arial" w:cs="Arial" w:eastAsia="Arial" w:hAnsi="Arial"/>
                <w:sz w:val="14"/>
                <w:szCs w:val="14"/>
                <w:b w:val="1"/>
                <w:bCs w:val="1"/>
                <w:color w:val="6A6E6F"/>
              </w:rPr>
              <w:t>Percent of</w:t>
            </w:r>
          </w:p>
        </w:tc>
        <w:tc>
          <w:tcPr>
            <w:tcW w:w="320" w:type="dxa"/>
            <w:vAlign w:val="bottom"/>
          </w:tcPr>
          <w:p>
            <w:pPr>
              <w:spacing w:after="0"/>
              <w:rPr>
                <w:sz w:val="13"/>
                <w:szCs w:val="13"/>
                <w:color w:val="auto"/>
              </w:rPr>
            </w:pPr>
          </w:p>
        </w:tc>
      </w:tr>
      <w:tr>
        <w:trPr>
          <w:trHeight w:val="189"/>
        </w:trPr>
        <w:tc>
          <w:tcPr>
            <w:tcW w:w="6300" w:type="dxa"/>
            <w:vAlign w:val="bottom"/>
            <w:tcBorders>
              <w:bottom w:val="single" w:sz="8" w:color="E56D3D"/>
            </w:tcBorders>
          </w:tcPr>
          <w:p>
            <w:pPr>
              <w:ind w:left="60"/>
              <w:spacing w:after="0"/>
              <w:rPr>
                <w:sz w:val="20"/>
                <w:szCs w:val="20"/>
                <w:color w:val="auto"/>
              </w:rPr>
            </w:pPr>
            <w:r>
              <w:rPr>
                <w:rFonts w:ascii="Arial" w:cs="Arial" w:eastAsia="Arial" w:hAnsi="Arial"/>
                <w:sz w:val="14"/>
                <w:szCs w:val="14"/>
                <w:b w:val="1"/>
                <w:bCs w:val="1"/>
                <w:color w:val="6A6E6F"/>
              </w:rPr>
              <w:t>Name</w:t>
            </w:r>
          </w:p>
        </w:tc>
        <w:tc>
          <w:tcPr>
            <w:tcW w:w="2360" w:type="dxa"/>
            <w:vAlign w:val="bottom"/>
            <w:tcBorders>
              <w:bottom w:val="single" w:sz="8" w:color="E56D3D"/>
            </w:tcBorders>
          </w:tcPr>
          <w:p>
            <w:pPr>
              <w:jc w:val="right"/>
              <w:ind w:right="368"/>
              <w:spacing w:after="0" w:line="189" w:lineRule="exact"/>
              <w:rPr>
                <w:sz w:val="20"/>
                <w:szCs w:val="20"/>
                <w:color w:val="auto"/>
              </w:rPr>
            </w:pPr>
            <w:r>
              <w:rPr>
                <w:rFonts w:ascii="Arial" w:cs="Arial" w:eastAsia="Arial" w:hAnsi="Arial"/>
                <w:sz w:val="14"/>
                <w:szCs w:val="14"/>
                <w:b w:val="1"/>
                <w:bCs w:val="1"/>
                <w:color w:val="6A6E6F"/>
              </w:rPr>
              <w:t>Owned</w:t>
            </w:r>
            <w:r>
              <w:rPr>
                <w:rFonts w:ascii="Arial" w:cs="Arial" w:eastAsia="Arial" w:hAnsi="Arial"/>
                <w:sz w:val="21"/>
                <w:szCs w:val="21"/>
                <w:b w:val="1"/>
                <w:bCs w:val="1"/>
                <w:color w:val="6A6E6F"/>
                <w:vertAlign w:val="superscript"/>
              </w:rPr>
              <w:t>(1)</w:t>
            </w:r>
          </w:p>
        </w:tc>
        <w:tc>
          <w:tcPr>
            <w:tcW w:w="1160" w:type="dxa"/>
            <w:vAlign w:val="bottom"/>
            <w:tcBorders>
              <w:bottom w:val="single" w:sz="8" w:color="E56D3D"/>
            </w:tcBorders>
          </w:tcPr>
          <w:p>
            <w:pPr>
              <w:jc w:val="right"/>
              <w:ind w:right="108"/>
              <w:spacing w:after="0" w:line="189" w:lineRule="exact"/>
              <w:rPr>
                <w:sz w:val="20"/>
                <w:szCs w:val="20"/>
                <w:color w:val="auto"/>
              </w:rPr>
            </w:pPr>
            <w:r>
              <w:rPr>
                <w:rFonts w:ascii="Arial" w:cs="Arial" w:eastAsia="Arial" w:hAnsi="Arial"/>
                <w:sz w:val="14"/>
                <w:szCs w:val="14"/>
                <w:b w:val="1"/>
                <w:bCs w:val="1"/>
                <w:color w:val="6A6E6F"/>
              </w:rPr>
              <w:t>Acquire</w:t>
            </w:r>
            <w:r>
              <w:rPr>
                <w:rFonts w:ascii="Arial" w:cs="Arial" w:eastAsia="Arial" w:hAnsi="Arial"/>
                <w:sz w:val="21"/>
                <w:szCs w:val="21"/>
                <w:b w:val="1"/>
                <w:bCs w:val="1"/>
                <w:color w:val="6A6E6F"/>
                <w:vertAlign w:val="superscript"/>
              </w:rPr>
              <w:t>(2)</w:t>
            </w:r>
          </w:p>
        </w:tc>
        <w:tc>
          <w:tcPr>
            <w:tcW w:w="880" w:type="dxa"/>
            <w:vAlign w:val="bottom"/>
            <w:tcBorders>
              <w:bottom w:val="single" w:sz="8" w:color="E56D3D"/>
            </w:tcBorders>
          </w:tcPr>
          <w:p>
            <w:pPr>
              <w:jc w:val="right"/>
              <w:spacing w:after="0"/>
              <w:rPr>
                <w:sz w:val="20"/>
                <w:szCs w:val="20"/>
                <w:color w:val="auto"/>
              </w:rPr>
            </w:pPr>
            <w:r>
              <w:rPr>
                <w:rFonts w:ascii="Arial" w:cs="Arial" w:eastAsia="Arial" w:hAnsi="Arial"/>
                <w:sz w:val="14"/>
                <w:szCs w:val="14"/>
                <w:b w:val="1"/>
                <w:bCs w:val="1"/>
                <w:color w:val="6A6E6F"/>
              </w:rPr>
              <w:t>Class</w:t>
            </w:r>
          </w:p>
        </w:tc>
        <w:tc>
          <w:tcPr>
            <w:tcW w:w="320" w:type="dxa"/>
            <w:vAlign w:val="bottom"/>
            <w:tcBorders>
              <w:bottom w:val="single" w:sz="8" w:color="E56D3D"/>
            </w:tcBorders>
          </w:tcPr>
          <w:p>
            <w:pPr>
              <w:spacing w:after="0"/>
              <w:rPr>
                <w:sz w:val="16"/>
                <w:szCs w:val="16"/>
                <w:color w:val="auto"/>
              </w:rPr>
            </w:pPr>
          </w:p>
        </w:tc>
      </w:tr>
      <w:tr>
        <w:trPr>
          <w:trHeight w:val="277"/>
        </w:trPr>
        <w:tc>
          <w:tcPr>
            <w:tcW w:w="63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Martin E. Stein, Jr.</w:t>
            </w:r>
          </w:p>
        </w:tc>
        <w:tc>
          <w:tcPr>
            <w:tcW w:w="2360" w:type="dxa"/>
            <w:vAlign w:val="bottom"/>
            <w:tcBorders>
              <w:bottom w:val="single" w:sz="8" w:color="B2B2B2"/>
            </w:tcBorders>
          </w:tcPr>
          <w:p>
            <w:pPr>
              <w:jc w:val="right"/>
              <w:ind w:right="248"/>
              <w:spacing w:after="0"/>
              <w:rPr>
                <w:sz w:val="20"/>
                <w:szCs w:val="20"/>
                <w:color w:val="auto"/>
              </w:rPr>
            </w:pPr>
            <w:r>
              <w:rPr>
                <w:rFonts w:ascii="Arial" w:cs="Arial" w:eastAsia="Arial" w:hAnsi="Arial"/>
                <w:sz w:val="14"/>
                <w:szCs w:val="14"/>
                <w:color w:val="auto"/>
              </w:rPr>
              <w:t>595,295</w:t>
            </w:r>
            <w:r>
              <w:rPr>
                <w:rFonts w:ascii="Arial" w:cs="Arial" w:eastAsia="Arial" w:hAnsi="Arial"/>
                <w:sz w:val="21"/>
                <w:szCs w:val="21"/>
                <w:color w:val="auto"/>
                <w:vertAlign w:val="superscript"/>
              </w:rPr>
              <w:t>(3)</w:t>
            </w:r>
          </w:p>
        </w:tc>
        <w:tc>
          <w:tcPr>
            <w:tcW w:w="116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2B2B2"/>
            </w:tcBorders>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Borders>
              <w:bottom w:val="single" w:sz="8" w:color="B2B2B2"/>
            </w:tcBorders>
          </w:tcPr>
          <w:p>
            <w:pPr>
              <w:jc w:val="right"/>
              <w:ind w:right="188"/>
              <w:spacing w:after="0"/>
              <w:rPr>
                <w:sz w:val="20"/>
                <w:szCs w:val="20"/>
                <w:color w:val="auto"/>
              </w:rPr>
            </w:pPr>
            <w:r>
              <w:rPr>
                <w:rFonts w:ascii="Arial" w:cs="Arial" w:eastAsia="Arial" w:hAnsi="Arial"/>
                <w:sz w:val="14"/>
                <w:szCs w:val="14"/>
                <w:color w:val="auto"/>
                <w:w w:val="72"/>
              </w:rPr>
              <w:t>*</w:t>
            </w: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Gary E. Anderson</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1,421</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1,736</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9"/>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Bryce Blair</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31,196</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1,736</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8"/>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C. Ronald Blankenship</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112,351</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1,875</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9"/>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Kristin A. Campbell</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4,990</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1,736</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8"/>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Deirdre J. Evens</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20,732</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1,736</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8"/>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Thomas W. Furphy</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12,509</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1,736</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9"/>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Karin M. Klein</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23,198</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1,736</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8"/>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Peter D. Linneman</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53,600</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1,736</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8"/>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Lisa Palmer</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157,942</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9"/>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Mark J. Parrell</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8"/>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James H. Simmons, III</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6,242</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1,736</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9"/>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Michael J. Mas</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54,849</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9"/>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Alan T. Roth</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25,519</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9"/>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Nicholas A. Wibbenmeyer</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40,995</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 </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72"/>
              </w:rPr>
              <w:t>*</w:t>
            </w:r>
          </w:p>
        </w:tc>
      </w:tr>
      <w:tr>
        <w:trPr>
          <w:trHeight w:val="48"/>
        </w:trPr>
        <w:tc>
          <w:tcPr>
            <w:tcW w:w="6300" w:type="dxa"/>
            <w:vAlign w:val="bottom"/>
            <w:tcBorders>
              <w:bottom w:val="single" w:sz="8" w:color="B2B2B2"/>
            </w:tcBorders>
          </w:tcPr>
          <w:p>
            <w:pPr>
              <w:spacing w:after="0"/>
              <w:rPr>
                <w:sz w:val="4"/>
                <w:szCs w:val="4"/>
                <w:color w:val="auto"/>
              </w:rPr>
            </w:pPr>
          </w:p>
        </w:tc>
        <w:tc>
          <w:tcPr>
            <w:tcW w:w="2360" w:type="dxa"/>
            <w:vAlign w:val="bottom"/>
            <w:tcBorders>
              <w:bottom w:val="single" w:sz="8" w:color="B2B2B2"/>
            </w:tcBorders>
          </w:tcPr>
          <w:p>
            <w:pPr>
              <w:spacing w:after="0"/>
              <w:rPr>
                <w:sz w:val="4"/>
                <w:szCs w:val="4"/>
                <w:color w:val="auto"/>
              </w:rPr>
            </w:pPr>
          </w:p>
        </w:tc>
        <w:tc>
          <w:tcPr>
            <w:tcW w:w="1160" w:type="dxa"/>
            <w:vAlign w:val="bottom"/>
            <w:tcBorders>
              <w:bottom w:val="single" w:sz="8" w:color="B2B2B2"/>
            </w:tcBorders>
          </w:tcPr>
          <w:p>
            <w:pPr>
              <w:spacing w:after="0"/>
              <w:rPr>
                <w:sz w:val="4"/>
                <w:szCs w:val="4"/>
                <w:color w:val="auto"/>
              </w:rPr>
            </w:pPr>
          </w:p>
        </w:tc>
        <w:tc>
          <w:tcPr>
            <w:tcW w:w="1200" w:type="dxa"/>
            <w:vAlign w:val="bottom"/>
            <w:tcBorders>
              <w:bottom w:val="single" w:sz="8" w:color="B2B2B2"/>
            </w:tcBorders>
            <w:gridSpan w:val="2"/>
          </w:tcPr>
          <w:p>
            <w:pPr>
              <w:spacing w:after="0"/>
              <w:rPr>
                <w:sz w:val="4"/>
                <w:szCs w:val="4"/>
                <w:color w:val="auto"/>
              </w:rPr>
            </w:pPr>
          </w:p>
        </w:tc>
      </w:tr>
      <w:tr>
        <w:trPr>
          <w:trHeight w:val="228"/>
        </w:trPr>
        <w:tc>
          <w:tcPr>
            <w:tcW w:w="6300" w:type="dxa"/>
            <w:vAlign w:val="bottom"/>
          </w:tcPr>
          <w:p>
            <w:pPr>
              <w:ind w:left="60"/>
              <w:spacing w:after="0"/>
              <w:rPr>
                <w:sz w:val="20"/>
                <w:szCs w:val="20"/>
                <w:color w:val="auto"/>
              </w:rPr>
            </w:pPr>
            <w:r>
              <w:rPr>
                <w:rFonts w:ascii="Arial" w:cs="Arial" w:eastAsia="Arial" w:hAnsi="Arial"/>
                <w:sz w:val="14"/>
                <w:szCs w:val="14"/>
                <w:color w:val="auto"/>
              </w:rPr>
              <w:t>All directors, nominees and executive officers as a group (a total of 15 persons)</w:t>
            </w:r>
          </w:p>
        </w:tc>
        <w:tc>
          <w:tcPr>
            <w:tcW w:w="2360" w:type="dxa"/>
            <w:vAlign w:val="bottom"/>
          </w:tcPr>
          <w:p>
            <w:pPr>
              <w:jc w:val="right"/>
              <w:ind w:right="368"/>
              <w:spacing w:after="0"/>
              <w:rPr>
                <w:sz w:val="20"/>
                <w:szCs w:val="20"/>
                <w:color w:val="auto"/>
              </w:rPr>
            </w:pPr>
            <w:r>
              <w:rPr>
                <w:rFonts w:ascii="Arial" w:cs="Arial" w:eastAsia="Arial" w:hAnsi="Arial"/>
                <w:sz w:val="14"/>
                <w:szCs w:val="14"/>
                <w:color w:val="auto"/>
              </w:rPr>
              <w:t>1,140,839</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15,763</w:t>
            </w: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1.0%</w:t>
            </w:r>
          </w:p>
        </w:tc>
      </w:tr>
      <w:tr>
        <w:trPr>
          <w:trHeight w:val="49"/>
        </w:trPr>
        <w:tc>
          <w:tcPr>
            <w:tcW w:w="6300" w:type="dxa"/>
            <w:vAlign w:val="bottom"/>
            <w:tcBorders>
              <w:bottom w:val="single" w:sz="8" w:color="E56D3D"/>
            </w:tcBorders>
          </w:tcPr>
          <w:p>
            <w:pPr>
              <w:spacing w:after="0"/>
              <w:rPr>
                <w:sz w:val="4"/>
                <w:szCs w:val="4"/>
                <w:color w:val="auto"/>
              </w:rPr>
            </w:pPr>
          </w:p>
        </w:tc>
        <w:tc>
          <w:tcPr>
            <w:tcW w:w="2360" w:type="dxa"/>
            <w:vAlign w:val="bottom"/>
            <w:tcBorders>
              <w:bottom w:val="single" w:sz="8" w:color="E56D3D"/>
            </w:tcBorders>
          </w:tcPr>
          <w:p>
            <w:pPr>
              <w:spacing w:after="0"/>
              <w:rPr>
                <w:sz w:val="4"/>
                <w:szCs w:val="4"/>
                <w:color w:val="auto"/>
              </w:rPr>
            </w:pPr>
          </w:p>
        </w:tc>
        <w:tc>
          <w:tcPr>
            <w:tcW w:w="1160" w:type="dxa"/>
            <w:vAlign w:val="bottom"/>
            <w:tcBorders>
              <w:bottom w:val="single" w:sz="8" w:color="E56D3D"/>
            </w:tcBorders>
          </w:tcPr>
          <w:p>
            <w:pPr>
              <w:spacing w:after="0"/>
              <w:rPr>
                <w:sz w:val="4"/>
                <w:szCs w:val="4"/>
                <w:color w:val="auto"/>
              </w:rPr>
            </w:pPr>
          </w:p>
        </w:tc>
        <w:tc>
          <w:tcPr>
            <w:tcW w:w="880" w:type="dxa"/>
            <w:vAlign w:val="bottom"/>
            <w:tcBorders>
              <w:bottom w:val="single" w:sz="8" w:color="E56D3D"/>
            </w:tcBorders>
          </w:tcPr>
          <w:p>
            <w:pPr>
              <w:spacing w:after="0"/>
              <w:rPr>
                <w:sz w:val="4"/>
                <w:szCs w:val="4"/>
                <w:color w:val="auto"/>
              </w:rPr>
            </w:pPr>
          </w:p>
        </w:tc>
        <w:tc>
          <w:tcPr>
            <w:tcW w:w="320" w:type="dxa"/>
            <w:vAlign w:val="bottom"/>
            <w:tcBorders>
              <w:bottom w:val="single" w:sz="8" w:color="E56D3D"/>
            </w:tcBorders>
          </w:tcPr>
          <w:p>
            <w:pPr>
              <w:spacing w:after="0"/>
              <w:rPr>
                <w:sz w:val="4"/>
                <w:szCs w:val="4"/>
                <w:color w:val="auto"/>
              </w:rPr>
            </w:pPr>
          </w:p>
        </w:tc>
      </w:tr>
      <w:tr>
        <w:trPr>
          <w:trHeight w:val="242"/>
        </w:trPr>
        <w:tc>
          <w:tcPr>
            <w:tcW w:w="6300" w:type="dxa"/>
            <w:vAlign w:val="bottom"/>
          </w:tcPr>
          <w:p>
            <w:pPr>
              <w:spacing w:after="0"/>
              <w:rPr>
                <w:sz w:val="20"/>
                <w:szCs w:val="20"/>
                <w:color w:val="auto"/>
              </w:rPr>
            </w:pPr>
            <w:r>
              <w:rPr>
                <w:rFonts w:ascii="Arial" w:cs="Arial" w:eastAsia="Arial" w:hAnsi="Arial"/>
                <w:sz w:val="14"/>
                <w:szCs w:val="14"/>
                <w:color w:val="auto"/>
              </w:rPr>
              <w:t>* Less than one percent</w:t>
            </w:r>
          </w:p>
        </w:tc>
        <w:tc>
          <w:tcPr>
            <w:tcW w:w="2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80" w:lineRule="exact"/>
        <w:rPr>
          <w:sz w:val="20"/>
          <w:szCs w:val="20"/>
          <w:color w:val="auto"/>
        </w:rPr>
      </w:pPr>
    </w:p>
    <w:p>
      <w:pPr>
        <w:ind w:left="340" w:hanging="224"/>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Excludes shares that may be acquired by directors or executive officers through the future vesting of restricted stock or stock rights awards or stock option exercises.</w:t>
      </w:r>
    </w:p>
    <w:p>
      <w:pPr>
        <w:spacing w:after="0" w:line="109" w:lineRule="exact"/>
        <w:rPr>
          <w:rFonts w:ascii="Arial" w:cs="Arial" w:eastAsia="Arial" w:hAnsi="Arial"/>
          <w:sz w:val="14"/>
          <w:szCs w:val="14"/>
          <w:color w:val="auto"/>
        </w:rPr>
      </w:pPr>
    </w:p>
    <w:p>
      <w:pPr>
        <w:ind w:left="340" w:hanging="224"/>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Shares that may be acquired through the vesting of restricted stock or stock rights awards or stock option exercises within 60 days as of March 13, 2026.</w:t>
      </w:r>
    </w:p>
    <w:p>
      <w:pPr>
        <w:spacing w:after="0" w:line="109" w:lineRule="exact"/>
        <w:rPr>
          <w:rFonts w:ascii="Arial" w:cs="Arial" w:eastAsia="Arial" w:hAnsi="Arial"/>
          <w:sz w:val="14"/>
          <w:szCs w:val="14"/>
          <w:color w:val="auto"/>
        </w:rPr>
      </w:pPr>
    </w:p>
    <w:p>
      <w:pPr>
        <w:ind w:left="120" w:right="160" w:hanging="4"/>
        <w:spacing w:after="0" w:line="262" w:lineRule="auto"/>
        <w:tabs>
          <w:tab w:leader="none" w:pos="336"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185,382 shares held in Regency’s non-qualified deferred compensation plan and 215 shares held in Regency’s Dividend Reinvestment Plan. Also includes the following shares over which Mr. Stein is deemed to have either individual or shared voting and/or investment power:</w:t>
      </w:r>
    </w:p>
    <w:p>
      <w:pPr>
        <w:ind w:left="540" w:right="1960"/>
        <w:spacing w:after="0" w:line="373" w:lineRule="auto"/>
        <w:rPr>
          <w:rFonts w:ascii="Arial" w:cs="Arial" w:eastAsia="Arial" w:hAnsi="Arial"/>
          <w:sz w:val="14"/>
          <w:szCs w:val="14"/>
          <w:color w:val="auto"/>
        </w:rPr>
      </w:pPr>
      <w:r>
        <w:rPr>
          <w:rFonts w:ascii="Arial" w:cs="Arial" w:eastAsia="Arial" w:hAnsi="Arial"/>
          <w:sz w:val="13"/>
          <w:szCs w:val="13"/>
          <w:color w:val="auto"/>
        </w:rPr>
        <w:t>110,263 shares held by The Regency Group, Inc. All of the outstanding stock of The Regency Group, Inc. is owned by Mr. Stein and members of his family. 157,892 shares held by The Regency Group II, which is organized as a general partnership. Mr. Stein is a general partner of the partnership.</w:t>
      </w:r>
    </w:p>
    <w:p>
      <w:pPr>
        <w:spacing w:after="0" w:line="63"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3"/>
          <w:szCs w:val="13"/>
          <w:color w:val="auto"/>
        </w:rPr>
        <w:t>4,000 shares held by the Wellhouse Trust. Mr. Stein is a trustee and a beneficiary of the trust.</w:t>
      </w:r>
    </w:p>
    <w:p>
      <w:pPr>
        <w:spacing w:after="0" w:line="66"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3"/>
          <w:szCs w:val="13"/>
          <w:color w:val="auto"/>
        </w:rPr>
        <w:t>6,460 shares held by the Joan Wellhouse Irrevocable Trust, of which Mr. Stein is a co-trustee and a beneficiary of the trust.</w:t>
      </w:r>
    </w:p>
    <w:p>
      <w:pPr>
        <w:spacing w:after="0" w:line="202"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55</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Shareholder Proposals and Communications with the Board of Directors</w:t>
      </w:r>
    </w:p>
    <w:p>
      <w:pPr>
        <w:spacing w:after="0" w:line="113" w:lineRule="exact"/>
        <w:rPr>
          <w:sz w:val="20"/>
          <w:szCs w:val="20"/>
          <w:color w:val="auto"/>
        </w:rPr>
      </w:pPr>
    </w:p>
    <w:p>
      <w:pPr>
        <w:ind w:left="120" w:right="1360"/>
        <w:spacing w:after="0" w:line="280" w:lineRule="auto"/>
        <w:rPr>
          <w:sz w:val="20"/>
          <w:szCs w:val="20"/>
          <w:color w:val="auto"/>
        </w:rPr>
      </w:pPr>
      <w:r>
        <w:rPr>
          <w:rFonts w:ascii="Times New Roman" w:cs="Times New Roman" w:eastAsia="Times New Roman" w:hAnsi="Times New Roman"/>
          <w:sz w:val="36"/>
          <w:szCs w:val="36"/>
          <w:b w:val="1"/>
          <w:bCs w:val="1"/>
          <w:color w:val="E56D3D"/>
        </w:rPr>
        <w:t>Shareholder Proposals and Communications with the Board of Directors</w:t>
      </w:r>
    </w:p>
    <w:p>
      <w:pPr>
        <w:spacing w:after="0" w:line="77"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There are no shareholder proposals for consideration at our 2026 Annual Meeting of Shareholders. Shareholders who may wish to submit proposals, including director nominations, for consideration at our next annual meeting of shareholders expected to be held in May of 2027, may do so as follows: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Shareholder Proposals</w:t>
      </w:r>
    </w:p>
    <w:p>
      <w:pPr>
        <w:spacing w:after="0" w:line="85" w:lineRule="exact"/>
        <w:rPr>
          <w:sz w:val="20"/>
          <w:szCs w:val="20"/>
          <w:color w:val="auto"/>
        </w:rPr>
      </w:pPr>
    </w:p>
    <w:p>
      <w:pPr>
        <w:ind w:left="120" w:right="620"/>
        <w:spacing w:after="0" w:line="286" w:lineRule="auto"/>
        <w:rPr>
          <w:sz w:val="20"/>
          <w:szCs w:val="20"/>
          <w:color w:val="auto"/>
        </w:rPr>
      </w:pPr>
      <w:r>
        <w:rPr>
          <w:rFonts w:ascii="Arial" w:cs="Arial" w:eastAsia="Arial" w:hAnsi="Arial"/>
          <w:sz w:val="16"/>
          <w:szCs w:val="16"/>
          <w:color w:val="auto"/>
        </w:rPr>
        <w:t>To submit a shareholder proposal for inclusion in our proxy statement for our 2027 Annual Meeting, a shareholder must submit the proposal in accordance with Rule 14a-8 under the Exchange Act, and such proposal must be received by our Secretary by no later than November 25, 2026.</w:t>
      </w:r>
    </w:p>
    <w:p>
      <w:pPr>
        <w:spacing w:after="0" w:line="156"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To submit a shareholder proposal for our 2027 Annual Meeting (other than a shareholder proposal for inclusion in the proxy statement in accordance with Rule 14a-8 under the Exchange Act), a shareholder must submit the proposal in accordance with our bylaws, and such proposal must be received by our Secretary by no earlier than January 6, 2027 (which is 120 calendar days prior to the anniversary of our 2026 Annual Meeting) and no later than February 5, 2027 (which is 90 calendar days prior to the first anniversary of our 2026 Annual Meeting). Please refer to Section 3.15 of our bylaws for more information regarding submission of a shareholder proposal other than pursuant to Rule 14a-8 under the Exchange Act.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Proposals must be sent to our Secretary at our office at: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One Independent Drive, Suite 114, Jacksonville, Florida 32202.</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Shareholder Recommendations for Potential Director Nominees</w:t>
      </w:r>
    </w:p>
    <w:p>
      <w:pPr>
        <w:spacing w:after="0" w:line="7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Shareholders who wish to nominate a candidate for election to our Board at our 2026 Annual Meeting must submit notice of such nominations in accordance with our bylaws, and such nominations must be received by our Secretary by no earlier than January 6, 2027 and no later than February 5, 2027. The mailing envelope should contain a clear notation indicating that the enclosed letter is a “Shareholder Nomination for Director.” Please refer to Section 3.15 of our bylaws for detailed information regarding director candidate nominations, including specific requirements with respect to submissions.</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In addition, if a shareholder wishes to nominate a candidate for election to our Board at our 2027 Annual Meeting and elects to have such candidate included in our proxy statement for our 2027 Annual Meeting pursuant to our proxy access bylaw, such nomination must comply with the notice, disclosure, eligibility and other requirements described in Section 3.18 of our bylaws and such nominations must be received by our Secretary by no later than November 25, 2026. In addition to satisfying the foregoing requirements under our bylaws, to comply with the universal proxy rules, stockholders who intend to solicit proxies in support of director nominees other than nominees by our Board must provide notice that sets forth the information required by Rule 14a-19 under the Exchange Act.</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nominations must be sent to our Secretary at our office at: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One Independent Drive, Suite 114, Jacksonville, Florida 32202.</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Communication with the Board</w:t>
      </w:r>
    </w:p>
    <w:p>
      <w:pPr>
        <w:spacing w:after="0" w:line="72"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Interested parties who wish to communicate with our Board or with a particular director, including our independent Lead Director, may send a letter to the Secretary at our offices at One Independent Drive, Suite 114, Jacksonville, Florida 32202. The mailing envelope should contain a clear notation indicating that the enclosed letter is a “Board Communication” or “Director Communication.” All such letters should identify the author and clearly state whether the intended recipients are all members of the Board or certain specified individual directors. After receipt, communications will generally be forwarded to the Chairman of the Board, the whole Board, the lead independent director or specific directors as the Corporate Secretary deems appropriate based on the content of, and the matters raised in, the communications. Communications that are unrelated to the duties and responsibilities of the Board or are unduly hostile, threatening, potentially illegal or similarly unsuitable will not be forwarded. Responses to letters and any communications that are excluded are maintained by the Company and are available to any director upon request.</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56</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6420"/>
        <w:spacing w:after="0"/>
        <w:rPr>
          <w:sz w:val="20"/>
          <w:szCs w:val="20"/>
          <w:color w:val="auto"/>
        </w:rPr>
      </w:pPr>
      <w:r>
        <w:rPr>
          <w:rFonts w:ascii="Arial" w:cs="Arial" w:eastAsia="Arial" w:hAnsi="Arial"/>
          <w:sz w:val="16"/>
          <w:szCs w:val="16"/>
          <w:b w:val="1"/>
          <w:bCs w:val="1"/>
          <w:color w:val="auto"/>
        </w:rPr>
        <w:t>Frequently Asked Questions Regarding Our Annual Meeting </w:t>
      </w:r>
      <w:r>
        <w:rPr>
          <w:rFonts w:ascii="Arial" w:cs="Arial" w:eastAsia="Arial" w:hAnsi="Arial"/>
          <w:sz w:val="19"/>
          <w:szCs w:val="19"/>
          <w:b w:val="1"/>
          <w:bCs w:val="1"/>
          <w:color w:val="E56D3D"/>
        </w:rPr>
        <w:t>|</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E56D3D"/>
        </w:rPr>
        <w:t>Frequently Asked Questions Regarding Our Annual Meeting</w:t>
      </w:r>
    </w:p>
    <w:p>
      <w:pPr>
        <w:spacing w:after="0" w:line="233" w:lineRule="exact"/>
        <w:rPr>
          <w:sz w:val="20"/>
          <w:szCs w:val="20"/>
          <w:color w:val="auto"/>
        </w:rPr>
      </w:pPr>
    </w:p>
    <w:p>
      <w:pPr>
        <w:ind w:left="400" w:hanging="284"/>
        <w:spacing w:after="0"/>
        <w:tabs>
          <w:tab w:leader="none" w:pos="400" w:val="left"/>
        </w:tabs>
        <w:numPr>
          <w:ilvl w:val="0"/>
          <w:numId w:val="80"/>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What are the procedures for attending and participating in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80"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auto"/>
        </w:rPr>
        <w:t>All shareholders are welcome to attend the Annual Meeting. The 2026 Annual Meeting will be virtual-only, held exclusively online. The platform for the virtual Annual Meeting includes functionality that affords authenticated shareholders comparable meeting participation rights and opportunities they would have at an in-person meeting. Instructions to access and log-in to the virtual Annual Meeting are provided below, and once admitted, shareholders may view reference materials, submit questions and vote their shares by following the instructions that will be available on the virtual meeting website.</w:t>
      </w:r>
    </w:p>
    <w:p>
      <w:pPr>
        <w:spacing w:after="0" w:line="145"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To be admitted to the 2026 Annual Meeting, go to www.virtualshareholdermeeting.com/REG2026 and enter the 16-digit control number on your Notice of Internet Availability of Proxy Materials or proxy card.</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Online access to the Annual Meeting will open at 7:45 AM Eastern Time on Wednesday, May 6, 2026 to allow time for you to log-in prior to the start of the live audio webcast of the Annual Meeting at 8:00 AM Eastern Time. If you are unable to locate your Notice of Internet Availability of Proxy Materials or proxy card containing your 16-digit control number or otherwise to log-in as an authenticated shareholder, you may opt to participate in the Annual Meeting as a “guest,” in which case you will be able to hear the audio webcast but will not be able to utilize the question, voting or other functionality noted above. If you experience technical difficulties accessing or during the meeting, please call the technical support telephone number posted on the virtual meeting website.</w:t>
      </w:r>
    </w:p>
    <w:p>
      <w:pPr>
        <w:spacing w:after="0" w:line="762"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108" w:lineRule="exact"/>
        <w:rPr>
          <w:sz w:val="20"/>
          <w:szCs w:val="20"/>
          <w:color w:val="auto"/>
        </w:rPr>
      </w:pPr>
    </w:p>
    <w:p>
      <w:pPr>
        <w:ind w:left="400" w:hanging="284"/>
        <w:spacing w:after="0"/>
        <w:tabs>
          <w:tab w:leader="none" w:pos="400" w:val="left"/>
        </w:tabs>
        <w:numPr>
          <w:ilvl w:val="0"/>
          <w:numId w:val="81"/>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Why did I receive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66"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Our Board is soliciting proxies for our 2026 Annual Meeting of Shareholders. You are receiving this proxy statement because you owned shares of our common stock on the record date, March 13, 2026, and that entitles you to vote at our Annual Meeting of Shareholders, which will be held exclusively online on May 6, 2026 at 8:00 am, Eastern Time at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www.virtualshareholdermeeting.com/REG2026. By use of a proxy, you can vote whether or not you attend in the Annual Meeting. This proxy statement describes the matters on which we would like you to vote your shares and provides information on those matters so that you can make an informed decision.</w:t>
      </w:r>
    </w:p>
    <w:p>
      <w:pPr>
        <w:spacing w:after="0" w:line="200"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137" w:lineRule="exact"/>
        <w:rPr>
          <w:sz w:val="20"/>
          <w:szCs w:val="20"/>
          <w:color w:val="auto"/>
        </w:rPr>
      </w:pPr>
    </w:p>
    <w:p>
      <w:pPr>
        <w:ind w:left="400" w:hanging="284"/>
        <w:spacing w:after="0"/>
        <w:tabs>
          <w:tab w:leader="none" w:pos="400" w:val="left"/>
        </w:tabs>
        <w:numPr>
          <w:ilvl w:val="0"/>
          <w:numId w:val="82"/>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What information is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80"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The information in this proxy statement relates to the proposals to be voted on at the Annual Meeting, the voting process, our Board, the compensation of</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our directors and executive officers and other information that the SEC requires us to provide annually to our shareholders.</w:t>
      </w:r>
    </w:p>
    <w:p>
      <w:pPr>
        <w:spacing w:after="0" w:line="373" w:lineRule="exact"/>
        <w:rPr>
          <w:sz w:val="20"/>
          <w:szCs w:val="20"/>
          <w:color w:val="auto"/>
        </w:rPr>
      </w:pPr>
    </w:p>
    <w:p>
      <w:pPr>
        <w:sectPr>
          <w:pgSz w:w="11900" w:h="16838" w:orient="portrait"/>
          <w:cols w:equalWidth="0" w:num="2">
            <w:col w:w="5040" w:space="700"/>
            <w:col w:w="5400"/>
          </w:cols>
          <w:pgMar w:left="320" w:top="482" w:right="439" w:bottom="1440" w:gutter="0" w:footer="0" w:header="0"/>
          <w:type w:val="continuous"/>
        </w:sectPr>
      </w:pPr>
    </w:p>
    <w:p>
      <w:pPr>
        <w:spacing w:after="0" w:line="129" w:lineRule="exact"/>
        <w:rPr>
          <w:sz w:val="20"/>
          <w:szCs w:val="20"/>
          <w:color w:val="auto"/>
        </w:rPr>
      </w:pPr>
    </w:p>
    <w:p>
      <w:pPr>
        <w:ind w:left="400" w:hanging="284"/>
        <w:spacing w:after="0"/>
        <w:tabs>
          <w:tab w:leader="none" w:pos="400" w:val="left"/>
        </w:tabs>
        <w:numPr>
          <w:ilvl w:val="0"/>
          <w:numId w:val="83"/>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What is a record date and 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80"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A record date is the date, as of the close of business on which, shareholders of record are entitled to notice of and to vote at a meeting of shareholders. The record date for the 2026 Annual Meeting is March 13, 2026 and was established by our Board as required under the laws of Florida, our state of</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incorporation. Thus, owners of record of shares of Regency Centers Corporation common stock as of the close of business on March 13, 2026 are entitled to receive notice of and to vote at the 2026 Annual Meeting and at any adjournments or postponements thereof.</w:t>
      </w:r>
    </w:p>
    <w:p>
      <w:pPr>
        <w:spacing w:after="0" w:line="387" w:lineRule="exact"/>
        <w:rPr>
          <w:sz w:val="20"/>
          <w:szCs w:val="20"/>
          <w:color w:val="auto"/>
        </w:rPr>
      </w:pPr>
    </w:p>
    <w:p>
      <w:pPr>
        <w:sectPr>
          <w:pgSz w:w="11900" w:h="16838" w:orient="portrait"/>
          <w:cols w:equalWidth="0" w:num="2">
            <w:col w:w="5380" w:space="360"/>
            <w:col w:w="5400"/>
          </w:cols>
          <w:pgMar w:left="320" w:top="482" w:right="439" w:bottom="1440" w:gutter="0" w:footer="0" w:header="0"/>
          <w:type w:val="continuous"/>
        </w:sectPr>
      </w:pPr>
    </w:p>
    <w:p>
      <w:pPr>
        <w:spacing w:after="0" w:line="124" w:lineRule="exact"/>
        <w:rPr>
          <w:sz w:val="20"/>
          <w:szCs w:val="20"/>
          <w:color w:val="auto"/>
        </w:rPr>
      </w:pPr>
    </w:p>
    <w:p>
      <w:pPr>
        <w:ind w:left="400" w:hanging="284"/>
        <w:spacing w:after="0"/>
        <w:tabs>
          <w:tab w:leader="none" w:pos="400" w:val="left"/>
        </w:tabs>
        <w:numPr>
          <w:ilvl w:val="0"/>
          <w:numId w:val="84"/>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8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Each outstanding share of our common stock you owned as of the record date will be entitled to one</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vote for each matter considered at the Annual Meeting. There is no cumulative voting.</w:t>
      </w:r>
    </w:p>
    <w:p>
      <w:pPr>
        <w:spacing w:after="0" w:line="200" w:lineRule="exact"/>
        <w:rPr>
          <w:sz w:val="20"/>
          <w:szCs w:val="20"/>
          <w:color w:val="auto"/>
        </w:rPr>
      </w:pPr>
    </w:p>
    <w:p>
      <w:pPr>
        <w:sectPr>
          <w:pgSz w:w="11900" w:h="16838" w:orient="portrait"/>
          <w:cols w:equalWidth="0" w:num="2">
            <w:col w:w="5360" w:space="380"/>
            <w:col w:w="5400"/>
          </w:cols>
          <w:pgMar w:left="320" w:top="482" w:right="439" w:bottom="1440" w:gutter="0" w:footer="0" w:header="0"/>
          <w:type w:val="continuous"/>
        </w:sectPr>
      </w:pPr>
    </w:p>
    <w:p>
      <w:pPr>
        <w:spacing w:after="0" w:line="32"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57</w:t>
      </w:r>
    </w:p>
    <w:p>
      <w:pPr>
        <w:sectPr>
          <w:pgSz w:w="11900" w:h="16838" w:orient="portrait"/>
          <w:cols w:equalWidth="0" w:num="1">
            <w:col w:w="11140"/>
          </w:cols>
          <w:pgMar w:left="320" w:top="482" w:right="4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Frequently Asked Questions Regarding Our Annual Meeting</w:t>
      </w:r>
    </w:p>
    <w:p>
      <w:pPr>
        <w:spacing w:after="0" w:line="126" w:lineRule="exact"/>
        <w:rPr>
          <w:sz w:val="20"/>
          <w:szCs w:val="20"/>
          <w:color w:val="auto"/>
        </w:rPr>
      </w:pPr>
    </w:p>
    <w:p>
      <w:pPr>
        <w:ind w:left="400" w:hanging="284"/>
        <w:spacing w:after="0"/>
        <w:tabs>
          <w:tab w:leader="none" w:pos="400" w:val="left"/>
        </w:tabs>
        <w:numPr>
          <w:ilvl w:val="0"/>
          <w:numId w:val="85"/>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80"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If you are a holder of record (that is, your shares are registered in your own name with our transfer agent), you can vote: by proxy prior to and without attending the Annual Meeting; or online during the virtual Annual Meeting at www.virtualshareholdermeeting.com/REG2026. We urge you to vote by proxy prior to the Annual Meeting even if you plan to attend the virtual Annual Meeting so that we will know as soon as possible that enough votes will be present for Regency to hold the Annual Meeting. Our Board has designated Martin E. Stein, Jr., Lisa Palmer, Michael J. Mas and each or any of them, as proxies to vote the shares of common stock solicited on its behalf. You can vote by proxy prior to the Annual Meeting by any of the following methods:</w:t>
      </w:r>
    </w:p>
    <w:p>
      <w:pPr>
        <w:spacing w:after="0" w:line="146"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i w:val="1"/>
          <w:iCs w:val="1"/>
          <w:color w:val="auto"/>
        </w:rPr>
        <w:t xml:space="preserve">Voting by Telephone or by the Internet. </w:t>
      </w:r>
      <w:r>
        <w:rPr>
          <w:rFonts w:ascii="Arial" w:cs="Arial" w:eastAsia="Arial" w:hAnsi="Arial"/>
          <w:sz w:val="16"/>
          <w:szCs w:val="16"/>
          <w:color w:val="auto"/>
        </w:rPr>
        <w:t>If you are a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(that is, if you own shares in your own name and not through a broker, bank or other nominee that holds shares for your account in a “street name” capacity), you may vote by proxy by using either the telephone or Internet methods of voting. Proxies submitted by telephone or through the Internet must be received by 11:59 p.m., Eastern Time, on May 5, 2026. Please see the Notice of Internet Availability or proxy card for instructions on how to access the telephone and Internet voting systems.</w:t>
      </w:r>
    </w:p>
    <w:p>
      <w:pPr>
        <w:spacing w:after="0" w:line="145" w:lineRule="exact"/>
        <w:rPr>
          <w:sz w:val="20"/>
          <w:szCs w:val="20"/>
          <w:color w:val="auto"/>
        </w:rPr>
      </w:pPr>
    </w:p>
    <w:p>
      <w:pPr>
        <w:ind w:left="120" w:right="340"/>
        <w:spacing w:after="0" w:line="266" w:lineRule="auto"/>
        <w:rPr>
          <w:sz w:val="20"/>
          <w:szCs w:val="20"/>
          <w:color w:val="auto"/>
        </w:rPr>
      </w:pPr>
      <w:r>
        <w:rPr>
          <w:rFonts w:ascii="Arial" w:cs="Arial" w:eastAsia="Arial" w:hAnsi="Arial"/>
          <w:sz w:val="16"/>
          <w:szCs w:val="16"/>
          <w:i w:val="1"/>
          <w:iCs w:val="1"/>
          <w:color w:val="auto"/>
        </w:rPr>
        <w:t>Voting by Mail</w:t>
      </w:r>
      <w:r>
        <w:rPr>
          <w:rFonts w:ascii="Arial" w:cs="Arial" w:eastAsia="Arial" w:hAnsi="Arial"/>
          <w:sz w:val="16"/>
          <w:szCs w:val="16"/>
          <w:color w:val="auto"/>
        </w:rPr>
        <w:t>. Each shareholder electing to receive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by mail may vote by mail by using the accompanying proxy card. When you return a proxy card by mail that is properly signed</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and completed, the shares represented by your proxy will be voted as you specify on the proxy card.</w:t>
      </w:r>
    </w:p>
    <w:p>
      <w:pPr>
        <w:spacing w:after="0" w:line="11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If you hold your shares in “street name,” we have supplied copies of our proxy materials for the Annual Meeting to the broker, bank or other nominee holding your shares of record and they have the responsibility to send these proxy materials to you. You must either direct the bank, broker or other nominee as to how to vote your shares. Please refer to the voter instruction cards used by your bank, broker or other nominee for specific instructions on methods of voting, including by telephone or the Internet.</w:t>
      </w:r>
    </w:p>
    <w:p>
      <w:pPr>
        <w:spacing w:after="0" w:line="14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Your shares will be voted as you indicate. If you return your signed and dated proxy card but you do not indicate your voting preferences on one or more of the proposals to be considered at the Annual Meeting, or if you otherwise do not indicate your voting preference via phone or internet on one or more of the proposals to be considered at the Annual Meeting, then your shares will not be voted with respect to any proposal other than the ratification of our auditors. The Board and management do not intend to present any matters at this time at the Annual Meeting other than those outlined in the notice of the Annual Meeting. If any other matters are properly brought before the Annual Meeting or any adjournments or postponements thereof, your shares will be voted at the discretion of the proxy holders.</w:t>
      </w:r>
    </w:p>
    <w:p>
      <w:pPr>
        <w:spacing w:after="0" w:line="590" w:lineRule="exact"/>
        <w:rPr>
          <w:sz w:val="20"/>
          <w:szCs w:val="20"/>
          <w:color w:val="auto"/>
        </w:rPr>
      </w:pPr>
    </w:p>
    <w:p>
      <w:pPr>
        <w:sectPr>
          <w:pgSz w:w="11900" w:h="16838" w:orient="portrait"/>
          <w:cols w:equalWidth="0" w:num="2">
            <w:col w:w="5380" w:space="360"/>
            <w:col w:w="5380"/>
          </w:cols>
          <w:pgMar w:left="320" w:top="482" w:right="459" w:bottom="1440" w:gutter="0" w:footer="0" w:header="0"/>
          <w:type w:val="continuous"/>
        </w:sectPr>
      </w:pPr>
    </w:p>
    <w:p>
      <w:pPr>
        <w:spacing w:after="0" w:line="129" w:lineRule="exact"/>
        <w:rPr>
          <w:sz w:val="20"/>
          <w:szCs w:val="20"/>
          <w:color w:val="auto"/>
        </w:rPr>
      </w:pPr>
    </w:p>
    <w:p>
      <w:pPr>
        <w:ind w:left="400" w:hanging="284"/>
        <w:spacing w:after="0"/>
        <w:tabs>
          <w:tab w:leader="none" w:pos="400" w:val="left"/>
        </w:tabs>
        <w:numPr>
          <w:ilvl w:val="0"/>
          <w:numId w:val="86"/>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Can I revoke my proxy or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p>
      <w:pPr>
        <w:spacing w:after="0" w:line="280"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Yes. If you are a shareholder of record, you may revoke your proxy or change your vote at any time before your shares are voted at the Annual Meeting by filing a notice of revocation with the Secretary of the Company or mailing a proxy bearing a later date, submitting your proxy again by telephone or over the Internet. For shares you hold beneficially in “street name,” you may revoke your proxy or change your vote by submitting new voting</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instructions to your broker, bank or other nominee or, if you have obtained a “brokers proxy” from your broker, bank or other nominee giving you the right to vote your shares, by attending and voting your shares at the Annual Meeting. In either case, the powers of the proxy holders will be suspended if you attend the Annual Meeting and so request, although attending the Annual Meeting will not by itself revoke a previously granted proxy.</w:t>
      </w:r>
    </w:p>
    <w:p>
      <w:pPr>
        <w:spacing w:after="0" w:line="389" w:lineRule="exact"/>
        <w:rPr>
          <w:sz w:val="20"/>
          <w:szCs w:val="20"/>
          <w:color w:val="auto"/>
        </w:rPr>
      </w:pPr>
    </w:p>
    <w:p>
      <w:pPr>
        <w:sectPr>
          <w:pgSz w:w="11900" w:h="16838" w:orient="portrait"/>
          <w:cols w:equalWidth="0" w:num="2">
            <w:col w:w="5400" w:space="340"/>
            <w:col w:w="5380"/>
          </w:cols>
          <w:pgMar w:left="320" w:top="482" w:right="459" w:bottom="1440" w:gutter="0" w:footer="0" w:header="0"/>
          <w:type w:val="continuous"/>
        </w:sectPr>
      </w:pPr>
    </w:p>
    <w:p>
      <w:pPr>
        <w:spacing w:after="0" w:line="125" w:lineRule="exact"/>
        <w:rPr>
          <w:sz w:val="20"/>
          <w:szCs w:val="20"/>
          <w:color w:val="auto"/>
        </w:rPr>
      </w:pPr>
    </w:p>
    <w:p>
      <w:pPr>
        <w:ind w:left="400" w:hanging="284"/>
        <w:spacing w:after="0"/>
        <w:tabs>
          <w:tab w:leader="none" w:pos="400" w:val="left"/>
        </w:tabs>
        <w:numPr>
          <w:ilvl w:val="0"/>
          <w:numId w:val="87"/>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What vote is required to approve each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p>
      <w:pPr>
        <w:spacing w:after="0" w:line="280"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For Proposal 1: Election of Directors, you may vote “FOR,” “AGAINST” or “ABSTAIN” with respect to each nominee. In uncontested elections, directors are elected by a majority of the votes cast at the meeting. Votes cast includes votes against but exclude abstentions and broker non-votes with respect to a nominee’s election. Abstentions are not considered votes cast and will have no effect on whether these proposals are approved or nominees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elected. Our bylaws provide that the current term for a director in an uncontested election who does not receive the vote of the majority of the votes cast with respect to such director’s election shall expire on the date that is the earlier of (i) 90 days from the date on which the voting results are determined or (ii) the date on which an individual is selected by the Board of Directors to fill the office held by such director.</w:t>
      </w:r>
    </w:p>
    <w:p>
      <w:pPr>
        <w:spacing w:after="0" w:line="389" w:lineRule="exact"/>
        <w:rPr>
          <w:sz w:val="20"/>
          <w:szCs w:val="20"/>
          <w:color w:val="auto"/>
        </w:rPr>
      </w:pPr>
    </w:p>
    <w:p>
      <w:pPr>
        <w:sectPr>
          <w:pgSz w:w="11900" w:h="16838" w:orient="portrait"/>
          <w:cols w:equalWidth="0" w:num="2">
            <w:col w:w="5380" w:space="360"/>
            <w:col w:w="5380"/>
          </w:cols>
          <w:pgMar w:left="320" w:top="482" w:right="459" w:bottom="144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58</w:t>
      </w:r>
      <w:r>
        <w:rPr>
          <w:rFonts w:ascii="Arial" w:cs="Arial" w:eastAsia="Arial" w:hAnsi="Arial"/>
          <w:sz w:val="12"/>
          <w:szCs w:val="12"/>
          <w:color w:val="auto"/>
        </w:rPr>
        <w:t xml:space="preserve"> </w:t>
      </w:r>
      <w:r>
        <w:rPr>
          <w:rFonts w:ascii="Arial" w:cs="Arial" w:eastAsia="Arial" w:hAnsi="Arial"/>
          <w:sz w:val="16"/>
          <w:szCs w:val="16"/>
          <w:color w:val="6A6E6F"/>
        </w:rPr>
        <w:t>|</w:t>
      </w:r>
      <w:r>
        <w:rPr>
          <w:rFonts w:ascii="Arial" w:cs="Arial" w:eastAsia="Arial" w:hAnsi="Arial"/>
          <w:sz w:val="12"/>
          <w:szCs w:val="12"/>
          <w:color w:val="6A6E6F"/>
        </w:rPr>
        <w:t> REGENCY CENTERS </w:t>
      </w:r>
      <w:r>
        <w:rPr>
          <w:rFonts w:ascii="Arial" w:cs="Arial" w:eastAsia="Arial" w:hAnsi="Arial"/>
          <w:sz w:val="16"/>
          <w:szCs w:val="16"/>
          <w:color w:val="6A6E6F"/>
        </w:rPr>
        <w:t>|</w:t>
      </w:r>
      <w:r>
        <w:rPr>
          <w:rFonts w:ascii="Arial" w:cs="Arial" w:eastAsia="Arial" w:hAnsi="Arial"/>
          <w:sz w:val="12"/>
          <w:szCs w:val="12"/>
          <w:color w:val="6A6E6F"/>
        </w:rPr>
        <w:t> 2026 PROXY STATEMENT</w:t>
      </w:r>
    </w:p>
    <w:p>
      <w:pPr>
        <w:sectPr>
          <w:pgSz w:w="11900" w:h="16838" w:orient="portrait"/>
          <w:cols w:equalWidth="0" w:num="1">
            <w:col w:w="11120"/>
          </w:cols>
          <w:pgMar w:left="320" w:top="482" w:right="4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Frequently Asked Questions Regarding Our Annual Meeting </w:t>
      </w:r>
      <w:r>
        <w:rPr>
          <w:rFonts w:ascii="Arial" w:cs="Arial" w:eastAsia="Arial" w:hAnsi="Arial"/>
          <w:sz w:val="19"/>
          <w:szCs w:val="19"/>
          <w:b w:val="1"/>
          <w:bCs w:val="1"/>
          <w:color w:val="E56D3D"/>
        </w:rPr>
        <w:t>|</w:t>
      </w:r>
    </w:p>
    <w:p>
      <w:pPr>
        <w:sectPr>
          <w:pgSz w:w="11900" w:h="16838" w:orient="portrait"/>
          <w:cols w:equalWidth="0" w:num="1">
            <w:col w:w="11140"/>
          </w:cols>
          <w:pgMar w:left="320" w:top="482" w:right="439" w:bottom="1440" w:gutter="0" w:footer="0" w:header="0"/>
        </w:sectPr>
      </w:pPr>
    </w:p>
    <w:p>
      <w:pPr>
        <w:spacing w:after="0" w:line="210"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For Proposal 2: Advisory Vote on Executive Compensation, which is commonly referred to as a “say-on-pay” vote and non-binding on our Board, you may vote “FOR,” “AGAINST” or “ABSTAIN”. Although the vote is non-binding, our Board and Compensation Committee will consider the voting results in connection with their ongoing evaluation of our executive compensation program. This proposal will be approved if the votes cast “FOR” exceed the votes cast “AGAINST” the proposal.</w:t>
      </w:r>
    </w:p>
    <w:p>
      <w:pPr>
        <w:spacing w:after="0" w:line="141"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For Proposal 3: Ratification of Appointment of KPMG LLP as the Company’s Independent Registered Public Accounting Firm for fiscal 2026, you may vote “FOR,” “AGAINST” or “ABSTAIN”. This proposal will be approved if the votes cast “FOR” exceed the votes cast “AGAINST” the proposal.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If you hold your shares in street name, your broker, bank or other nominee is permitted to vote your shares on Proposal 3: Ratification of Appointment of KPMG LLP as the Company’s Independent Registered Public Accounting Firm without receiving voting instructions from you. In contrast, all other proposals are “non-discretionary” items. This means brokerage firms that have not received voting instructions from their clients on these proposals may not vote on them. These so-called “broker non-votes” will be included in the calculation of the number of votes considered to be present at the meeting for purposes of determining a quorum, but will not be considered in determining the number of votes necessary for approval and will have no effect on the outcome of any of the proposals.</w:t>
      </w:r>
    </w:p>
    <w:p>
      <w:pPr>
        <w:spacing w:after="0" w:line="571" w:lineRule="exact"/>
        <w:rPr>
          <w:sz w:val="20"/>
          <w:szCs w:val="20"/>
          <w:color w:val="auto"/>
        </w:rPr>
      </w:pPr>
    </w:p>
    <w:p>
      <w:pPr>
        <w:sectPr>
          <w:pgSz w:w="11900" w:h="16838" w:orient="portrait"/>
          <w:cols w:equalWidth="0" w:num="2">
            <w:col w:w="5380" w:space="360"/>
            <w:col w:w="5400"/>
          </w:cols>
          <w:pgMar w:left="320" w:top="482" w:right="439" w:bottom="1440" w:gutter="0" w:footer="0" w:header="0"/>
          <w:type w:val="continuous"/>
        </w:sectPr>
      </w:pPr>
    </w:p>
    <w:p>
      <w:pPr>
        <w:spacing w:after="0" w:line="137" w:lineRule="exact"/>
        <w:rPr>
          <w:sz w:val="20"/>
          <w:szCs w:val="20"/>
          <w:color w:val="auto"/>
        </w:rPr>
      </w:pPr>
    </w:p>
    <w:p>
      <w:pPr>
        <w:ind w:left="400" w:hanging="284"/>
        <w:spacing w:after="0"/>
        <w:tabs>
          <w:tab w:leader="none" w:pos="400" w:val="left"/>
        </w:tabs>
        <w:numPr>
          <w:ilvl w:val="0"/>
          <w:numId w:val="88"/>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80"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A quorum is the minimum number of shares that must be represented in person or by proxy for our Company to conduct the 2026 Annual Meeting. The attendance in person or by proxy of holders of a majority of the shares of common stock entitled to vote at the 2026 Annual Meeting will constitute a quorum to hold the 2026 Annual Meeting. Shareholders who attend the 2026 Annual Meeting</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that are admitted pursuant to the instructions to join the virtual meeting as an authenticated shareholder will be considered to be attending the meeting in person. If you grant your proxy over the Internet, by telephone or by your proxy card, your shares will be considered present at the 2026 Annual Meeting and counted toward the quorum.</w:t>
      </w:r>
    </w:p>
    <w:p>
      <w:pPr>
        <w:spacing w:after="0" w:line="387"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126" w:lineRule="exact"/>
        <w:rPr>
          <w:sz w:val="20"/>
          <w:szCs w:val="20"/>
          <w:color w:val="auto"/>
        </w:rPr>
      </w:pPr>
    </w:p>
    <w:p>
      <w:pPr>
        <w:ind w:left="400" w:hanging="284"/>
        <w:spacing w:after="0"/>
        <w:tabs>
          <w:tab w:leader="none" w:pos="400" w:val="left"/>
        </w:tabs>
        <w:numPr>
          <w:ilvl w:val="0"/>
          <w:numId w:val="89"/>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Will shareholders be asked to vote on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80"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To the knowledge of the Company and its management, shareholders will vote only on the matters described in this proxy statement. However, if any other matters are properly brought before the</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Annual Meeting or any adjournments or postponements thereof, your shares will be voted at the discretion of the proxy holders.</w:t>
      </w:r>
    </w:p>
    <w:p>
      <w:pPr>
        <w:spacing w:after="0" w:line="373" w:lineRule="exact"/>
        <w:rPr>
          <w:sz w:val="20"/>
          <w:szCs w:val="20"/>
          <w:color w:val="auto"/>
        </w:rPr>
      </w:pPr>
    </w:p>
    <w:p>
      <w:pPr>
        <w:sectPr>
          <w:pgSz w:w="11900" w:h="16838" w:orient="portrait"/>
          <w:cols w:equalWidth="0" w:num="2">
            <w:col w:w="5380" w:space="360"/>
            <w:col w:w="5400"/>
          </w:cols>
          <w:pgMar w:left="320" w:top="482" w:right="439" w:bottom="1440" w:gutter="0" w:footer="0" w:header="0"/>
          <w:type w:val="continuous"/>
        </w:sectPr>
      </w:pPr>
    </w:p>
    <w:p>
      <w:pPr>
        <w:spacing w:after="0" w:line="129" w:lineRule="exact"/>
        <w:rPr>
          <w:sz w:val="20"/>
          <w:szCs w:val="20"/>
          <w:color w:val="auto"/>
        </w:rPr>
      </w:pPr>
    </w:p>
    <w:p>
      <w:pPr>
        <w:ind w:left="400" w:hanging="284"/>
        <w:spacing w:after="0"/>
        <w:tabs>
          <w:tab w:leader="none" w:pos="400" w:val="left"/>
        </w:tabs>
        <w:numPr>
          <w:ilvl w:val="0"/>
          <w:numId w:val="90"/>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How are we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80"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We are soliciting proxies on behalf of our Board and will pay all expenses associated with this solicitation. In addition to mailing these proxy materials, certain of our officers and other employees may, without compensation other than their regular compensation, solicit proxies through further mailing or personal conversations, or by telephone or other</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electronic means. We will also, upon request, reimburse brokers and other persons holding stock in their names, or in the names of nominees, for their reasonable out-of-pocket expenses for forwarding proxy materials to the beneficial owners of our stock and to obtain proxies.</w:t>
      </w:r>
    </w:p>
    <w:p>
      <w:pPr>
        <w:spacing w:after="0" w:line="574" w:lineRule="exact"/>
        <w:rPr>
          <w:sz w:val="20"/>
          <w:szCs w:val="20"/>
          <w:color w:val="auto"/>
        </w:rPr>
      </w:pPr>
    </w:p>
    <w:p>
      <w:pPr>
        <w:sectPr>
          <w:pgSz w:w="11900" w:h="16838" w:orient="portrait"/>
          <w:cols w:equalWidth="0" w:num="2">
            <w:col w:w="5360" w:space="380"/>
            <w:col w:w="5400"/>
          </w:cols>
          <w:pgMar w:left="320" w:top="482" w:right="439" w:bottom="1440" w:gutter="0" w:footer="0" w:header="0"/>
          <w:type w:val="continuous"/>
        </w:sectPr>
      </w:pPr>
    </w:p>
    <w:p>
      <w:pPr>
        <w:spacing w:after="0" w:line="126" w:lineRule="exact"/>
        <w:rPr>
          <w:sz w:val="20"/>
          <w:szCs w:val="20"/>
          <w:color w:val="auto"/>
        </w:rPr>
      </w:pPr>
    </w:p>
    <w:p>
      <w:pPr>
        <w:ind w:left="120" w:right="120" w:hanging="4"/>
        <w:spacing w:after="0" w:line="281" w:lineRule="auto"/>
        <w:tabs>
          <w:tab w:leader="none" w:pos="412" w:val="left"/>
        </w:tabs>
        <w:numPr>
          <w:ilvl w:val="0"/>
          <w:numId w:val="91"/>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If I previously signed up to receive shareholder materials, including proxy statements and annual reports, by mail and now wish to access these materials via the Internet or via electronic delivery in the future, what should I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29845</wp:posOffset>
            </wp:positionV>
            <wp:extent cx="6995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195"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You can help us achieve a substantial reduction in our printing and mailing costs by choosing to receive shareholder materials by means other than mail. If you choose to receive your proxy materials by accessing the Internet, then before next year’s annual meeting of shareholders, you will receive a</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Notice of Internet Availability of Proxy Materials when the proxy materials and annual report are available over the Internet.</w:t>
      </w:r>
    </w:p>
    <w:p>
      <w:pPr>
        <w:spacing w:after="0" w:line="129"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If you choose instead to receive your proxy materials via electronic delivery, you will receive an email containing the proxy materials.</w:t>
      </w:r>
    </w:p>
    <w:p>
      <w:pPr>
        <w:spacing w:after="0" w:line="200" w:lineRule="exact"/>
        <w:rPr>
          <w:sz w:val="20"/>
          <w:szCs w:val="20"/>
          <w:color w:val="auto"/>
        </w:rPr>
      </w:pPr>
    </w:p>
    <w:p>
      <w:pPr>
        <w:sectPr>
          <w:pgSz w:w="11900" w:h="16838" w:orient="portrait"/>
          <w:cols w:equalWidth="0" w:num="2">
            <w:col w:w="5060" w:space="680"/>
            <w:col w:w="5400"/>
          </w:cols>
          <w:pgMar w:left="320" w:top="482" w:right="439" w:bottom="1440" w:gutter="0" w:footer="0" w:header="0"/>
          <w:type w:val="continuous"/>
        </w:sectPr>
      </w:pPr>
    </w:p>
    <w:p>
      <w:pPr>
        <w:spacing w:after="0" w:line="32" w:lineRule="exact"/>
        <w:rPr>
          <w:sz w:val="20"/>
          <w:szCs w:val="20"/>
          <w:color w:val="auto"/>
        </w:rPr>
      </w:pPr>
    </w:p>
    <w:p>
      <w:pPr>
        <w:ind w:left="800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59</w:t>
      </w:r>
    </w:p>
    <w:p>
      <w:pPr>
        <w:sectPr>
          <w:pgSz w:w="11900" w:h="16838" w:orient="portrait"/>
          <w:cols w:equalWidth="0" w:num="1">
            <w:col w:w="11140"/>
          </w:cols>
          <w:pgMar w:left="320" w:top="482" w:right="4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Frequently Asked Questions Regarding Our Annual Meeting</w:t>
      </w:r>
    </w:p>
    <w:p>
      <w:pPr>
        <w:spacing w:after="0" w:line="126" w:lineRule="exact"/>
        <w:rPr>
          <w:sz w:val="20"/>
          <w:szCs w:val="20"/>
          <w:color w:val="auto"/>
        </w:rPr>
      </w:pPr>
    </w:p>
    <w:p>
      <w:pPr>
        <w:ind w:left="120" w:right="1160" w:hanging="4"/>
        <w:spacing w:after="0" w:line="281" w:lineRule="auto"/>
        <w:tabs>
          <w:tab w:leader="none" w:pos="412" w:val="left"/>
        </w:tabs>
        <w:numPr>
          <w:ilvl w:val="0"/>
          <w:numId w:val="92"/>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How can I obtain paper copies of the proxy materials, annual report on Form 10-K and other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wp:posOffset>
            </wp:positionV>
            <wp:extent cx="6995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p>
      <w:pPr>
        <w:spacing w:after="0" w:line="195"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Shareholders can access our 2026 proxy statement, our annual report on Form 10-K and our other filings with the SEC as well as our corporate governance and other related information on the Investors page of our website at www.regencycenters.com.</w:t>
      </w:r>
    </w:p>
    <w:p>
      <w:pPr>
        <w:spacing w:after="0" w:line="137"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The content of our website is not incorporated by reference into this proxy statement or in any other report or document we file with the SEC, and any references to our website are intended to be inactive textual references only.</w:t>
      </w:r>
    </w:p>
    <w:p>
      <w:pPr>
        <w:spacing w:after="0" w:line="137"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The SEC’s rules permit us to deliver a single Notice of Internet Availability of Proxy Materials or single set of Annual Meeting materials to one address shared by two or more of our shareholders. This delivery method is referred to as “householding” and can result in significant cost savings. To take advantage of this opportunity, we have delivered only one notice, proxy statement and annual report to multiple shareholders who share an address, unless we received contrary instructions from the impacted shareholders prior to the mailing date.</w:t>
      </w:r>
    </w:p>
    <w:p>
      <w:pPr>
        <w:spacing w:after="0" w:line="156" w:lineRule="exact"/>
        <w:rPr>
          <w:sz w:val="20"/>
          <w:szCs w:val="20"/>
          <w:color w:val="auto"/>
        </w:rPr>
      </w:pPr>
    </w:p>
    <w:p>
      <w:pPr>
        <w:ind w:left="120" w:right="320"/>
        <w:spacing w:after="0" w:line="259" w:lineRule="auto"/>
        <w:rPr>
          <w:sz w:val="20"/>
          <w:szCs w:val="20"/>
          <w:color w:val="auto"/>
        </w:rPr>
      </w:pPr>
      <w:r>
        <w:rPr>
          <w:rFonts w:ascii="Arial" w:cs="Arial" w:eastAsia="Arial" w:hAnsi="Arial"/>
          <w:sz w:val="16"/>
          <w:szCs w:val="16"/>
          <w:color w:val="auto"/>
        </w:rPr>
        <w:t>We agree to deliver promptly, upon written or oral request, a separate copy of the notice or annual meeting materials, as requested, to any shareholder at the shared address to which a single copy of those documents was delivered.</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 stockholder may request a separate copy of the applicable materials by contacting the address set forth in this section. Eligible stockholders of record receiving multiple copies of our proxy materials can also request householding by contacting us in the same manner.</w:t>
      </w:r>
    </w:p>
    <w:p>
      <w:pPr>
        <w:spacing w:after="0" w:line="137"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Your election to receive your proxy materials by accessing the Internet or by electronic delivery will remain in effect for all future shareholder meetings unless you revoke it before the meeting by following the instructions on the Notice of Internet Availability of Proxy Materials or by calling or sending a written request addressed to:</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Regency Centers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Attn: Joni Reiser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One Independent Drive, Suite 114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Jacksonville, Florida 32202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(904) 598-7761</w:t>
      </w:r>
    </w:p>
    <w:p>
      <w:pPr>
        <w:spacing w:after="0" w:line="178"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If you hold your shares in an account at a brokerage firm or bank participating in a “street name” program, you can sign up for electronic delivery of proxy materials in the future by contacting your broker.</w:t>
      </w:r>
    </w:p>
    <w:p>
      <w:pPr>
        <w:spacing w:after="0" w:line="760" w:lineRule="exact"/>
        <w:rPr>
          <w:sz w:val="20"/>
          <w:szCs w:val="20"/>
          <w:color w:val="auto"/>
        </w:rPr>
      </w:pPr>
    </w:p>
    <w:p>
      <w:pPr>
        <w:sectPr>
          <w:pgSz w:w="11900" w:h="16838" w:orient="portrait"/>
          <w:cols w:equalWidth="0" w:num="2">
            <w:col w:w="5400" w:space="340"/>
            <w:col w:w="5360"/>
          </w:cols>
          <w:pgMar w:left="320" w:top="482" w:right="479" w:bottom="1440" w:gutter="0" w:footer="0" w:header="0"/>
          <w:type w:val="continuous"/>
        </w:sectPr>
      </w:pPr>
    </w:p>
    <w:p>
      <w:pPr>
        <w:spacing w:after="0" w:line="338" w:lineRule="exact"/>
        <w:rPr>
          <w:sz w:val="20"/>
          <w:szCs w:val="20"/>
          <w:color w:val="auto"/>
        </w:rPr>
      </w:pPr>
    </w:p>
    <w:p>
      <w:pPr>
        <w:ind w:left="400" w:hanging="284"/>
        <w:spacing w:after="0"/>
        <w:tabs>
          <w:tab w:leader="none" w:pos="400" w:val="left"/>
        </w:tabs>
        <w:numPr>
          <w:ilvl w:val="0"/>
          <w:numId w:val="93"/>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What should I do if I receive more than one set of voting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type w:val="continuous"/>
        </w:sectPr>
      </w:pPr>
    </w:p>
    <w:p>
      <w:pPr>
        <w:spacing w:after="0" w:line="280"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You may receive more than one set of voting materials, including multiple copies of this proxy statement, proxy cards or voting instruction cards. For example, if you hold your shares in more than one brokerage account, you may receive a separate voting instruction card for each brokerage account</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which you hold shares. If you are a shareholder of record and your shares are registered in more than one name, you will receive more than one proxy card. Please vote your shares applicable to each proxy card and voting instruction card that you receive.</w:t>
      </w:r>
    </w:p>
    <w:p>
      <w:pPr>
        <w:spacing w:after="0" w:line="387" w:lineRule="exact"/>
        <w:rPr>
          <w:sz w:val="20"/>
          <w:szCs w:val="20"/>
          <w:color w:val="auto"/>
        </w:rPr>
      </w:pPr>
    </w:p>
    <w:p>
      <w:pPr>
        <w:sectPr>
          <w:pgSz w:w="11900" w:h="16838" w:orient="portrait"/>
          <w:cols w:equalWidth="0" w:num="2">
            <w:col w:w="5360" w:space="380"/>
            <w:col w:w="5360"/>
          </w:cols>
          <w:pgMar w:left="320" w:top="482" w:right="479" w:bottom="1440" w:gutter="0" w:footer="0" w:header="0"/>
          <w:type w:val="continuous"/>
        </w:sectPr>
      </w:pPr>
    </w:p>
    <w:p>
      <w:pPr>
        <w:spacing w:after="0" w:line="137" w:lineRule="exact"/>
        <w:rPr>
          <w:sz w:val="20"/>
          <w:szCs w:val="20"/>
          <w:color w:val="auto"/>
        </w:rPr>
      </w:pPr>
    </w:p>
    <w:p>
      <w:pPr>
        <w:ind w:left="400" w:hanging="284"/>
        <w:spacing w:after="0"/>
        <w:tabs>
          <w:tab w:leader="none" w:pos="400" w:val="left"/>
        </w:tabs>
        <w:numPr>
          <w:ilvl w:val="0"/>
          <w:numId w:val="94"/>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Where can I find a list of shareholders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type w:val="continuous"/>
        </w:sectPr>
      </w:pPr>
    </w:p>
    <w:p>
      <w:pPr>
        <w:spacing w:after="0" w:line="280"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The names of shareholders of record entitled to vote at the Annual Meeting will be available to</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shareholders at our corporate office for a period of 10 days prior to and during the Annual Meeting.</w:t>
      </w:r>
    </w:p>
    <w:p>
      <w:pPr>
        <w:spacing w:after="0" w:line="200" w:lineRule="exact"/>
        <w:rPr>
          <w:sz w:val="20"/>
          <w:szCs w:val="20"/>
          <w:color w:val="auto"/>
        </w:rPr>
      </w:pPr>
    </w:p>
    <w:p>
      <w:pPr>
        <w:sectPr>
          <w:pgSz w:w="11900" w:h="16838" w:orient="portrait"/>
          <w:cols w:equalWidth="0" w:num="2">
            <w:col w:w="5020" w:space="720"/>
            <w:col w:w="5360"/>
          </w:cols>
          <w:pgMar w:left="320" w:top="482" w:right="479" w:bottom="1440" w:gutter="0" w:footer="0" w:header="0"/>
          <w:type w:val="continuous"/>
        </w:sectPr>
      </w:pPr>
    </w:p>
    <w:p>
      <w:pPr>
        <w:spacing w:after="0" w:line="100" w:lineRule="exact"/>
        <w:rPr>
          <w:sz w:val="20"/>
          <w:szCs w:val="20"/>
          <w:color w:val="auto"/>
        </w:rPr>
      </w:pPr>
    </w:p>
    <w:p>
      <w:pPr>
        <w:ind w:left="400" w:hanging="284"/>
        <w:spacing w:after="0"/>
        <w:tabs>
          <w:tab w:leader="none" w:pos="400" w:val="left"/>
        </w:tabs>
        <w:numPr>
          <w:ilvl w:val="0"/>
          <w:numId w:val="95"/>
        </w:numPr>
        <w:rPr>
          <w:rFonts w:ascii="Times New Roman" w:cs="Times New Roman" w:eastAsia="Times New Roman" w:hAnsi="Times New Roman"/>
          <w:sz w:val="23"/>
          <w:szCs w:val="23"/>
          <w:color w:val="E56D3D"/>
        </w:rPr>
      </w:pPr>
      <w:r>
        <w:rPr>
          <w:rFonts w:ascii="Times New Roman" w:cs="Times New Roman" w:eastAsia="Times New Roman" w:hAnsi="Times New Roman"/>
          <w:sz w:val="23"/>
          <w:szCs w:val="23"/>
          <w:color w:val="auto"/>
        </w:rPr>
        <w:t>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type w:val="continuous"/>
        </w:sectPr>
      </w:pPr>
    </w:p>
    <w:p>
      <w:pPr>
        <w:spacing w:after="0" w:line="280"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The Company will announce the preliminary voting results at the Annual Meeting and intends to release the final results in a Form 8-K filed with the SEC</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within four business days following the Annual Meeting.</w:t>
      </w:r>
    </w:p>
    <w:p>
      <w:pPr>
        <w:spacing w:after="0" w:line="627" w:lineRule="exact"/>
        <w:rPr>
          <w:sz w:val="20"/>
          <w:szCs w:val="20"/>
          <w:color w:val="auto"/>
        </w:rPr>
      </w:pPr>
    </w:p>
    <w:p>
      <w:pPr>
        <w:sectPr>
          <w:pgSz w:w="11900" w:h="16838" w:orient="portrait"/>
          <w:cols w:equalWidth="0" w:num="2">
            <w:col w:w="5260" w:space="480"/>
            <w:col w:w="5360"/>
          </w:cols>
          <w:pgMar w:left="320" w:top="482" w:right="479" w:bottom="1440" w:gutter="0" w:footer="0" w:header="0"/>
          <w:type w:val="continuous"/>
        </w:sectPr>
      </w:pPr>
    </w:p>
    <w:p>
      <w:pPr>
        <w:spacing w:after="0" w:line="4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60</w:t>
      </w:r>
      <w:r>
        <w:rPr>
          <w:rFonts w:ascii="Arial" w:cs="Arial" w:eastAsia="Arial" w:hAnsi="Arial"/>
          <w:sz w:val="12"/>
          <w:szCs w:val="12"/>
          <w:color w:val="auto"/>
        </w:rPr>
        <w:t xml:space="preserve"> </w:t>
      </w:r>
      <w:r>
        <w:rPr>
          <w:rFonts w:ascii="Arial" w:cs="Arial" w:eastAsia="Arial" w:hAnsi="Arial"/>
          <w:sz w:val="16"/>
          <w:szCs w:val="16"/>
          <w:color w:val="6A6E6F"/>
        </w:rPr>
        <w:t>|</w:t>
      </w:r>
      <w:r>
        <w:rPr>
          <w:rFonts w:ascii="Arial" w:cs="Arial" w:eastAsia="Arial" w:hAnsi="Arial"/>
          <w:sz w:val="12"/>
          <w:szCs w:val="12"/>
          <w:color w:val="6A6E6F"/>
        </w:rPr>
        <w:t> REGENCY CENTERS </w:t>
      </w:r>
      <w:r>
        <w:rPr>
          <w:rFonts w:ascii="Arial" w:cs="Arial" w:eastAsia="Arial" w:hAnsi="Arial"/>
          <w:sz w:val="16"/>
          <w:szCs w:val="16"/>
          <w:color w:val="6A6E6F"/>
        </w:rPr>
        <w:t>|</w:t>
      </w:r>
      <w:r>
        <w:rPr>
          <w:rFonts w:ascii="Arial" w:cs="Arial" w:eastAsia="Arial" w:hAnsi="Arial"/>
          <w:sz w:val="12"/>
          <w:szCs w:val="12"/>
          <w:color w:val="6A6E6F"/>
        </w:rPr>
        <w:t> 2026 PROXY STATEMENT</w:t>
      </w:r>
    </w:p>
    <w:p>
      <w:pPr>
        <w:sectPr>
          <w:pgSz w:w="11900" w:h="16838" w:orient="portrait"/>
          <w:cols w:equalWidth="0" w:num="1">
            <w:col w:w="11100"/>
          </w:cols>
          <w:pgMar w:left="320" w:top="482" w:right="47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Appendix A—Definitions and Reconciliations of GAAP and Non-GAAP Financial Measures </w:t>
      </w:r>
      <w:r>
        <w:rPr>
          <w:rFonts w:ascii="Arial" w:cs="Arial" w:eastAsia="Arial" w:hAnsi="Arial"/>
          <w:sz w:val="19"/>
          <w:szCs w:val="19"/>
          <w:b w:val="1"/>
          <w:bCs w:val="1"/>
          <w:color w:val="E56D3D"/>
        </w:rPr>
        <w:t>|</w:t>
      </w:r>
    </w:p>
    <w:p>
      <w:pPr>
        <w:spacing w:after="0" w:line="125" w:lineRule="exact"/>
        <w:rPr>
          <w:sz w:val="20"/>
          <w:szCs w:val="20"/>
          <w:color w:val="auto"/>
        </w:rPr>
      </w:pPr>
    </w:p>
    <w:p>
      <w:pPr>
        <w:ind w:left="120" w:right="1860"/>
        <w:spacing w:after="0" w:line="280" w:lineRule="auto"/>
        <w:rPr>
          <w:sz w:val="20"/>
          <w:szCs w:val="20"/>
          <w:color w:val="auto"/>
        </w:rPr>
      </w:pPr>
      <w:r>
        <w:rPr>
          <w:rFonts w:ascii="Times New Roman" w:cs="Times New Roman" w:eastAsia="Times New Roman" w:hAnsi="Times New Roman"/>
          <w:sz w:val="36"/>
          <w:szCs w:val="36"/>
          <w:b w:val="1"/>
          <w:bCs w:val="1"/>
          <w:color w:val="E56D3D"/>
        </w:rPr>
        <w:t>Appendix A—Definitions and Reconciliations of GAAP and Non-GAAP Financial Measures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Defined Terms</w:t>
      </w:r>
    </w:p>
    <w:p>
      <w:pPr>
        <w:spacing w:after="0" w:line="112"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In addition to the required GAAP presentations, the Company uses certain non-GAAP financial measures, as it believes these measures improve the understanding of the Company’s operational results. The Company believes these non-GAAP financial measures provide useful information to its Board of Directors, management and investors regarding certain trends relating to its financial condition and results of operations. Management uses these non-GAAP financial measures to compare its performance to that of prior periods for trend analyses, purposes of determining management incentive compensation and budgeting, forecasting and planning purposes. Management continually evaluates the usefulness, relevance, limitations, and calculation of the Company’s reported non-GAAP financial measures to determine how best to provide relevant information to the public, and thus such reported measures could change.</w:t>
      </w:r>
    </w:p>
    <w:p>
      <w:pPr>
        <w:spacing w:after="0" w:line="73"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Company does not consider non-GAAP financial measures an alternative to financial measures determined in accordance with GAAP, rather they supplement GAAP measures by providing additional information the Company believes to be useful to our shareholders. The principal limitation of these non-GAAP financial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used to their most directly comparable GAAP measures are provided. Non-GAAP financial measures should not be relied upon in evaluating the financial condition, results of operations, or future prospects of the Company.</w:t>
      </w:r>
    </w:p>
    <w:p>
      <w:pPr>
        <w:spacing w:after="0" w:line="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6A6E6F"/>
        </w:rPr>
        <w:t>NON-GAAP FINANCIAL MEASURES INCLUDE THE FOLLOWING:</w:t>
      </w:r>
    </w:p>
    <w:p>
      <w:pPr>
        <w:spacing w:after="0" w:line="140" w:lineRule="exact"/>
        <w:rPr>
          <w:sz w:val="20"/>
          <w:szCs w:val="20"/>
          <w:color w:val="auto"/>
        </w:rPr>
      </w:pPr>
    </w:p>
    <w:p>
      <w:pPr>
        <w:ind w:left="340" w:right="300" w:hanging="224"/>
        <w:spacing w:after="0" w:line="256" w:lineRule="auto"/>
        <w:tabs>
          <w:tab w:leader="none" w:pos="340" w:val="left"/>
        </w:tabs>
        <w:numPr>
          <w:ilvl w:val="0"/>
          <w:numId w:val="96"/>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Core Operating Earnings </w:t>
      </w:r>
      <w:r>
        <w:rPr>
          <w:rFonts w:ascii="Arial" w:cs="Arial" w:eastAsia="Arial" w:hAnsi="Arial"/>
          <w:sz w:val="16"/>
          <w:szCs w:val="16"/>
          <w:color w:val="auto"/>
        </w:rPr>
        <w:t>is an additional performance measure we use because the computation of Nareit Funds from Operations (“Nareit FFO”)</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 certain non-comparable items that affect our period-over-period performance. Core Operating Earnings excludes from Nareit FFO:</w:t>
      </w:r>
    </w:p>
    <w:p>
      <w:pPr>
        <w:spacing w:after="0" w:line="1" w:lineRule="exact"/>
        <w:rPr>
          <w:rFonts w:ascii="Wingdings" w:cs="Wingdings" w:eastAsia="Wingdings" w:hAnsi="Wingdings"/>
          <w:sz w:val="16"/>
          <w:szCs w:val="16"/>
          <w:b w:val="1"/>
          <w:bCs w:val="1"/>
          <w:color w:val="auto"/>
        </w:rPr>
      </w:pPr>
    </w:p>
    <w:p>
      <w:pPr>
        <w:ind w:left="340" w:right="280"/>
        <w:spacing w:after="0" w:line="252" w:lineRule="auto"/>
        <w:rPr>
          <w:rFonts w:ascii="Wingdings" w:cs="Wingdings" w:eastAsia="Wingdings" w:hAnsi="Wingdings"/>
          <w:sz w:val="16"/>
          <w:szCs w:val="16"/>
          <w:b w:val="1"/>
          <w:bCs w:val="1"/>
          <w:color w:val="auto"/>
        </w:rPr>
      </w:pPr>
      <w:r>
        <w:rPr>
          <w:rFonts w:ascii="Arial" w:cs="Arial" w:eastAsia="Arial" w:hAnsi="Arial"/>
          <w:sz w:val="16"/>
          <w:szCs w:val="16"/>
          <w:color w:val="auto"/>
        </w:rPr>
        <w:t>(i)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 We provide reconciliations of both Net Income Attributable to Common Shareholders to Nareit FFO and Nareit FFO to Core Operating Earnings.</w:t>
      </w:r>
    </w:p>
    <w:p>
      <w:pPr>
        <w:spacing w:after="0" w:line="88" w:lineRule="exact"/>
        <w:rPr>
          <w:rFonts w:ascii="Wingdings" w:cs="Wingdings" w:eastAsia="Wingdings" w:hAnsi="Wingdings"/>
          <w:sz w:val="16"/>
          <w:szCs w:val="16"/>
          <w:b w:val="1"/>
          <w:bCs w:val="1"/>
          <w:color w:val="auto"/>
        </w:rPr>
      </w:pPr>
    </w:p>
    <w:p>
      <w:pPr>
        <w:ind w:left="340" w:right="220" w:hanging="224"/>
        <w:spacing w:after="0" w:line="259" w:lineRule="auto"/>
        <w:tabs>
          <w:tab w:leader="none" w:pos="340" w:val="left"/>
        </w:tabs>
        <w:numPr>
          <w:ilvl w:val="0"/>
          <w:numId w:val="96"/>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Nareit EBITDA</w:t>
      </w:r>
      <w:r>
        <w:rPr>
          <w:rFonts w:ascii="Arial" w:cs="Arial" w:eastAsia="Arial" w:hAnsi="Arial"/>
          <w:sz w:val="16"/>
          <w:szCs w:val="16"/>
          <w:b w:val="1"/>
          <w:bCs w:val="1"/>
          <w:i w:val="1"/>
          <w:iCs w:val="1"/>
          <w:color w:val="auto"/>
        </w:rPr>
        <w:t>re</w:t>
      </w:r>
      <w:r>
        <w:rPr>
          <w:rFonts w:ascii="Arial" w:cs="Arial" w:eastAsia="Arial" w:hAnsi="Arial"/>
          <w:sz w:val="16"/>
          <w:szCs w:val="16"/>
          <w:b w:val="1"/>
          <w:bCs w:val="1"/>
          <w:color w:val="auto"/>
        </w:rPr>
        <w:t xml:space="preserve"> </w:t>
      </w:r>
      <w:r>
        <w:rPr>
          <w:rFonts w:ascii="Arial" w:cs="Arial" w:eastAsia="Arial" w:hAnsi="Arial"/>
          <w:sz w:val="16"/>
          <w:szCs w:val="16"/>
          <w:color w:val="auto"/>
        </w:rPr>
        <w:t>is a measure of REIT performance, which the National Association of Real Estate Investment Trusts (“Nareit”) defines as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computed in accordance with GAAP, excluding (i) interest expense, (ii) income tax expense, (iii) depreciation and amortization, (iv) gains on sales of real estate, (v) impairments of real estate, and (vi) adjustments to reflect the Company’s share of unconsolidated partnerships and joint ventures.</w:t>
      </w:r>
    </w:p>
    <w:p>
      <w:pPr>
        <w:spacing w:after="0" w:line="83" w:lineRule="exact"/>
        <w:rPr>
          <w:rFonts w:ascii="Wingdings" w:cs="Wingdings" w:eastAsia="Wingdings" w:hAnsi="Wingdings"/>
          <w:sz w:val="16"/>
          <w:szCs w:val="16"/>
          <w:b w:val="1"/>
          <w:bCs w:val="1"/>
          <w:color w:val="auto"/>
        </w:rPr>
      </w:pPr>
    </w:p>
    <w:p>
      <w:pPr>
        <w:ind w:left="340" w:right="120" w:hanging="224"/>
        <w:spacing w:after="0" w:line="259" w:lineRule="auto"/>
        <w:tabs>
          <w:tab w:leader="none" w:pos="340" w:val="left"/>
        </w:tabs>
        <w:numPr>
          <w:ilvl w:val="0"/>
          <w:numId w:val="96"/>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Nareit Funds From Operations </w:t>
      </w:r>
      <w:r>
        <w:rPr>
          <w:rFonts w:ascii="Arial" w:cs="Arial" w:eastAsia="Arial" w:hAnsi="Arial"/>
          <w:sz w:val="16"/>
          <w:szCs w:val="16"/>
          <w:color w:val="auto"/>
        </w:rPr>
        <w:t>(“Nareit FFO”) is a commonly used measure of REIT performance, which Nareit defines as net income, computed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GAAP, excluding gains on sales and impairments of real estate, net of tax, plus depreciation and amortization, and after adjustments for unconsolidated real estate investment partnerships and joint ventures. We compute Nareit FFO for all periods presented in accordance with Nareit’s definition.</w:t>
      </w:r>
    </w:p>
    <w:p>
      <w:pPr>
        <w:spacing w:after="0" w:line="83" w:lineRule="exact"/>
        <w:rPr>
          <w:sz w:val="20"/>
          <w:szCs w:val="20"/>
          <w:color w:val="auto"/>
        </w:rPr>
      </w:pPr>
    </w:p>
    <w:p>
      <w:pPr>
        <w:ind w:left="340" w:right="20" w:hanging="224"/>
        <w:spacing w:after="0" w:line="253"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Companies use different depreciable lives and methods, and real estate values historically fluctuate with market conditions. Since Nareit FFO excludes depreciation and amortization and gains on sale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our financial performance not immediately apparent from net income determined in accordance with GAAP. Thus, Nareit FFO is a supplemental non-GAAP financial measure of our operating performance, which does not represent cash generated from operating activities in accordance with GAAP; and, therefore, should not be considered a substitute measure of cash flows from operations. We provide a reconciliation of Net Income Attributable to Common Shareholders to Nareit FFO.</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3"/>
          <w:szCs w:val="13"/>
          <w:color w:val="6A6E6F"/>
        </w:rPr>
        <w:t>REGENCY CENTERS </w:t>
      </w:r>
      <w:r>
        <w:rPr>
          <w:rFonts w:ascii="Arial" w:cs="Arial" w:eastAsia="Arial" w:hAnsi="Arial"/>
          <w:sz w:val="17"/>
          <w:szCs w:val="17"/>
          <w:color w:val="6A6E6F"/>
        </w:rPr>
        <w:t>|</w:t>
      </w:r>
      <w:r>
        <w:rPr>
          <w:rFonts w:ascii="Arial" w:cs="Arial" w:eastAsia="Arial" w:hAnsi="Arial"/>
          <w:sz w:val="13"/>
          <w:szCs w:val="13"/>
          <w:color w:val="6A6E6F"/>
        </w:rPr>
        <w:t> 2026 PROXY STATEMENT </w:t>
      </w:r>
      <w:r>
        <w:rPr>
          <w:rFonts w:ascii="Arial" w:cs="Arial" w:eastAsia="Arial" w:hAnsi="Arial"/>
          <w:sz w:val="17"/>
          <w:szCs w:val="17"/>
          <w:color w:val="6A6E6F"/>
        </w:rPr>
        <w:t>|</w:t>
      </w:r>
      <w:r>
        <w:rPr>
          <w:rFonts w:ascii="Arial" w:cs="Arial" w:eastAsia="Arial" w:hAnsi="Arial"/>
          <w:sz w:val="13"/>
          <w:szCs w:val="13"/>
          <w:color w:val="000000"/>
        </w:rPr>
        <w:t xml:space="preserve"> </w:t>
      </w:r>
      <w:r>
        <w:rPr>
          <w:rFonts w:ascii="Arial" w:cs="Arial" w:eastAsia="Arial" w:hAnsi="Arial"/>
          <w:sz w:val="13"/>
          <w:szCs w:val="13"/>
          <w:b w:val="1"/>
          <w:bCs w:val="1"/>
          <w:color w:val="000000"/>
        </w:rPr>
        <w:t>A-1</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Appendix A—Definitions and Reconciliations of GAAP and Non-GAAP Financial Measures</w:t>
      </w:r>
    </w:p>
    <w:p>
      <w:pPr>
        <w:spacing w:after="0" w:line="144" w:lineRule="exact"/>
        <w:rPr>
          <w:sz w:val="20"/>
          <w:szCs w:val="20"/>
          <w:color w:val="auto"/>
        </w:rPr>
      </w:pPr>
    </w:p>
    <w:p>
      <w:pPr>
        <w:ind w:left="340" w:right="80" w:hanging="224"/>
        <w:spacing w:after="0" w:line="259" w:lineRule="auto"/>
        <w:tabs>
          <w:tab w:leader="none" w:pos="340" w:val="left"/>
        </w:tabs>
        <w:numPr>
          <w:ilvl w:val="0"/>
          <w:numId w:val="98"/>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Net Operating Income </w:t>
      </w:r>
      <w:r>
        <w:rPr>
          <w:rFonts w:ascii="Arial" w:cs="Arial" w:eastAsia="Arial" w:hAnsi="Arial"/>
          <w:sz w:val="16"/>
          <w:szCs w:val="16"/>
          <w:color w:val="auto"/>
        </w:rPr>
        <w:t>(“NOI”) is the sum of base rent, percentage rent, termination fee income, tenant recoveries, other lease income,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income, less operating and maintenance expenses, real estate taxes, ground rent, termination expense, and uncollectible lease income. NOI excludes straight-line rental income and expense, above and below market rent and ground rent amortization, tenant lease inducement amortization, and other fees. We also provide disclosure of NOI excluding termination fees, which excludes both termination fee income and expenses.</w:t>
      </w:r>
    </w:p>
    <w:p>
      <w:pPr>
        <w:spacing w:after="0" w:line="83" w:lineRule="exact"/>
        <w:rPr>
          <w:sz w:val="20"/>
          <w:szCs w:val="20"/>
          <w:color w:val="auto"/>
        </w:rPr>
      </w:pPr>
    </w:p>
    <w:p>
      <w:pPr>
        <w:ind w:left="340" w:hanging="224"/>
        <w:spacing w:after="0" w:line="253"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Management believes that NOI is a useful measure for investors because it provides insight into the core operations and performance of our properties, independent of the capital structure, financing activities, and non-operating factors. By focusing on property-level performance, NOI allows investors to compare the performance of our real estate assets across periods and with those of other REIT peers in the industry, facilitating a clearer understanding of trends in occupancy, rental income, and operating expense management. In addition to its relevance for investors, management uses NOI as a key performance metric in making operational and strategic decisions. NOI is used to evaluate income generated from shopping centers (i.e., return on assets) and to guide decisions on capital investments. These decisions may include acquisitions, redevelopments, and investments in capital improvements.</w:t>
      </w:r>
    </w:p>
    <w:p>
      <w:pPr>
        <w:spacing w:after="0" w:line="87" w:lineRule="exact"/>
        <w:rPr>
          <w:sz w:val="20"/>
          <w:szCs w:val="20"/>
          <w:color w:val="auto"/>
        </w:rPr>
      </w:pPr>
    </w:p>
    <w:p>
      <w:pPr>
        <w:ind w:left="340" w:right="60" w:hanging="224"/>
        <w:spacing w:after="0" w:line="286" w:lineRule="auto"/>
        <w:tabs>
          <w:tab w:leader="none" w:pos="340" w:val="left"/>
        </w:tabs>
        <w:numPr>
          <w:ilvl w:val="0"/>
          <w:numId w:val="100"/>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Operating EBITDA</w:t>
      </w:r>
      <w:r>
        <w:rPr>
          <w:rFonts w:ascii="Arial" w:cs="Arial" w:eastAsia="Arial" w:hAnsi="Arial"/>
          <w:sz w:val="16"/>
          <w:szCs w:val="16"/>
          <w:b w:val="1"/>
          <w:bCs w:val="1"/>
          <w:i w:val="1"/>
          <w:iCs w:val="1"/>
          <w:color w:val="auto"/>
        </w:rPr>
        <w:t>re</w:t>
      </w:r>
      <w:r>
        <w:rPr>
          <w:rFonts w:ascii="Arial" w:cs="Arial" w:eastAsia="Arial" w:hAnsi="Arial"/>
          <w:sz w:val="16"/>
          <w:szCs w:val="16"/>
          <w:b w:val="1"/>
          <w:bCs w:val="1"/>
          <w:color w:val="auto"/>
        </w:rPr>
        <w:t xml:space="preserve"> </w:t>
      </w:r>
      <w:r>
        <w:rPr>
          <w:rFonts w:ascii="Arial" w:cs="Arial" w:eastAsia="Arial" w:hAnsi="Arial"/>
          <w:sz w:val="16"/>
          <w:szCs w:val="16"/>
          <w:color w:val="auto"/>
        </w:rPr>
        <w:t>begins with Nareit EBITDAre and excludes certain non-cash components of earnings derived from straight-line rents and above</w:t>
      </w:r>
      <w:r>
        <w:rPr>
          <w:rFonts w:ascii="Arial" w:cs="Arial" w:eastAsia="Arial" w:hAnsi="Arial"/>
          <w:sz w:val="16"/>
          <w:szCs w:val="16"/>
          <w:b w:val="1"/>
          <w:bCs w:val="1"/>
          <w:color w:val="auto"/>
        </w:rPr>
        <w:t xml:space="preserve"> </w:t>
      </w:r>
      <w:r>
        <w:rPr>
          <w:rFonts w:ascii="Arial" w:cs="Arial" w:eastAsia="Arial" w:hAnsi="Arial"/>
          <w:sz w:val="16"/>
          <w:szCs w:val="16"/>
          <w:color w:val="auto"/>
        </w:rPr>
        <w:t>and below market rent amortization. We provide a reconciliation of Net income to Nareit EBITDAre to Operating EBITDAre.</w:t>
      </w:r>
    </w:p>
    <w:p>
      <w:pPr>
        <w:spacing w:after="0" w:line="61" w:lineRule="exact"/>
        <w:rPr>
          <w:rFonts w:ascii="Wingdings" w:cs="Wingdings" w:eastAsia="Wingdings" w:hAnsi="Wingdings"/>
          <w:sz w:val="16"/>
          <w:szCs w:val="16"/>
          <w:b w:val="1"/>
          <w:bCs w:val="1"/>
          <w:color w:val="auto"/>
        </w:rPr>
      </w:pPr>
    </w:p>
    <w:p>
      <w:pPr>
        <w:ind w:left="340" w:hanging="224"/>
        <w:spacing w:after="0" w:line="249" w:lineRule="auto"/>
        <w:tabs>
          <w:tab w:leader="none" w:pos="340" w:val="left"/>
        </w:tabs>
        <w:numPr>
          <w:ilvl w:val="0"/>
          <w:numId w:val="100"/>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Pro Rata </w:t>
      </w:r>
      <w:r>
        <w:rPr>
          <w:rFonts w:ascii="Arial" w:cs="Arial" w:eastAsia="Arial" w:hAnsi="Arial"/>
          <w:sz w:val="16"/>
          <w:szCs w:val="16"/>
          <w:color w:val="auto"/>
        </w:rPr>
        <w:t>information includes 100% of our consolidated properties plus our economic share (based on our ownership interest) in our unconsolidated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real estate investment partnerships. We provide Pro-rata financial information because we believe it assists investors and analysts in estimating our economic interest in our consolidated and unconsolidated real estate investment partnerships, when read in conjunction with our reported results under GAAP. We believe presenting our Pro-rata share of assets, liabilities, operating results, and other metrics, along with certain other non-GAAP financial measures, makes comparisons of our operating results to those of other REITs more meaningful. The Pro-rata information provided is not, nor is it intended to be, presented in accordance with GAAP. The Pro-rata supplemental details of assets and liabilities and supplemental details of operations reflect our proportionate economic ownership of the assets, liabilities, and operating results of the properties in our portfolio. The Pro-rata information is prepared on a basis consistent with the comparable consolidated amounts and is intended to more accurately reflect our proportionate economic interest in the assets, liabilities, and operating results of properties in our portfolio. We do not control the unconsolidated real estate investment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Our share of invested capital establishes the ownership interests we use to prepare our Pro-rata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presentation of Pro-rata information has limitations which include, but are not limited to, the following:</w:t>
      </w:r>
    </w:p>
    <w:p>
      <w:pPr>
        <w:spacing w:after="0" w:line="127" w:lineRule="exact"/>
        <w:rPr>
          <w:sz w:val="20"/>
          <w:szCs w:val="20"/>
          <w:color w:val="auto"/>
        </w:rPr>
      </w:pPr>
    </w:p>
    <w:p>
      <w:pPr>
        <w:ind w:left="760" w:right="80" w:hanging="212"/>
        <w:spacing w:after="0" w:line="266" w:lineRule="auto"/>
        <w:tabs>
          <w:tab w:leader="none" w:pos="760" w:val="left"/>
        </w:tabs>
        <w:numPr>
          <w:ilvl w:val="0"/>
          <w:numId w:val="101"/>
        </w:numPr>
        <w:rPr>
          <w:rFonts w:ascii="Wingdings" w:cs="Wingdings" w:eastAsia="Wingdings" w:hAnsi="Wingdings"/>
          <w:sz w:val="16"/>
          <w:szCs w:val="16"/>
          <w:b w:val="1"/>
          <w:bCs w:val="1"/>
          <w:color w:val="auto"/>
        </w:rPr>
      </w:pPr>
      <w:r>
        <w:rPr>
          <w:rFonts w:ascii="Arial" w:cs="Arial" w:eastAsia="Arial" w:hAnsi="Arial"/>
          <w:sz w:val="16"/>
          <w:szCs w:val="16"/>
          <w:color w:val="auto"/>
        </w:rPr>
        <w:t>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w:t>
      </w:r>
    </w:p>
    <w:p>
      <w:pPr>
        <w:spacing w:after="0" w:line="76" w:lineRule="exact"/>
        <w:rPr>
          <w:rFonts w:ascii="Wingdings" w:cs="Wingdings" w:eastAsia="Wingdings" w:hAnsi="Wingdings"/>
          <w:sz w:val="16"/>
          <w:szCs w:val="16"/>
          <w:b w:val="1"/>
          <w:bCs w:val="1"/>
          <w:color w:val="auto"/>
        </w:rPr>
      </w:pPr>
    </w:p>
    <w:p>
      <w:pPr>
        <w:ind w:left="760" w:hanging="212"/>
        <w:spacing w:after="0"/>
        <w:tabs>
          <w:tab w:leader="none" w:pos="760" w:val="left"/>
        </w:tabs>
        <w:numPr>
          <w:ilvl w:val="0"/>
          <w:numId w:val="101"/>
        </w:numPr>
        <w:rPr>
          <w:rFonts w:ascii="Wingdings" w:cs="Wingdings" w:eastAsia="Wingdings" w:hAnsi="Wingdings"/>
          <w:sz w:val="16"/>
          <w:szCs w:val="16"/>
          <w:b w:val="1"/>
          <w:bCs w:val="1"/>
          <w:color w:val="auto"/>
        </w:rPr>
      </w:pPr>
      <w:r>
        <w:rPr>
          <w:rFonts w:ascii="Arial" w:cs="Arial" w:eastAsia="Arial" w:hAnsi="Arial"/>
          <w:sz w:val="16"/>
          <w:szCs w:val="16"/>
          <w:color w:val="auto"/>
        </w:rPr>
        <w:t>Other companies in our industry may calculate their Pro-rata interest differently, limiting the comparability of Pro-rata information.</w:t>
      </w:r>
    </w:p>
    <w:p>
      <w:pPr>
        <w:spacing w:after="0" w:line="113"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Because of these limitations, the Pro-rata financial information should not be considered independently or as a substitute for our financial statements as reported under GAAP. We compensate for these limitations by relying primarily on our GAAP financial statements, using the Pro-rata information as a supplement.</w:t>
      </w:r>
    </w:p>
    <w:p>
      <w:pPr>
        <w:spacing w:after="0" w:line="77" w:lineRule="exact"/>
        <w:rPr>
          <w:sz w:val="20"/>
          <w:szCs w:val="20"/>
          <w:color w:val="auto"/>
        </w:rPr>
      </w:pPr>
    </w:p>
    <w:p>
      <w:pPr>
        <w:ind w:left="340" w:right="20" w:hanging="224"/>
        <w:spacing w:after="0" w:line="254" w:lineRule="auto"/>
        <w:tabs>
          <w:tab w:leader="none" w:pos="340" w:val="left"/>
        </w:tabs>
        <w:numPr>
          <w:ilvl w:val="0"/>
          <w:numId w:val="102"/>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Pro Rata Same Property NOI </w:t>
      </w:r>
      <w:r>
        <w:rPr>
          <w:rFonts w:ascii="Arial" w:cs="Arial" w:eastAsia="Arial" w:hAnsi="Arial"/>
          <w:sz w:val="16"/>
          <w:szCs w:val="16"/>
          <w:color w:val="auto"/>
        </w:rPr>
        <w:t>is a key non-GAAP financial measure commonly used by REITs to evaluate operating performance. It is calculated on a</w:t>
      </w:r>
      <w:r>
        <w:rPr>
          <w:rFonts w:ascii="Arial" w:cs="Arial" w:eastAsia="Arial" w:hAnsi="Arial"/>
          <w:sz w:val="16"/>
          <w:szCs w:val="16"/>
          <w:b w:val="1"/>
          <w:bCs w:val="1"/>
          <w:color w:val="auto"/>
        </w:rPr>
        <w:t xml:space="preserve"> </w:t>
      </w:r>
      <w:r>
        <w:rPr>
          <w:rFonts w:ascii="Arial" w:cs="Arial" w:eastAsia="Arial" w:hAnsi="Arial"/>
          <w:sz w:val="16"/>
          <w:szCs w:val="16"/>
          <w:color w:val="auto"/>
        </w:rPr>
        <w:t>proportionate ownership basis for properties held during the comparable reporting periods, excluding revenue and expenses related to non-same properties during the applicable periods. We believe this measure provides investors with a useful and consistent comparison of our operating performance and trends. We use Pro-rata Same Property NOI as a supplemental measure to assess property-level performance, excluding the effects of corporate-level expenses, financing costs, and non-operating activities. This measure allows investors to evaluate trends in revenue and expense growth for properties that have been consistently operated during the periods.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A-2</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Appendix A—Definitions and Reconciliations of GAAP and Non-GAAP Financial Measures </w:t>
      </w:r>
      <w:r>
        <w:rPr>
          <w:rFonts w:ascii="Arial" w:cs="Arial" w:eastAsia="Arial" w:hAnsi="Arial"/>
          <w:sz w:val="19"/>
          <w:szCs w:val="19"/>
          <w:b w:val="1"/>
          <w:bCs w:val="1"/>
          <w:color w:val="E56D3D"/>
        </w:rPr>
        <w:t>|</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u w:val="single" w:color="auto"/>
          <w:color w:val="6A6E6F"/>
        </w:rPr>
        <w:t>OTHER DEFINED TERMS:</w:t>
      </w:r>
    </w:p>
    <w:p>
      <w:pPr>
        <w:spacing w:after="0" w:line="126"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The following terms, as defined, are commonly used by management and the investing public to understand, and evaluate our operational results, and are included in this document:</w:t>
      </w:r>
    </w:p>
    <w:p>
      <w:pPr>
        <w:spacing w:after="0" w:line="61" w:lineRule="exact"/>
        <w:rPr>
          <w:sz w:val="20"/>
          <w:szCs w:val="20"/>
          <w:color w:val="auto"/>
        </w:rPr>
      </w:pPr>
    </w:p>
    <w:p>
      <w:pPr>
        <w:ind w:left="340" w:right="20" w:hanging="224"/>
        <w:spacing w:after="0" w:line="266" w:lineRule="auto"/>
        <w:tabs>
          <w:tab w:leader="none" w:pos="340" w:val="left"/>
        </w:tabs>
        <w:numPr>
          <w:ilvl w:val="0"/>
          <w:numId w:val="103"/>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Development Completion </w:t>
      </w:r>
      <w:r>
        <w:rPr>
          <w:rFonts w:ascii="Arial" w:cs="Arial" w:eastAsia="Arial" w:hAnsi="Arial"/>
          <w:sz w:val="16"/>
          <w:szCs w:val="16"/>
          <w:color w:val="auto"/>
        </w:rPr>
        <w:t>is a Property in Development that is deemed complete upon the earlier of: (i) 90% of total estimated net development costs</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incurred and percent leased equals or exceeds 95%, or (ii) the property features at least two years of anchor operations. Once deemed complete, the property is termed a Retail Operating Property.</w:t>
      </w:r>
    </w:p>
    <w:p>
      <w:pPr>
        <w:spacing w:after="0" w:line="76" w:lineRule="exact"/>
        <w:rPr>
          <w:rFonts w:ascii="Wingdings" w:cs="Wingdings" w:eastAsia="Wingdings" w:hAnsi="Wingdings"/>
          <w:sz w:val="16"/>
          <w:szCs w:val="16"/>
          <w:b w:val="1"/>
          <w:bCs w:val="1"/>
          <w:color w:val="auto"/>
        </w:rPr>
      </w:pPr>
    </w:p>
    <w:p>
      <w:pPr>
        <w:ind w:left="340" w:right="20" w:hanging="224"/>
        <w:spacing w:after="0" w:line="266" w:lineRule="auto"/>
        <w:tabs>
          <w:tab w:leader="none" w:pos="340" w:val="left"/>
        </w:tabs>
        <w:numPr>
          <w:ilvl w:val="0"/>
          <w:numId w:val="103"/>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A Non-Same Property </w:t>
      </w:r>
      <w:r>
        <w:rPr>
          <w:rFonts w:ascii="Arial" w:cs="Arial" w:eastAsia="Arial" w:hAnsi="Arial"/>
          <w:sz w:val="16"/>
          <w:szCs w:val="16"/>
          <w:color w:val="auto"/>
        </w:rPr>
        <w:t>is any property, during either calendar year period being compared, that was acquired, sold, a Property in Development, a</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Completion, or a property under, or being positioned for, significant redevelopment that distorts comparability between periods. Non-retail properties and corporate activities, including the captive insurance program, are part of Non-Same Property.</w:t>
      </w:r>
    </w:p>
    <w:p>
      <w:pPr>
        <w:spacing w:after="0" w:line="76" w:lineRule="exact"/>
        <w:rPr>
          <w:rFonts w:ascii="Wingdings" w:cs="Wingdings" w:eastAsia="Wingdings" w:hAnsi="Wingdings"/>
          <w:sz w:val="16"/>
          <w:szCs w:val="16"/>
          <w:b w:val="1"/>
          <w:bCs w:val="1"/>
          <w:color w:val="auto"/>
        </w:rPr>
      </w:pPr>
    </w:p>
    <w:p>
      <w:pPr>
        <w:ind w:left="340" w:hanging="224"/>
        <w:spacing w:after="0"/>
        <w:tabs>
          <w:tab w:leader="none" w:pos="340" w:val="left"/>
        </w:tabs>
        <w:numPr>
          <w:ilvl w:val="0"/>
          <w:numId w:val="103"/>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Property In Development </w:t>
      </w:r>
      <w:r>
        <w:rPr>
          <w:rFonts w:ascii="Arial" w:cs="Arial" w:eastAsia="Arial" w:hAnsi="Arial"/>
          <w:sz w:val="16"/>
          <w:szCs w:val="16"/>
          <w:color w:val="auto"/>
        </w:rPr>
        <w:t>includes properties in various stages of ground-up development.</w:t>
      </w:r>
    </w:p>
    <w:p>
      <w:pPr>
        <w:spacing w:after="0" w:line="126" w:lineRule="exact"/>
        <w:rPr>
          <w:rFonts w:ascii="Wingdings" w:cs="Wingdings" w:eastAsia="Wingdings" w:hAnsi="Wingdings"/>
          <w:sz w:val="16"/>
          <w:szCs w:val="16"/>
          <w:b w:val="1"/>
          <w:bCs w:val="1"/>
          <w:color w:val="auto"/>
        </w:rPr>
      </w:pPr>
    </w:p>
    <w:p>
      <w:pPr>
        <w:ind w:left="340" w:right="400" w:hanging="224"/>
        <w:spacing w:after="0" w:line="286" w:lineRule="auto"/>
        <w:tabs>
          <w:tab w:leader="none" w:pos="340" w:val="left"/>
        </w:tabs>
        <w:numPr>
          <w:ilvl w:val="0"/>
          <w:numId w:val="103"/>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Property In Redevelopment </w:t>
      </w:r>
      <w:r>
        <w:rPr>
          <w:rFonts w:ascii="Arial" w:cs="Arial" w:eastAsia="Arial" w:hAnsi="Arial"/>
          <w:sz w:val="16"/>
          <w:szCs w:val="16"/>
          <w:color w:val="auto"/>
        </w:rPr>
        <w:t>includes Retail Operating Properties under redevelopment or being positioned for redevelopment. Unless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indicated, a Property in Redevelopment is included in the Same Property pool.</w:t>
      </w:r>
    </w:p>
    <w:p>
      <w:pPr>
        <w:spacing w:after="0" w:line="61" w:lineRule="exact"/>
        <w:rPr>
          <w:rFonts w:ascii="Wingdings" w:cs="Wingdings" w:eastAsia="Wingdings" w:hAnsi="Wingdings"/>
          <w:sz w:val="16"/>
          <w:szCs w:val="16"/>
          <w:b w:val="1"/>
          <w:bCs w:val="1"/>
          <w:color w:val="auto"/>
        </w:rPr>
      </w:pPr>
    </w:p>
    <w:p>
      <w:pPr>
        <w:ind w:left="340" w:right="40" w:hanging="224"/>
        <w:spacing w:after="0" w:line="266" w:lineRule="auto"/>
        <w:tabs>
          <w:tab w:leader="none" w:pos="340" w:val="left"/>
        </w:tabs>
        <w:numPr>
          <w:ilvl w:val="0"/>
          <w:numId w:val="103"/>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Redevelopment Completion </w:t>
      </w:r>
      <w:r>
        <w:rPr>
          <w:rFonts w:ascii="Arial" w:cs="Arial" w:eastAsia="Arial" w:hAnsi="Arial"/>
          <w:sz w:val="16"/>
          <w:szCs w:val="16"/>
          <w:color w:val="auto"/>
        </w:rPr>
        <w:t>is a Property in Redevelopment that is deemed complete upon the earlier of: (i) 90% of total estimated project costs</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incurred and percent leased equals or exceeds 95% for the Company owned GLA related to the project, or (ii) the property features at least two years of anchor operations, if applicable.</w:t>
      </w:r>
    </w:p>
    <w:p>
      <w:pPr>
        <w:spacing w:after="0" w:line="76" w:lineRule="exact"/>
        <w:rPr>
          <w:rFonts w:ascii="Wingdings" w:cs="Wingdings" w:eastAsia="Wingdings" w:hAnsi="Wingdings"/>
          <w:sz w:val="16"/>
          <w:szCs w:val="16"/>
          <w:b w:val="1"/>
          <w:bCs w:val="1"/>
          <w:color w:val="auto"/>
        </w:rPr>
      </w:pPr>
    </w:p>
    <w:p>
      <w:pPr>
        <w:ind w:left="340" w:right="400" w:hanging="224"/>
        <w:spacing w:after="0" w:line="286" w:lineRule="auto"/>
        <w:tabs>
          <w:tab w:leader="none" w:pos="340" w:val="left"/>
        </w:tabs>
        <w:numPr>
          <w:ilvl w:val="0"/>
          <w:numId w:val="103"/>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Retail Operating Property </w:t>
      </w:r>
      <w:r>
        <w:rPr>
          <w:rFonts w:ascii="Arial" w:cs="Arial" w:eastAsia="Arial" w:hAnsi="Arial"/>
          <w:sz w:val="16"/>
          <w:szCs w:val="16"/>
          <w:color w:val="auto"/>
        </w:rPr>
        <w:t>is any retail property not termed a Property in Development. A retail property is any property where the majority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income is generated from retail uses.</w:t>
      </w:r>
    </w:p>
    <w:p>
      <w:pPr>
        <w:spacing w:after="0" w:line="61" w:lineRule="exact"/>
        <w:rPr>
          <w:rFonts w:ascii="Wingdings" w:cs="Wingdings" w:eastAsia="Wingdings" w:hAnsi="Wingdings"/>
          <w:sz w:val="16"/>
          <w:szCs w:val="16"/>
          <w:b w:val="1"/>
          <w:bCs w:val="1"/>
          <w:color w:val="auto"/>
        </w:rPr>
      </w:pPr>
    </w:p>
    <w:p>
      <w:pPr>
        <w:ind w:left="340" w:right="120" w:hanging="224"/>
        <w:spacing w:after="0" w:line="266" w:lineRule="auto"/>
        <w:tabs>
          <w:tab w:leader="none" w:pos="340" w:val="left"/>
        </w:tabs>
        <w:numPr>
          <w:ilvl w:val="0"/>
          <w:numId w:val="103"/>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Same Property </w:t>
      </w:r>
      <w:r>
        <w:rPr>
          <w:rFonts w:ascii="Arial" w:cs="Arial" w:eastAsia="Arial" w:hAnsi="Arial"/>
          <w:sz w:val="16"/>
          <w:szCs w:val="16"/>
          <w:color w:val="auto"/>
        </w:rPr>
        <w:t>is a Retail Operating Property that was owned and operated for the entirety of both calendar year periods being compared. This term</w:t>
      </w:r>
      <w:r>
        <w:rPr>
          <w:rFonts w:ascii="Arial" w:cs="Arial" w:eastAsia="Arial" w:hAnsi="Arial"/>
          <w:sz w:val="16"/>
          <w:szCs w:val="16"/>
          <w:b w:val="1"/>
          <w:bCs w:val="1"/>
          <w:color w:val="auto"/>
        </w:rPr>
        <w:t xml:space="preserve"> </w:t>
      </w:r>
      <w:r>
        <w:rPr>
          <w:rFonts w:ascii="Arial" w:cs="Arial" w:eastAsia="Arial" w:hAnsi="Arial"/>
          <w:sz w:val="16"/>
          <w:szCs w:val="16"/>
          <w:color w:val="auto"/>
        </w:rPr>
        <w:t>excludes Properties in Development, prior year Development Completions, and Non-Same Properties. Properties in Redevelopment are included unless otherwise indicated.</w:t>
      </w:r>
    </w:p>
    <w:p>
      <w:pPr>
        <w:spacing w:after="0" w:line="76" w:lineRule="exact"/>
        <w:rPr>
          <w:rFonts w:ascii="Wingdings" w:cs="Wingdings" w:eastAsia="Wingdings" w:hAnsi="Wingdings"/>
          <w:sz w:val="16"/>
          <w:szCs w:val="16"/>
          <w:b w:val="1"/>
          <w:bCs w:val="1"/>
          <w:color w:val="auto"/>
        </w:rPr>
      </w:pPr>
    </w:p>
    <w:p>
      <w:pPr>
        <w:ind w:left="340" w:right="60" w:hanging="224"/>
        <w:spacing w:after="0" w:line="266" w:lineRule="auto"/>
        <w:tabs>
          <w:tab w:leader="none" w:pos="340" w:val="left"/>
        </w:tabs>
        <w:numPr>
          <w:ilvl w:val="0"/>
          <w:numId w:val="103"/>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Same Property NOI </w:t>
      </w:r>
      <w:r>
        <w:rPr>
          <w:rFonts w:ascii="Arial" w:cs="Arial" w:eastAsia="Arial" w:hAnsi="Arial"/>
          <w:sz w:val="16"/>
          <w:szCs w:val="16"/>
          <w:color w:val="auto"/>
        </w:rPr>
        <w:t>is provided because we believe the measure provides investors with additional information regarding the operating performances</w:t>
      </w:r>
      <w:r>
        <w:rPr>
          <w:rFonts w:ascii="Arial" w:cs="Arial" w:eastAsia="Arial" w:hAnsi="Arial"/>
          <w:sz w:val="16"/>
          <w:szCs w:val="16"/>
          <w:b w:val="1"/>
          <w:bCs w:val="1"/>
          <w:color w:val="auto"/>
        </w:rPr>
        <w:t xml:space="preserve"> </w:t>
      </w:r>
      <w:r>
        <w:rPr>
          <w:rFonts w:ascii="Arial" w:cs="Arial" w:eastAsia="Arial" w:hAnsi="Arial"/>
          <w:sz w:val="16"/>
          <w:szCs w:val="16"/>
          <w:color w:val="auto"/>
        </w:rPr>
        <w:t>of comparable assets. Same Property NOI excludes all development, non-same property and corporate level revenues and expenses. The Company also provides disclosure of NOI excluding termination fees, which excludes both termination fee income and expense.</w:t>
      </w:r>
    </w:p>
    <w:p>
      <w:pPr>
        <w:spacing w:after="0" w:line="76" w:lineRule="exact"/>
        <w:rPr>
          <w:rFonts w:ascii="Wingdings" w:cs="Wingdings" w:eastAsia="Wingdings" w:hAnsi="Wingdings"/>
          <w:sz w:val="16"/>
          <w:szCs w:val="16"/>
          <w:b w:val="1"/>
          <w:bCs w:val="1"/>
          <w:color w:val="auto"/>
        </w:rPr>
      </w:pPr>
    </w:p>
    <w:p>
      <w:pPr>
        <w:ind w:left="340" w:hanging="224"/>
        <w:spacing w:after="0"/>
        <w:tabs>
          <w:tab w:leader="none" w:pos="340" w:val="left"/>
        </w:tabs>
        <w:numPr>
          <w:ilvl w:val="0"/>
          <w:numId w:val="103"/>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 xml:space="preserve">Shop Space </w:t>
      </w:r>
      <w:r>
        <w:rPr>
          <w:rFonts w:ascii="Arial" w:cs="Arial" w:eastAsia="Arial" w:hAnsi="Arial"/>
          <w:sz w:val="16"/>
          <w:szCs w:val="16"/>
          <w:color w:val="auto"/>
        </w:rPr>
        <w:t>is space under 10,000 square feet in a Retail Operating Property.</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3"/>
          <w:szCs w:val="13"/>
          <w:color w:val="6A6E6F"/>
        </w:rPr>
        <w:t>REGENCY CENTERS </w:t>
      </w:r>
      <w:r>
        <w:rPr>
          <w:rFonts w:ascii="Arial" w:cs="Arial" w:eastAsia="Arial" w:hAnsi="Arial"/>
          <w:sz w:val="17"/>
          <w:szCs w:val="17"/>
          <w:color w:val="6A6E6F"/>
        </w:rPr>
        <w:t>|</w:t>
      </w:r>
      <w:r>
        <w:rPr>
          <w:rFonts w:ascii="Arial" w:cs="Arial" w:eastAsia="Arial" w:hAnsi="Arial"/>
          <w:sz w:val="13"/>
          <w:szCs w:val="13"/>
          <w:color w:val="6A6E6F"/>
        </w:rPr>
        <w:t> 2026 PROXY STATEMENT </w:t>
      </w:r>
      <w:r>
        <w:rPr>
          <w:rFonts w:ascii="Arial" w:cs="Arial" w:eastAsia="Arial" w:hAnsi="Arial"/>
          <w:sz w:val="17"/>
          <w:szCs w:val="17"/>
          <w:color w:val="6A6E6F"/>
        </w:rPr>
        <w:t>|</w:t>
      </w:r>
      <w:r>
        <w:rPr>
          <w:rFonts w:ascii="Arial" w:cs="Arial" w:eastAsia="Arial" w:hAnsi="Arial"/>
          <w:sz w:val="13"/>
          <w:szCs w:val="13"/>
          <w:color w:val="000000"/>
        </w:rPr>
        <w:t xml:space="preserve"> </w:t>
      </w:r>
      <w:r>
        <w:rPr>
          <w:rFonts w:ascii="Arial" w:cs="Arial" w:eastAsia="Arial" w:hAnsi="Arial"/>
          <w:sz w:val="13"/>
          <w:szCs w:val="13"/>
          <w:b w:val="1"/>
          <w:bCs w:val="1"/>
          <w:color w:val="000000"/>
        </w:rPr>
        <w:t>A-3</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Appendix A—Definitions and Reconciliations of GAAP and Non-GAAP Financial Measures</w:t>
      </w:r>
    </w:p>
    <w:p>
      <w:pPr>
        <w:spacing w:after="0" w:line="130" w:lineRule="exact"/>
        <w:rPr>
          <w:sz w:val="20"/>
          <w:szCs w:val="20"/>
          <w:color w:val="auto"/>
        </w:rPr>
      </w:pPr>
    </w:p>
    <w:p>
      <w:pPr>
        <w:ind w:left="120" w:right="580"/>
        <w:spacing w:after="0" w:line="272" w:lineRule="auto"/>
        <w:rPr>
          <w:sz w:val="20"/>
          <w:szCs w:val="20"/>
          <w:color w:val="auto"/>
        </w:rPr>
      </w:pPr>
      <w:r>
        <w:rPr>
          <w:rFonts w:ascii="Arial" w:cs="Arial" w:eastAsia="Arial" w:hAnsi="Arial"/>
          <w:sz w:val="22"/>
          <w:szCs w:val="22"/>
          <w:b w:val="1"/>
          <w:bCs w:val="1"/>
          <w:color w:val="6A6E6F"/>
        </w:rPr>
        <w:t>Reconciliation of Net Income Attributable to Common Shareholders to Nareit FFO and Core Operating Earnings (in thousands)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For the Periods Ended December 31, 2025 and 2024</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2280" w:type="dxa"/>
            <w:vAlign w:val="bottom"/>
          </w:tcPr>
          <w:p>
            <w:pPr>
              <w:jc w:val="right"/>
              <w:ind w:right="108"/>
              <w:spacing w:after="0"/>
              <w:rPr>
                <w:sz w:val="20"/>
                <w:szCs w:val="20"/>
                <w:color w:val="auto"/>
              </w:rPr>
            </w:pPr>
            <w:r>
              <w:rPr>
                <w:rFonts w:ascii="Arial" w:cs="Arial" w:eastAsia="Arial" w:hAnsi="Arial"/>
                <w:sz w:val="14"/>
                <w:szCs w:val="14"/>
                <w:b w:val="1"/>
                <w:bCs w:val="1"/>
                <w:color w:val="E56D3D"/>
              </w:rPr>
              <w:t>2025</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E56D3D"/>
              </w:rPr>
              <w:t>2024</w:t>
            </w:r>
          </w:p>
        </w:tc>
      </w:tr>
      <w:tr>
        <w:trPr>
          <w:trHeight w:val="43"/>
        </w:trPr>
        <w:tc>
          <w:tcPr>
            <w:tcW w:w="7960" w:type="dxa"/>
            <w:vAlign w:val="bottom"/>
            <w:tcBorders>
              <w:bottom w:val="single" w:sz="8" w:color="E56D3D"/>
            </w:tcBorders>
          </w:tcPr>
          <w:p>
            <w:pPr>
              <w:spacing w:after="0"/>
              <w:rPr>
                <w:sz w:val="3"/>
                <w:szCs w:val="3"/>
                <w:color w:val="auto"/>
              </w:rPr>
            </w:pPr>
          </w:p>
        </w:tc>
        <w:tc>
          <w:tcPr>
            <w:tcW w:w="2280" w:type="dxa"/>
            <w:vAlign w:val="bottom"/>
            <w:tcBorders>
              <w:bottom w:val="single" w:sz="8" w:color="E56D3D"/>
            </w:tcBorders>
          </w:tcPr>
          <w:p>
            <w:pPr>
              <w:spacing w:after="0"/>
              <w:rPr>
                <w:sz w:val="3"/>
                <w:szCs w:val="3"/>
                <w:color w:val="auto"/>
              </w:rPr>
            </w:pPr>
          </w:p>
        </w:tc>
        <w:tc>
          <w:tcPr>
            <w:tcW w:w="780" w:type="dxa"/>
            <w:vAlign w:val="bottom"/>
            <w:tcBorders>
              <w:bottom w:val="single" w:sz="8" w:color="E56D3D"/>
            </w:tcBorders>
          </w:tcPr>
          <w:p>
            <w:pPr>
              <w:spacing w:after="0"/>
              <w:rPr>
                <w:sz w:val="3"/>
                <w:szCs w:val="3"/>
                <w:color w:val="auto"/>
              </w:rPr>
            </w:pPr>
          </w:p>
        </w:tc>
      </w:tr>
      <w:tr>
        <w:trPr>
          <w:trHeight w:val="236"/>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b w:val="1"/>
                <w:bCs w:val="1"/>
                <w:color w:val="auto"/>
              </w:rPr>
              <w:t>Reconciliation of Net Income Attributable to Common Shareholders to Nareit FFO:</w:t>
            </w:r>
          </w:p>
        </w:tc>
        <w:tc>
          <w:tcPr>
            <w:tcW w:w="22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r>
      <w:tr>
        <w:trPr>
          <w:trHeight w:val="233"/>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Net Income Attributable to Common Shareholders</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$513,810</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386,738</w:t>
            </w:r>
          </w:p>
        </w:tc>
      </w:tr>
      <w:tr>
        <w:trPr>
          <w:trHeight w:val="241"/>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Adjustments to reconcile to Nareit FFO</w:t>
            </w:r>
            <w:r>
              <w:rPr>
                <w:rFonts w:ascii="Arial" w:cs="Arial" w:eastAsia="Arial" w:hAnsi="Arial"/>
                <w:sz w:val="21"/>
                <w:szCs w:val="21"/>
                <w:color w:val="auto"/>
                <w:vertAlign w:val="superscript"/>
              </w:rPr>
              <w:t>(1)</w:t>
            </w:r>
            <w:r>
              <w:rPr>
                <w:rFonts w:ascii="Arial" w:cs="Arial" w:eastAsia="Arial" w:hAnsi="Arial"/>
                <w:sz w:val="14"/>
                <w:szCs w:val="14"/>
                <w:color w:val="auto"/>
              </w:rPr>
              <w:t>:</w:t>
            </w:r>
          </w:p>
        </w:tc>
        <w:tc>
          <w:tcPr>
            <w:tcW w:w="22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r>
      <w:tr>
        <w:trPr>
          <w:trHeight w:val="233"/>
        </w:trPr>
        <w:tc>
          <w:tcPr>
            <w:tcW w:w="79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Depreciation and amortization (excluding FF&amp;E)</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430,684</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422,581</w:t>
            </w:r>
          </w:p>
        </w:tc>
      </w:tr>
      <w:tr>
        <w:trPr>
          <w:trHeight w:val="237"/>
        </w:trPr>
        <w:tc>
          <w:tcPr>
            <w:tcW w:w="79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Gain on sale of real estate, net of tax</w:t>
            </w:r>
          </w:p>
        </w:tc>
        <w:tc>
          <w:tcPr>
            <w:tcW w:w="228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(100,444)</w:t>
            </w: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(35,069)</w:t>
            </w:r>
          </w:p>
        </w:tc>
      </w:tr>
      <w:tr>
        <w:trPr>
          <w:trHeight w:val="237"/>
        </w:trPr>
        <w:tc>
          <w:tcPr>
            <w:tcW w:w="79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Provision for impairment of real estate</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4,606</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14,304</w:t>
            </w:r>
          </w:p>
        </w:tc>
      </w:tr>
      <w:tr>
        <w:trPr>
          <w:trHeight w:val="236"/>
        </w:trPr>
        <w:tc>
          <w:tcPr>
            <w:tcW w:w="79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Exchangeable operating partnership units</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7,069</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2,338</w:t>
            </w:r>
          </w:p>
        </w:tc>
      </w:tr>
      <w:tr>
        <w:trPr>
          <w:trHeight w:val="239"/>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b w:val="1"/>
                <w:bCs w:val="1"/>
                <w:color w:val="auto"/>
              </w:rPr>
              <w:t>Nareit FFO</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$855,725</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790,892</w:t>
            </w:r>
          </w:p>
        </w:tc>
      </w:tr>
      <w:tr>
        <w:trPr>
          <w:trHeight w:val="234"/>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Reconciliation of Nareit FFO to Core Operating Earnings:</w:t>
            </w:r>
          </w:p>
        </w:tc>
        <w:tc>
          <w:tcPr>
            <w:tcW w:w="22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r>
      <w:tr>
        <w:trPr>
          <w:trHeight w:val="237"/>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Nareit FFO</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$855,725</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790,892</w:t>
            </w:r>
          </w:p>
        </w:tc>
      </w:tr>
      <w:tr>
        <w:trPr>
          <w:trHeight w:val="240"/>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Adjustments to reconcile to Core Operating Earnings</w:t>
            </w:r>
            <w:r>
              <w:rPr>
                <w:rFonts w:ascii="Arial" w:cs="Arial" w:eastAsia="Arial" w:hAnsi="Arial"/>
                <w:sz w:val="21"/>
                <w:szCs w:val="21"/>
                <w:color w:val="auto"/>
                <w:vertAlign w:val="superscript"/>
              </w:rPr>
              <w:t>(1)</w:t>
            </w:r>
            <w:r>
              <w:rPr>
                <w:rFonts w:ascii="Arial" w:cs="Arial" w:eastAsia="Arial" w:hAnsi="Arial"/>
                <w:sz w:val="14"/>
                <w:szCs w:val="14"/>
                <w:color w:val="auto"/>
              </w:rPr>
              <w:t>:</w:t>
            </w:r>
          </w:p>
        </w:tc>
        <w:tc>
          <w:tcPr>
            <w:tcW w:w="22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r>
      <w:tr>
        <w:trPr>
          <w:trHeight w:val="233"/>
        </w:trPr>
        <w:tc>
          <w:tcPr>
            <w:tcW w:w="79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Merger transition costs</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7,718</w:t>
            </w:r>
          </w:p>
        </w:tc>
      </w:tr>
      <w:tr>
        <w:trPr>
          <w:trHeight w:val="237"/>
        </w:trPr>
        <w:tc>
          <w:tcPr>
            <w:tcW w:w="79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Loss on early extinguishment of debt</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180</w:t>
            </w:r>
          </w:p>
        </w:tc>
      </w:tr>
      <w:tr>
        <w:trPr>
          <w:trHeight w:val="237"/>
        </w:trPr>
        <w:tc>
          <w:tcPr>
            <w:tcW w:w="79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Straight-line rent</w:t>
            </w:r>
          </w:p>
        </w:tc>
        <w:tc>
          <w:tcPr>
            <w:tcW w:w="228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(27,319)</w:t>
            </w: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(22,980)</w:t>
            </w:r>
          </w:p>
        </w:tc>
      </w:tr>
      <w:tr>
        <w:trPr>
          <w:trHeight w:val="237"/>
        </w:trPr>
        <w:tc>
          <w:tcPr>
            <w:tcW w:w="79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Uncollectible straight-line rent</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1,299</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2,446</w:t>
            </w:r>
          </w:p>
        </w:tc>
      </w:tr>
      <w:tr>
        <w:trPr>
          <w:trHeight w:val="236"/>
        </w:trPr>
        <w:tc>
          <w:tcPr>
            <w:tcW w:w="79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Above/below market rent amortization, net</w:t>
            </w:r>
          </w:p>
        </w:tc>
        <w:tc>
          <w:tcPr>
            <w:tcW w:w="228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(23,087)</w:t>
            </w: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(23,431)</w:t>
            </w:r>
          </w:p>
        </w:tc>
      </w:tr>
      <w:tr>
        <w:trPr>
          <w:trHeight w:val="236"/>
        </w:trPr>
        <w:tc>
          <w:tcPr>
            <w:tcW w:w="796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Debt and derivative mark-to-market amortization</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6,631</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5,837</w:t>
            </w:r>
          </w:p>
        </w:tc>
      </w:tr>
      <w:tr>
        <w:trPr>
          <w:trHeight w:val="240"/>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b w:val="1"/>
                <w:bCs w:val="1"/>
                <w:color w:val="auto"/>
              </w:rPr>
              <w:t>Core Operating Earnings</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$813,249</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760,662</w:t>
            </w:r>
          </w:p>
        </w:tc>
      </w:tr>
      <w:tr>
        <w:trPr>
          <w:trHeight w:val="233"/>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Net Income Attributable to Common Shareholders per Share (Diluted)</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$2.82</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2.11</w:t>
            </w:r>
          </w:p>
        </w:tc>
      </w:tr>
      <w:tr>
        <w:trPr>
          <w:trHeight w:val="236"/>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Weighted Average Shares For Net Income Attributable to Common Shareholders per Share (Diluted)</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182,234</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183,040</w:t>
            </w:r>
          </w:p>
        </w:tc>
      </w:tr>
      <w:tr>
        <w:trPr>
          <w:trHeight w:val="236"/>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Nareit FFO per Share (Diluted)</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$4.64</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4.30</w:t>
            </w:r>
          </w:p>
        </w:tc>
      </w:tr>
      <w:tr>
        <w:trPr>
          <w:trHeight w:val="237"/>
        </w:trPr>
        <w:tc>
          <w:tcPr>
            <w:tcW w:w="796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Core Operating Earnings per Share (Diluted)</w:t>
            </w:r>
          </w:p>
        </w:tc>
        <w:tc>
          <w:tcPr>
            <w:tcW w:w="22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$4.41</w:t>
            </w:r>
          </w:p>
        </w:tc>
        <w:tc>
          <w:tcPr>
            <w:tcW w:w="78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4.13</w:t>
            </w:r>
          </w:p>
        </w:tc>
      </w:tr>
      <w:tr>
        <w:trPr>
          <w:trHeight w:val="237"/>
        </w:trPr>
        <w:tc>
          <w:tcPr>
            <w:tcW w:w="7960" w:type="dxa"/>
            <w:vAlign w:val="bottom"/>
            <w:tcBorders>
              <w:bottom w:val="single" w:sz="8" w:color="E56D3D"/>
            </w:tcBorders>
          </w:tcPr>
          <w:p>
            <w:pPr>
              <w:ind w:left="60"/>
              <w:spacing w:after="0"/>
              <w:rPr>
                <w:sz w:val="20"/>
                <w:szCs w:val="20"/>
                <w:color w:val="auto"/>
              </w:rPr>
            </w:pPr>
            <w:r>
              <w:rPr>
                <w:rFonts w:ascii="Arial" w:cs="Arial" w:eastAsia="Arial" w:hAnsi="Arial"/>
                <w:sz w:val="14"/>
                <w:szCs w:val="14"/>
                <w:color w:val="auto"/>
              </w:rPr>
              <w:t>Weighted Average Shares For Nareit FFO and Core Operating Earnings per Share (Diluted)</w:t>
            </w:r>
          </w:p>
        </w:tc>
        <w:tc>
          <w:tcPr>
            <w:tcW w:w="2280" w:type="dxa"/>
            <w:vAlign w:val="bottom"/>
            <w:tcBorders>
              <w:bottom w:val="single" w:sz="8" w:color="E56D3D"/>
            </w:tcBorders>
          </w:tcPr>
          <w:p>
            <w:pPr>
              <w:jc w:val="right"/>
              <w:ind w:right="108"/>
              <w:spacing w:after="0"/>
              <w:rPr>
                <w:sz w:val="20"/>
                <w:szCs w:val="20"/>
                <w:color w:val="auto"/>
              </w:rPr>
            </w:pPr>
            <w:r>
              <w:rPr>
                <w:rFonts w:ascii="Arial" w:cs="Arial" w:eastAsia="Arial" w:hAnsi="Arial"/>
                <w:sz w:val="14"/>
                <w:szCs w:val="14"/>
                <w:color w:val="auto"/>
              </w:rPr>
              <w:t>184,538</w:t>
            </w:r>
          </w:p>
        </w:tc>
        <w:tc>
          <w:tcPr>
            <w:tcW w:w="78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color w:val="auto"/>
              </w:rPr>
              <w:t>184,139</w:t>
            </w:r>
          </w:p>
        </w:tc>
      </w:tr>
    </w:tbl>
    <w:p>
      <w:pPr>
        <w:spacing w:after="0" w:line="58" w:lineRule="exact"/>
        <w:rPr>
          <w:sz w:val="20"/>
          <w:szCs w:val="20"/>
          <w:color w:val="auto"/>
        </w:rPr>
      </w:pPr>
    </w:p>
    <w:p>
      <w:pPr>
        <w:ind w:left="120" w:right="220"/>
        <w:spacing w:after="0" w:line="465" w:lineRule="auto"/>
        <w:rPr>
          <w:sz w:val="20"/>
          <w:szCs w:val="20"/>
          <w:color w:val="auto"/>
        </w:rPr>
      </w:pPr>
      <w:r>
        <w:rPr>
          <w:rFonts w:ascii="Arial" w:cs="Arial" w:eastAsia="Arial" w:hAnsi="Arial"/>
          <w:sz w:val="14"/>
          <w:szCs w:val="14"/>
          <w:color w:val="auto"/>
        </w:rPr>
        <w:t xml:space="preserve">(1) Includes Regency’s consolidated entities and its Pro-rata share of unconsolidated real estate partnerships, net of Pro-rata share attributable to noncontrolling interests. </w:t>
      </w:r>
      <w:r>
        <w:rPr>
          <w:rFonts w:ascii="Arial" w:cs="Arial" w:eastAsia="Arial" w:hAnsi="Arial"/>
          <w:sz w:val="12"/>
          <w:szCs w:val="12"/>
          <w:b w:val="1"/>
          <w:bCs w:val="1"/>
          <w:color w:val="auto"/>
        </w:rPr>
        <w:t>A-4</w:t>
      </w:r>
      <w:r>
        <w:rPr>
          <w:rFonts w:ascii="Arial" w:cs="Arial" w:eastAsia="Arial" w:hAnsi="Arial"/>
          <w:sz w:val="12"/>
          <w:szCs w:val="12"/>
          <w:color w:val="auto"/>
        </w:rPr>
        <w:t xml:space="preserve"> </w:t>
      </w:r>
      <w:r>
        <w:rPr>
          <w:rFonts w:ascii="Arial" w:cs="Arial" w:eastAsia="Arial" w:hAnsi="Arial"/>
          <w:sz w:val="17"/>
          <w:szCs w:val="17"/>
          <w:color w:val="6A6E6F"/>
        </w:rPr>
        <w:t>|</w:t>
      </w:r>
      <w:r>
        <w:rPr>
          <w:rFonts w:ascii="Arial" w:cs="Arial" w:eastAsia="Arial" w:hAnsi="Arial"/>
          <w:sz w:val="12"/>
          <w:szCs w:val="12"/>
          <w:color w:val="6A6E6F"/>
        </w:rPr>
        <w:t> REGENCY CENTERS </w:t>
      </w:r>
      <w:r>
        <w:rPr>
          <w:rFonts w:ascii="Arial" w:cs="Arial" w:eastAsia="Arial" w:hAnsi="Arial"/>
          <w:sz w:val="17"/>
          <w:szCs w:val="17"/>
          <w:color w:val="6A6E6F"/>
        </w:rPr>
        <w:t>|</w:t>
      </w:r>
      <w:r>
        <w:rPr>
          <w:rFonts w:ascii="Arial" w:cs="Arial" w:eastAsia="Arial" w:hAnsi="Arial"/>
          <w:sz w:val="12"/>
          <w:szCs w:val="12"/>
          <w:color w:val="6A6E6F"/>
        </w:rPr>
        <w:t> 2026 PROXY STATEMENT</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Appendix A—Definitions and Reconciliations of GAAP and Non-GAAP Financial Measures </w:t>
      </w:r>
      <w:r>
        <w:rPr>
          <w:rFonts w:ascii="Arial" w:cs="Arial" w:eastAsia="Arial" w:hAnsi="Arial"/>
          <w:sz w:val="19"/>
          <w:szCs w:val="19"/>
          <w:b w:val="1"/>
          <w:bCs w:val="1"/>
          <w:color w:val="E56D3D"/>
        </w:rPr>
        <w:t>|</w:t>
      </w:r>
    </w:p>
    <w:p>
      <w:pPr>
        <w:spacing w:after="0" w:line="141" w:lineRule="exact"/>
        <w:rPr>
          <w:sz w:val="20"/>
          <w:szCs w:val="20"/>
          <w:color w:val="auto"/>
        </w:rPr>
      </w:pPr>
    </w:p>
    <w:p>
      <w:pPr>
        <w:ind w:left="120" w:right="520"/>
        <w:spacing w:after="0" w:line="272" w:lineRule="auto"/>
        <w:rPr>
          <w:sz w:val="20"/>
          <w:szCs w:val="20"/>
          <w:color w:val="auto"/>
        </w:rPr>
      </w:pPr>
      <w:r>
        <w:rPr>
          <w:rFonts w:ascii="Arial" w:cs="Arial" w:eastAsia="Arial" w:hAnsi="Arial"/>
          <w:sz w:val="22"/>
          <w:szCs w:val="22"/>
          <w:b w:val="1"/>
          <w:bCs w:val="1"/>
          <w:color w:val="6A6E6F"/>
        </w:rPr>
        <w:t>Reconciliation of Net Income Attributable to Common Shareholders to Pro-Rata Same Property NOI (in thousands)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6A6E6F"/>
        </w:rPr>
        <w:t>For the Periods Ended December 31, 2025 and 2024</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400" w:type="dxa"/>
            <w:vAlign w:val="bottom"/>
          </w:tcPr>
          <w:p>
            <w:pPr>
              <w:spacing w:after="0"/>
              <w:rPr>
                <w:sz w:val="17"/>
                <w:szCs w:val="17"/>
                <w:color w:val="auto"/>
              </w:rPr>
            </w:pPr>
          </w:p>
        </w:tc>
        <w:tc>
          <w:tcPr>
            <w:tcW w:w="2760" w:type="dxa"/>
            <w:vAlign w:val="bottom"/>
          </w:tcPr>
          <w:p>
            <w:pPr>
              <w:jc w:val="right"/>
              <w:ind w:right="148"/>
              <w:spacing w:after="0"/>
              <w:rPr>
                <w:sz w:val="20"/>
                <w:szCs w:val="20"/>
                <w:color w:val="auto"/>
              </w:rPr>
            </w:pPr>
            <w:r>
              <w:rPr>
                <w:rFonts w:ascii="Arial" w:cs="Arial" w:eastAsia="Arial" w:hAnsi="Arial"/>
                <w:sz w:val="14"/>
                <w:szCs w:val="14"/>
                <w:b w:val="1"/>
                <w:bCs w:val="1"/>
                <w:color w:val="E56D3D"/>
              </w:rPr>
              <w:t>2025</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E56D3D"/>
              </w:rPr>
              <w:t>2024</w:t>
            </w:r>
          </w:p>
        </w:tc>
      </w:tr>
      <w:tr>
        <w:trPr>
          <w:trHeight w:val="43"/>
        </w:trPr>
        <w:tc>
          <w:tcPr>
            <w:tcW w:w="7400" w:type="dxa"/>
            <w:vAlign w:val="bottom"/>
            <w:tcBorders>
              <w:bottom w:val="single" w:sz="8" w:color="E56D3D"/>
            </w:tcBorders>
          </w:tcPr>
          <w:p>
            <w:pPr>
              <w:spacing w:after="0"/>
              <w:rPr>
                <w:sz w:val="3"/>
                <w:szCs w:val="3"/>
                <w:color w:val="auto"/>
              </w:rPr>
            </w:pPr>
          </w:p>
        </w:tc>
        <w:tc>
          <w:tcPr>
            <w:tcW w:w="2760" w:type="dxa"/>
            <w:vAlign w:val="bottom"/>
            <w:tcBorders>
              <w:bottom w:val="single" w:sz="8" w:color="E56D3D"/>
            </w:tcBorders>
          </w:tcPr>
          <w:p>
            <w:pPr>
              <w:spacing w:after="0"/>
              <w:rPr>
                <w:sz w:val="3"/>
                <w:szCs w:val="3"/>
                <w:color w:val="auto"/>
              </w:rPr>
            </w:pPr>
          </w:p>
        </w:tc>
        <w:tc>
          <w:tcPr>
            <w:tcW w:w="860" w:type="dxa"/>
            <w:vAlign w:val="bottom"/>
            <w:tcBorders>
              <w:bottom w:val="single" w:sz="8" w:color="E56D3D"/>
            </w:tcBorders>
          </w:tcPr>
          <w:p>
            <w:pPr>
              <w:spacing w:after="0"/>
              <w:rPr>
                <w:sz w:val="3"/>
                <w:szCs w:val="3"/>
                <w:color w:val="auto"/>
              </w:rPr>
            </w:pPr>
          </w:p>
        </w:tc>
      </w:tr>
      <w:tr>
        <w:trPr>
          <w:trHeight w:val="233"/>
        </w:trPr>
        <w:tc>
          <w:tcPr>
            <w:tcW w:w="74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Net Income attributable to common Shareholders</w:t>
            </w:r>
          </w:p>
        </w:tc>
        <w:tc>
          <w:tcPr>
            <w:tcW w:w="27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$513,810</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386,738</w:t>
            </w:r>
          </w:p>
        </w:tc>
      </w:tr>
      <w:tr>
        <w:trPr>
          <w:trHeight w:val="233"/>
        </w:trPr>
        <w:tc>
          <w:tcPr>
            <w:tcW w:w="7400" w:type="dxa"/>
            <w:vAlign w:val="bottom"/>
          </w:tcPr>
          <w:p>
            <w:pPr>
              <w:ind w:left="280"/>
              <w:spacing w:after="0"/>
              <w:rPr>
                <w:sz w:val="20"/>
                <w:szCs w:val="20"/>
                <w:color w:val="auto"/>
              </w:rPr>
            </w:pPr>
            <w:r>
              <w:rPr>
                <w:rFonts w:ascii="Arial" w:cs="Arial" w:eastAsia="Arial" w:hAnsi="Arial"/>
                <w:sz w:val="14"/>
                <w:szCs w:val="14"/>
                <w:color w:val="auto"/>
              </w:rPr>
              <w:t>Less:</w:t>
            </w:r>
          </w:p>
        </w:tc>
        <w:tc>
          <w:tcPr>
            <w:tcW w:w="2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
        </w:trPr>
        <w:tc>
          <w:tcPr>
            <w:tcW w:w="7400" w:type="dxa"/>
            <w:vAlign w:val="bottom"/>
            <w:tcBorders>
              <w:bottom w:val="single" w:sz="8" w:color="B2B2B2"/>
            </w:tcBorders>
          </w:tcPr>
          <w:p>
            <w:pPr>
              <w:spacing w:after="0" w:line="20" w:lineRule="exact"/>
              <w:rPr>
                <w:sz w:val="1"/>
                <w:szCs w:val="1"/>
                <w:color w:val="auto"/>
              </w:rPr>
            </w:pPr>
          </w:p>
        </w:tc>
        <w:tc>
          <w:tcPr>
            <w:tcW w:w="2760" w:type="dxa"/>
            <w:vAlign w:val="bottom"/>
            <w:tcBorders>
              <w:bottom w:val="single" w:sz="8" w:color="B2B2B2"/>
            </w:tcBorders>
          </w:tcPr>
          <w:p>
            <w:pPr>
              <w:spacing w:after="0" w:line="20" w:lineRule="exact"/>
              <w:rPr>
                <w:sz w:val="1"/>
                <w:szCs w:val="1"/>
                <w:color w:val="auto"/>
              </w:rPr>
            </w:pPr>
          </w:p>
        </w:tc>
        <w:tc>
          <w:tcPr>
            <w:tcW w:w="860" w:type="dxa"/>
            <w:vAlign w:val="bottom"/>
            <w:tcBorders>
              <w:bottom w:val="single" w:sz="8" w:color="B2B2B2"/>
            </w:tcBorders>
          </w:tcPr>
          <w:p>
            <w:pPr>
              <w:spacing w:after="0" w:line="20" w:lineRule="exact"/>
              <w:rPr>
                <w:sz w:val="1"/>
                <w:szCs w:val="1"/>
                <w:color w:val="auto"/>
              </w:rPr>
            </w:pPr>
          </w:p>
        </w:tc>
      </w:tr>
      <w:tr>
        <w:trPr>
          <w:trHeight w:val="233"/>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Management, transaction, and other fees</w:t>
            </w:r>
          </w:p>
        </w:tc>
        <w:tc>
          <w:tcPr>
            <w:tcW w:w="276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(28,358)</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(27,874)</w:t>
            </w:r>
          </w:p>
        </w:tc>
      </w:tr>
      <w:tr>
        <w:trPr>
          <w:trHeight w:val="240"/>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Other</w:t>
            </w:r>
            <w:r>
              <w:rPr>
                <w:rFonts w:ascii="Arial" w:cs="Arial" w:eastAsia="Arial" w:hAnsi="Arial"/>
                <w:sz w:val="21"/>
                <w:szCs w:val="21"/>
                <w:color w:val="auto"/>
                <w:vertAlign w:val="superscript"/>
              </w:rPr>
              <w:t>(1)</w:t>
            </w:r>
          </w:p>
        </w:tc>
        <w:tc>
          <w:tcPr>
            <w:tcW w:w="276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(53,842)</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(49,944)</w:t>
            </w:r>
          </w:p>
        </w:tc>
      </w:tr>
      <w:tr>
        <w:trPr>
          <w:trHeight w:val="228"/>
        </w:trPr>
        <w:tc>
          <w:tcPr>
            <w:tcW w:w="7400" w:type="dxa"/>
            <w:vAlign w:val="bottom"/>
          </w:tcPr>
          <w:p>
            <w:pPr>
              <w:ind w:left="280"/>
              <w:spacing w:after="0"/>
              <w:rPr>
                <w:sz w:val="20"/>
                <w:szCs w:val="20"/>
                <w:color w:val="auto"/>
              </w:rPr>
            </w:pPr>
            <w:r>
              <w:rPr>
                <w:rFonts w:ascii="Arial" w:cs="Arial" w:eastAsia="Arial" w:hAnsi="Arial"/>
                <w:sz w:val="14"/>
                <w:szCs w:val="14"/>
                <w:color w:val="auto"/>
              </w:rPr>
              <w:t>Plus:</w:t>
            </w:r>
          </w:p>
        </w:tc>
        <w:tc>
          <w:tcPr>
            <w:tcW w:w="27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
        </w:trPr>
        <w:tc>
          <w:tcPr>
            <w:tcW w:w="7400" w:type="dxa"/>
            <w:vAlign w:val="bottom"/>
            <w:tcBorders>
              <w:bottom w:val="single" w:sz="8" w:color="B2B2B2"/>
            </w:tcBorders>
          </w:tcPr>
          <w:p>
            <w:pPr>
              <w:spacing w:after="0" w:line="20" w:lineRule="exact"/>
              <w:rPr>
                <w:sz w:val="1"/>
                <w:szCs w:val="1"/>
                <w:color w:val="auto"/>
              </w:rPr>
            </w:pPr>
          </w:p>
        </w:tc>
        <w:tc>
          <w:tcPr>
            <w:tcW w:w="2760" w:type="dxa"/>
            <w:vAlign w:val="bottom"/>
            <w:tcBorders>
              <w:bottom w:val="single" w:sz="8" w:color="B2B2B2"/>
            </w:tcBorders>
          </w:tcPr>
          <w:p>
            <w:pPr>
              <w:spacing w:after="0" w:line="20" w:lineRule="exact"/>
              <w:rPr>
                <w:sz w:val="1"/>
                <w:szCs w:val="1"/>
                <w:color w:val="auto"/>
              </w:rPr>
            </w:pPr>
          </w:p>
        </w:tc>
        <w:tc>
          <w:tcPr>
            <w:tcW w:w="860" w:type="dxa"/>
            <w:vAlign w:val="bottom"/>
            <w:tcBorders>
              <w:bottom w:val="single" w:sz="8" w:color="B2B2B2"/>
            </w:tcBorders>
          </w:tcPr>
          <w:p>
            <w:pPr>
              <w:spacing w:after="0" w:line="20" w:lineRule="exact"/>
              <w:rPr>
                <w:sz w:val="1"/>
                <w:szCs w:val="1"/>
                <w:color w:val="auto"/>
              </w:rPr>
            </w:pPr>
          </w:p>
        </w:tc>
      </w:tr>
      <w:tr>
        <w:trPr>
          <w:trHeight w:val="233"/>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Depreciation and amortization</w:t>
            </w:r>
          </w:p>
        </w:tc>
        <w:tc>
          <w:tcPr>
            <w:tcW w:w="27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405,044</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394,714</w:t>
            </w:r>
          </w:p>
        </w:tc>
      </w:tr>
      <w:tr>
        <w:trPr>
          <w:trHeight w:val="237"/>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General and administrative</w:t>
            </w:r>
          </w:p>
        </w:tc>
        <w:tc>
          <w:tcPr>
            <w:tcW w:w="27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99,407</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101,465</w:t>
            </w:r>
          </w:p>
        </w:tc>
      </w:tr>
      <w:tr>
        <w:trPr>
          <w:trHeight w:val="237"/>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Other operating expense</w:t>
            </w:r>
          </w:p>
        </w:tc>
        <w:tc>
          <w:tcPr>
            <w:tcW w:w="27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8,849</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10,867</w:t>
            </w:r>
          </w:p>
        </w:tc>
      </w:tr>
      <w:tr>
        <w:trPr>
          <w:trHeight w:val="237"/>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Other expense, net</w:t>
            </w:r>
          </w:p>
        </w:tc>
        <w:tc>
          <w:tcPr>
            <w:tcW w:w="27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175,613</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154,260</w:t>
            </w:r>
          </w:p>
        </w:tc>
      </w:tr>
      <w:tr>
        <w:trPr>
          <w:trHeight w:val="240"/>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Equity in income of investments in real estate partnerships excluded from NOI</w:t>
            </w:r>
            <w:r>
              <w:rPr>
                <w:rFonts w:ascii="Arial" w:cs="Arial" w:eastAsia="Arial" w:hAnsi="Arial"/>
                <w:sz w:val="21"/>
                <w:szCs w:val="21"/>
                <w:color w:val="auto"/>
                <w:vertAlign w:val="superscript"/>
              </w:rPr>
              <w:t>(2)</w:t>
            </w:r>
          </w:p>
        </w:tc>
        <w:tc>
          <w:tcPr>
            <w:tcW w:w="276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(24,223)</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54,040</w:t>
            </w:r>
          </w:p>
        </w:tc>
      </w:tr>
      <w:tr>
        <w:trPr>
          <w:trHeight w:val="233"/>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Net income attributable to noncontrolling interests</w:t>
            </w:r>
          </w:p>
        </w:tc>
        <w:tc>
          <w:tcPr>
            <w:tcW w:w="27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13,491</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9,452</w:t>
            </w:r>
          </w:p>
        </w:tc>
      </w:tr>
      <w:tr>
        <w:trPr>
          <w:trHeight w:val="237"/>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Preferred stock dividends</w:t>
            </w:r>
          </w:p>
        </w:tc>
        <w:tc>
          <w:tcPr>
            <w:tcW w:w="27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13,650</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13,650</w:t>
            </w:r>
          </w:p>
        </w:tc>
      </w:tr>
      <w:tr>
        <w:trPr>
          <w:trHeight w:val="236"/>
        </w:trPr>
        <w:tc>
          <w:tcPr>
            <w:tcW w:w="7400" w:type="dxa"/>
            <w:vAlign w:val="bottom"/>
            <w:tcBorders>
              <w:bottom w:val="single" w:sz="8" w:color="B2B2B2"/>
            </w:tcBorders>
          </w:tcPr>
          <w:p>
            <w:pPr>
              <w:ind w:left="720"/>
              <w:spacing w:after="0"/>
              <w:rPr>
                <w:sz w:val="20"/>
                <w:szCs w:val="20"/>
                <w:color w:val="auto"/>
              </w:rPr>
            </w:pPr>
            <w:r>
              <w:rPr>
                <w:rFonts w:ascii="Arial" w:cs="Arial" w:eastAsia="Arial" w:hAnsi="Arial"/>
                <w:sz w:val="14"/>
                <w:szCs w:val="14"/>
                <w:color w:val="auto"/>
              </w:rPr>
              <w:t>NOI</w:t>
            </w:r>
          </w:p>
        </w:tc>
        <w:tc>
          <w:tcPr>
            <w:tcW w:w="27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1,123,441</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1,047,368</w:t>
            </w:r>
          </w:p>
        </w:tc>
      </w:tr>
      <w:tr>
        <w:trPr>
          <w:trHeight w:val="241"/>
        </w:trPr>
        <w:tc>
          <w:tcPr>
            <w:tcW w:w="740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Less non-same property NOI</w:t>
            </w:r>
            <w:r>
              <w:rPr>
                <w:rFonts w:ascii="Arial" w:cs="Arial" w:eastAsia="Arial" w:hAnsi="Arial"/>
                <w:sz w:val="21"/>
                <w:szCs w:val="21"/>
                <w:color w:val="auto"/>
                <w:vertAlign w:val="superscript"/>
              </w:rPr>
              <w:t>(3)</w:t>
            </w:r>
          </w:p>
        </w:tc>
        <w:tc>
          <w:tcPr>
            <w:tcW w:w="276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(23,633)</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(2,678)</w:t>
            </w:r>
          </w:p>
        </w:tc>
      </w:tr>
      <w:tr>
        <w:trPr>
          <w:trHeight w:val="236"/>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b w:val="1"/>
                <w:bCs w:val="1"/>
                <w:color w:val="auto"/>
              </w:rPr>
              <w:t>Same Property NOI</w:t>
            </w:r>
          </w:p>
        </w:tc>
        <w:tc>
          <w:tcPr>
            <w:tcW w:w="27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$1,099,808</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1,044,690</w:t>
            </w:r>
          </w:p>
        </w:tc>
      </w:tr>
      <w:tr>
        <w:trPr>
          <w:trHeight w:val="247"/>
        </w:trPr>
        <w:tc>
          <w:tcPr>
            <w:tcW w:w="7400" w:type="dxa"/>
            <w:vAlign w:val="bottom"/>
            <w:tcBorders>
              <w:bottom w:val="single" w:sz="8" w:color="B2B2B2"/>
            </w:tcBorders>
          </w:tcPr>
          <w:p>
            <w:pPr>
              <w:ind w:left="720"/>
              <w:spacing w:after="0"/>
              <w:rPr>
                <w:sz w:val="20"/>
                <w:szCs w:val="20"/>
                <w:color w:val="auto"/>
              </w:rPr>
            </w:pPr>
            <w:r>
              <w:rPr>
                <w:rFonts w:ascii="Arial" w:cs="Arial" w:eastAsia="Arial" w:hAnsi="Arial"/>
                <w:sz w:val="14"/>
                <w:szCs w:val="14"/>
                <w:i w:val="1"/>
                <w:iCs w:val="1"/>
                <w:color w:val="auto"/>
              </w:rPr>
              <w:t>% change</w:t>
            </w:r>
          </w:p>
        </w:tc>
        <w:tc>
          <w:tcPr>
            <w:tcW w:w="27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5.3%</w:t>
            </w:r>
          </w:p>
        </w:tc>
        <w:tc>
          <w:tcPr>
            <w:tcW w:w="860" w:type="dxa"/>
            <w:vAlign w:val="bottom"/>
            <w:tcBorders>
              <w:bottom w:val="single" w:sz="8" w:color="B2B2B2"/>
            </w:tcBorders>
          </w:tcPr>
          <w:p>
            <w:pPr>
              <w:spacing w:after="0"/>
              <w:rPr>
                <w:sz w:val="21"/>
                <w:szCs w:val="21"/>
                <w:color w:val="auto"/>
              </w:rPr>
            </w:pPr>
          </w:p>
        </w:tc>
      </w:tr>
      <w:tr>
        <w:trPr>
          <w:trHeight w:val="240"/>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b w:val="1"/>
                <w:bCs w:val="1"/>
                <w:color w:val="auto"/>
              </w:rPr>
              <w:t>Same Property NOI without Termination Fees</w:t>
            </w:r>
          </w:p>
        </w:tc>
        <w:tc>
          <w:tcPr>
            <w:tcW w:w="27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$1,092,860</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1,038,218</w:t>
            </w:r>
          </w:p>
        </w:tc>
      </w:tr>
      <w:tr>
        <w:trPr>
          <w:trHeight w:val="247"/>
        </w:trPr>
        <w:tc>
          <w:tcPr>
            <w:tcW w:w="7400" w:type="dxa"/>
            <w:vAlign w:val="bottom"/>
            <w:tcBorders>
              <w:bottom w:val="single" w:sz="8" w:color="B2B2B2"/>
            </w:tcBorders>
          </w:tcPr>
          <w:p>
            <w:pPr>
              <w:ind w:left="720"/>
              <w:spacing w:after="0"/>
              <w:rPr>
                <w:sz w:val="20"/>
                <w:szCs w:val="20"/>
                <w:color w:val="auto"/>
              </w:rPr>
            </w:pPr>
            <w:r>
              <w:rPr>
                <w:rFonts w:ascii="Arial" w:cs="Arial" w:eastAsia="Arial" w:hAnsi="Arial"/>
                <w:sz w:val="14"/>
                <w:szCs w:val="14"/>
                <w:i w:val="1"/>
                <w:iCs w:val="1"/>
                <w:color w:val="auto"/>
              </w:rPr>
              <w:t>% change</w:t>
            </w:r>
          </w:p>
        </w:tc>
        <w:tc>
          <w:tcPr>
            <w:tcW w:w="27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5.3%</w:t>
            </w:r>
          </w:p>
        </w:tc>
        <w:tc>
          <w:tcPr>
            <w:tcW w:w="860" w:type="dxa"/>
            <w:vAlign w:val="bottom"/>
            <w:tcBorders>
              <w:bottom w:val="single" w:sz="8" w:color="B2B2B2"/>
            </w:tcBorders>
          </w:tcPr>
          <w:p>
            <w:pPr>
              <w:spacing w:after="0"/>
              <w:rPr>
                <w:sz w:val="21"/>
                <w:szCs w:val="21"/>
                <w:color w:val="auto"/>
              </w:rPr>
            </w:pPr>
          </w:p>
        </w:tc>
      </w:tr>
      <w:tr>
        <w:trPr>
          <w:trHeight w:val="239"/>
        </w:trPr>
        <w:tc>
          <w:tcPr>
            <w:tcW w:w="7400" w:type="dxa"/>
            <w:vAlign w:val="bottom"/>
            <w:tcBorders>
              <w:bottom w:val="single" w:sz="8" w:color="B2B2B2"/>
            </w:tcBorders>
          </w:tcPr>
          <w:p>
            <w:pPr>
              <w:ind w:left="500"/>
              <w:spacing w:after="0"/>
              <w:rPr>
                <w:sz w:val="20"/>
                <w:szCs w:val="20"/>
                <w:color w:val="auto"/>
              </w:rPr>
            </w:pPr>
            <w:r>
              <w:rPr>
                <w:rFonts w:ascii="Arial" w:cs="Arial" w:eastAsia="Arial" w:hAnsi="Arial"/>
                <w:sz w:val="14"/>
                <w:szCs w:val="14"/>
                <w:b w:val="1"/>
                <w:bCs w:val="1"/>
                <w:color w:val="auto"/>
              </w:rPr>
              <w:t>Same Property NOI without Termination Fees or Redevelopments</w:t>
            </w:r>
          </w:p>
        </w:tc>
        <w:tc>
          <w:tcPr>
            <w:tcW w:w="276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$932,848</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896,483</w:t>
            </w:r>
          </w:p>
        </w:tc>
      </w:tr>
      <w:tr>
        <w:trPr>
          <w:trHeight w:val="247"/>
        </w:trPr>
        <w:tc>
          <w:tcPr>
            <w:tcW w:w="7400" w:type="dxa"/>
            <w:vAlign w:val="bottom"/>
            <w:tcBorders>
              <w:bottom w:val="single" w:sz="8" w:color="E56D3D"/>
            </w:tcBorders>
          </w:tcPr>
          <w:p>
            <w:pPr>
              <w:ind w:left="720"/>
              <w:spacing w:after="0"/>
              <w:rPr>
                <w:sz w:val="20"/>
                <w:szCs w:val="20"/>
                <w:color w:val="auto"/>
              </w:rPr>
            </w:pPr>
            <w:r>
              <w:rPr>
                <w:rFonts w:ascii="Arial" w:cs="Arial" w:eastAsia="Arial" w:hAnsi="Arial"/>
                <w:sz w:val="14"/>
                <w:szCs w:val="14"/>
                <w:i w:val="1"/>
                <w:iCs w:val="1"/>
                <w:color w:val="auto"/>
              </w:rPr>
              <w:t>% change</w:t>
            </w:r>
          </w:p>
        </w:tc>
        <w:tc>
          <w:tcPr>
            <w:tcW w:w="2760" w:type="dxa"/>
            <w:vAlign w:val="bottom"/>
            <w:tcBorders>
              <w:bottom w:val="single" w:sz="8" w:color="E56D3D"/>
            </w:tcBorders>
          </w:tcPr>
          <w:p>
            <w:pPr>
              <w:jc w:val="right"/>
              <w:ind w:right="28"/>
              <w:spacing w:after="0"/>
              <w:rPr>
                <w:sz w:val="20"/>
                <w:szCs w:val="20"/>
                <w:color w:val="auto"/>
              </w:rPr>
            </w:pPr>
            <w:r>
              <w:rPr>
                <w:rFonts w:ascii="Arial" w:cs="Arial" w:eastAsia="Arial" w:hAnsi="Arial"/>
                <w:sz w:val="14"/>
                <w:szCs w:val="14"/>
                <w:color w:val="auto"/>
              </w:rPr>
              <w:t>4.1%</w:t>
            </w:r>
          </w:p>
        </w:tc>
        <w:tc>
          <w:tcPr>
            <w:tcW w:w="860" w:type="dxa"/>
            <w:vAlign w:val="bottom"/>
            <w:tcBorders>
              <w:bottom w:val="single" w:sz="8" w:color="E56D3D"/>
            </w:tcBorders>
          </w:tcPr>
          <w:p>
            <w:pPr>
              <w:spacing w:after="0"/>
              <w:rPr>
                <w:sz w:val="21"/>
                <w:szCs w:val="21"/>
                <w:color w:val="auto"/>
              </w:rPr>
            </w:pPr>
          </w:p>
        </w:tc>
      </w:tr>
    </w:tbl>
    <w:p>
      <w:pPr>
        <w:spacing w:after="0" w:line="47" w:lineRule="exact"/>
        <w:rPr>
          <w:sz w:val="20"/>
          <w:szCs w:val="20"/>
          <w:color w:val="auto"/>
        </w:rPr>
      </w:pPr>
    </w:p>
    <w:p>
      <w:pPr>
        <w:ind w:left="300" w:hanging="184"/>
        <w:spacing w:after="0"/>
        <w:tabs>
          <w:tab w:leader="none" w:pos="3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Includes straight-line rental income and expense, net of reserves, above and below market rent amortization, other fees, and noncontrolling interests.</w:t>
      </w:r>
    </w:p>
    <w:p>
      <w:pPr>
        <w:ind w:left="120" w:right="60" w:hanging="4"/>
        <w:spacing w:after="0" w:line="216" w:lineRule="auto"/>
        <w:tabs>
          <w:tab w:leader="none" w:pos="309"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Includes non-NOI income and expenses incurred at our unconsolidated real estate partnerships, such as, but not limited to, straight-line rental income, above and below market rent amortization, depreciation and amortization, interest expense, and real estate gains and impairments.</w:t>
      </w:r>
    </w:p>
    <w:p>
      <w:pPr>
        <w:ind w:left="300" w:hanging="184"/>
        <w:spacing w:after="0"/>
        <w:tabs>
          <w:tab w:leader="none" w:pos="3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Includes revenues and expenses attributable to Non-Same Properties, Properties in Development, corporate activities, and noncontrolling interests.</w:t>
      </w:r>
    </w:p>
    <w:p>
      <w:pPr>
        <w:spacing w:after="0" w:line="121" w:lineRule="exact"/>
        <w:rPr>
          <w:sz w:val="20"/>
          <w:szCs w:val="20"/>
          <w:color w:val="auto"/>
        </w:rPr>
      </w:pPr>
    </w:p>
    <w:p>
      <w:pPr>
        <w:ind w:left="7940"/>
        <w:spacing w:after="0"/>
        <w:rPr>
          <w:sz w:val="20"/>
          <w:szCs w:val="20"/>
          <w:color w:val="auto"/>
        </w:rPr>
      </w:pPr>
      <w:r>
        <w:rPr>
          <w:rFonts w:ascii="Arial" w:cs="Arial" w:eastAsia="Arial" w:hAnsi="Arial"/>
          <w:sz w:val="12"/>
          <w:szCs w:val="12"/>
          <w:color w:val="6A6E6F"/>
        </w:rPr>
        <w:t>REGENCY CENTERS </w:t>
      </w:r>
      <w:r>
        <w:rPr>
          <w:rFonts w:ascii="Arial" w:cs="Arial" w:eastAsia="Arial" w:hAnsi="Arial"/>
          <w:sz w:val="16"/>
          <w:szCs w:val="16"/>
          <w:color w:val="6A6E6F"/>
        </w:rPr>
        <w:t>|</w:t>
      </w:r>
      <w:r>
        <w:rPr>
          <w:rFonts w:ascii="Arial" w:cs="Arial" w:eastAsia="Arial" w:hAnsi="Arial"/>
          <w:sz w:val="12"/>
          <w:szCs w:val="12"/>
          <w:color w:val="6A6E6F"/>
        </w:rPr>
        <w:t> 2026 PROXY STATEMENT </w:t>
      </w:r>
      <w:r>
        <w:rPr>
          <w:rFonts w:ascii="Arial" w:cs="Arial" w:eastAsia="Arial" w:hAnsi="Arial"/>
          <w:sz w:val="16"/>
          <w:szCs w:val="16"/>
          <w:color w:val="6A6E6F"/>
        </w:rPr>
        <w:t>|</w:t>
      </w:r>
      <w:r>
        <w:rPr>
          <w:rFonts w:ascii="Arial" w:cs="Arial" w:eastAsia="Arial" w:hAnsi="Arial"/>
          <w:sz w:val="12"/>
          <w:szCs w:val="12"/>
          <w:color w:val="000000"/>
        </w:rPr>
        <w:t xml:space="preserve"> </w:t>
      </w:r>
      <w:r>
        <w:rPr>
          <w:rFonts w:ascii="Arial" w:cs="Arial" w:eastAsia="Arial" w:hAnsi="Arial"/>
          <w:sz w:val="12"/>
          <w:szCs w:val="12"/>
          <w:b w:val="1"/>
          <w:bCs w:val="1"/>
          <w:color w:val="000000"/>
        </w:rPr>
        <w:t>A-5</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E56D3D"/>
        </w:rPr>
        <w:t>|</w:t>
      </w:r>
      <w:r>
        <w:rPr>
          <w:rFonts w:ascii="Arial" w:cs="Arial" w:eastAsia="Arial" w:hAnsi="Arial"/>
          <w:sz w:val="16"/>
          <w:szCs w:val="16"/>
          <w:b w:val="1"/>
          <w:bCs w:val="1"/>
          <w:color w:val="000000"/>
        </w:rPr>
        <w:t> Appendix A—Definitions and Reconciliations of GAAP and Non-GAAP Financial Measures</w:t>
      </w:r>
    </w:p>
    <w:p>
      <w:pPr>
        <w:spacing w:after="0" w:line="130" w:lineRule="exact"/>
        <w:rPr>
          <w:sz w:val="20"/>
          <w:szCs w:val="20"/>
          <w:color w:val="auto"/>
        </w:rPr>
      </w:pPr>
    </w:p>
    <w:p>
      <w:pPr>
        <w:ind w:left="120" w:right="1920"/>
        <w:spacing w:after="0" w:line="375" w:lineRule="auto"/>
        <w:rPr>
          <w:sz w:val="20"/>
          <w:szCs w:val="20"/>
          <w:color w:val="auto"/>
        </w:rPr>
      </w:pPr>
      <w:r>
        <w:rPr>
          <w:rFonts w:ascii="Arial" w:cs="Arial" w:eastAsia="Arial" w:hAnsi="Arial"/>
          <w:sz w:val="22"/>
          <w:szCs w:val="22"/>
          <w:b w:val="1"/>
          <w:bCs w:val="1"/>
          <w:color w:val="6A6E6F"/>
        </w:rPr>
        <w:t>Reconciliation of Net Income to Nareit EBITDAre and Operating EBITDAre (in thousands) For the Periods Ended December 31, 2025 and 2024</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2020" w:type="dxa"/>
            <w:vAlign w:val="bottom"/>
          </w:tcPr>
          <w:p>
            <w:pPr>
              <w:jc w:val="right"/>
              <w:ind w:right="68"/>
              <w:spacing w:after="0"/>
              <w:rPr>
                <w:sz w:val="20"/>
                <w:szCs w:val="20"/>
                <w:color w:val="auto"/>
              </w:rPr>
            </w:pPr>
            <w:r>
              <w:rPr>
                <w:rFonts w:ascii="Arial" w:cs="Arial" w:eastAsia="Arial" w:hAnsi="Arial"/>
                <w:sz w:val="14"/>
                <w:szCs w:val="14"/>
                <w:b w:val="1"/>
                <w:bCs w:val="1"/>
                <w:color w:val="E56D3D"/>
              </w:rPr>
              <w:t>2025</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E56D3D"/>
              </w:rPr>
              <w:t>2024</w:t>
            </w:r>
          </w:p>
        </w:tc>
      </w:tr>
      <w:tr>
        <w:trPr>
          <w:trHeight w:val="43"/>
        </w:trPr>
        <w:tc>
          <w:tcPr>
            <w:tcW w:w="8140" w:type="dxa"/>
            <w:vAlign w:val="bottom"/>
            <w:tcBorders>
              <w:bottom w:val="single" w:sz="8" w:color="E56D3D"/>
            </w:tcBorders>
          </w:tcPr>
          <w:p>
            <w:pPr>
              <w:spacing w:after="0"/>
              <w:rPr>
                <w:sz w:val="3"/>
                <w:szCs w:val="3"/>
                <w:color w:val="auto"/>
              </w:rPr>
            </w:pPr>
          </w:p>
        </w:tc>
        <w:tc>
          <w:tcPr>
            <w:tcW w:w="2020" w:type="dxa"/>
            <w:vAlign w:val="bottom"/>
            <w:tcBorders>
              <w:bottom w:val="single" w:sz="8" w:color="E56D3D"/>
            </w:tcBorders>
          </w:tcPr>
          <w:p>
            <w:pPr>
              <w:spacing w:after="0"/>
              <w:rPr>
                <w:sz w:val="3"/>
                <w:szCs w:val="3"/>
                <w:color w:val="auto"/>
              </w:rPr>
            </w:pPr>
          </w:p>
        </w:tc>
        <w:tc>
          <w:tcPr>
            <w:tcW w:w="860" w:type="dxa"/>
            <w:vAlign w:val="bottom"/>
            <w:tcBorders>
              <w:bottom w:val="single" w:sz="8" w:color="E56D3D"/>
            </w:tcBorders>
          </w:tcPr>
          <w:p>
            <w:pPr>
              <w:spacing w:after="0"/>
              <w:rPr>
                <w:sz w:val="3"/>
                <w:szCs w:val="3"/>
                <w:color w:val="auto"/>
              </w:rPr>
            </w:pPr>
          </w:p>
        </w:tc>
      </w:tr>
      <w:tr>
        <w:trPr>
          <w:trHeight w:val="244"/>
        </w:trPr>
        <w:tc>
          <w:tcPr>
            <w:tcW w:w="8140" w:type="dxa"/>
            <w:vAlign w:val="bottom"/>
            <w:tcBorders>
              <w:bottom w:val="single" w:sz="8" w:color="B2B2B2"/>
            </w:tcBorders>
          </w:tcPr>
          <w:p>
            <w:pPr>
              <w:ind w:left="60"/>
              <w:spacing w:after="0"/>
              <w:rPr>
                <w:sz w:val="20"/>
                <w:szCs w:val="20"/>
                <w:color w:val="auto"/>
              </w:rPr>
            </w:pPr>
            <w:r>
              <w:rPr>
                <w:rFonts w:ascii="Arial" w:cs="Arial" w:eastAsia="Arial" w:hAnsi="Arial"/>
                <w:sz w:val="14"/>
                <w:szCs w:val="14"/>
                <w:b w:val="1"/>
                <w:bCs w:val="1"/>
                <w:color w:val="auto"/>
              </w:rPr>
              <w:t>Reconciliation of Net Income to Nareit EBITDAre:</w:t>
            </w:r>
          </w:p>
        </w:tc>
        <w:tc>
          <w:tcPr>
            <w:tcW w:w="2020" w:type="dxa"/>
            <w:vAlign w:val="bottom"/>
            <w:tcBorders>
              <w:bottom w:val="single" w:sz="8" w:color="B2B2B2"/>
            </w:tcBorders>
          </w:tcPr>
          <w:p>
            <w:pPr>
              <w:spacing w:after="0"/>
              <w:rPr>
                <w:sz w:val="21"/>
                <w:szCs w:val="21"/>
                <w:color w:val="auto"/>
              </w:rPr>
            </w:pPr>
          </w:p>
        </w:tc>
        <w:tc>
          <w:tcPr>
            <w:tcW w:w="860" w:type="dxa"/>
            <w:vAlign w:val="bottom"/>
            <w:tcBorders>
              <w:bottom w:val="single" w:sz="8" w:color="B2B2B2"/>
            </w:tcBorders>
          </w:tcPr>
          <w:p>
            <w:pPr>
              <w:spacing w:after="0"/>
              <w:rPr>
                <w:sz w:val="21"/>
                <w:szCs w:val="21"/>
                <w:color w:val="auto"/>
              </w:rPr>
            </w:pPr>
          </w:p>
        </w:tc>
      </w:tr>
      <w:tr>
        <w:trPr>
          <w:trHeight w:val="239"/>
        </w:trPr>
        <w:tc>
          <w:tcPr>
            <w:tcW w:w="814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Net Income</w:t>
            </w:r>
          </w:p>
        </w:tc>
        <w:tc>
          <w:tcPr>
            <w:tcW w:w="20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$540,951</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409,840</w:t>
            </w:r>
          </w:p>
        </w:tc>
      </w:tr>
      <w:tr>
        <w:trPr>
          <w:trHeight w:val="254"/>
        </w:trPr>
        <w:tc>
          <w:tcPr>
            <w:tcW w:w="814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Adjustments to reconcile to Nareit EBITDA</w:t>
            </w:r>
            <w:r>
              <w:rPr>
                <w:rFonts w:ascii="Arial" w:cs="Arial" w:eastAsia="Arial" w:hAnsi="Arial"/>
                <w:sz w:val="14"/>
                <w:szCs w:val="14"/>
                <w:i w:val="1"/>
                <w:iCs w:val="1"/>
                <w:color w:val="auto"/>
              </w:rPr>
              <w:t>re</w:t>
            </w:r>
            <w:r>
              <w:rPr>
                <w:rFonts w:ascii="Arial" w:cs="Arial" w:eastAsia="Arial" w:hAnsi="Arial"/>
                <w:sz w:val="21"/>
                <w:szCs w:val="21"/>
                <w:color w:val="auto"/>
                <w:vertAlign w:val="superscript"/>
              </w:rPr>
              <w:t>(1)</w:t>
            </w:r>
            <w:r>
              <w:rPr>
                <w:rFonts w:ascii="Arial" w:cs="Arial" w:eastAsia="Arial" w:hAnsi="Arial"/>
                <w:sz w:val="14"/>
                <w:szCs w:val="14"/>
                <w:color w:val="auto"/>
              </w:rPr>
              <w:t>:</w:t>
            </w:r>
          </w:p>
        </w:tc>
        <w:tc>
          <w:tcPr>
            <w:tcW w:w="2020" w:type="dxa"/>
            <w:vAlign w:val="bottom"/>
            <w:tcBorders>
              <w:bottom w:val="single" w:sz="8" w:color="B2B2B2"/>
            </w:tcBorders>
          </w:tcPr>
          <w:p>
            <w:pPr>
              <w:spacing w:after="0"/>
              <w:rPr>
                <w:sz w:val="22"/>
                <w:szCs w:val="22"/>
                <w:color w:val="auto"/>
              </w:rPr>
            </w:pPr>
          </w:p>
        </w:tc>
        <w:tc>
          <w:tcPr>
            <w:tcW w:w="860" w:type="dxa"/>
            <w:vAlign w:val="bottom"/>
            <w:tcBorders>
              <w:bottom w:val="single" w:sz="8" w:color="B2B2B2"/>
            </w:tcBorders>
          </w:tcPr>
          <w:p>
            <w:pPr>
              <w:spacing w:after="0"/>
              <w:rPr>
                <w:sz w:val="22"/>
                <w:szCs w:val="22"/>
                <w:color w:val="auto"/>
              </w:rPr>
            </w:pPr>
          </w:p>
        </w:tc>
      </w:tr>
      <w:tr>
        <w:trPr>
          <w:trHeight w:val="233"/>
        </w:trPr>
        <w:tc>
          <w:tcPr>
            <w:tcW w:w="814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Interest expense</w:t>
            </w:r>
          </w:p>
        </w:tc>
        <w:tc>
          <w:tcPr>
            <w:tcW w:w="20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228,794</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211,660</w:t>
            </w:r>
          </w:p>
        </w:tc>
      </w:tr>
      <w:tr>
        <w:trPr>
          <w:trHeight w:val="237"/>
        </w:trPr>
        <w:tc>
          <w:tcPr>
            <w:tcW w:w="814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Income tax expense</w:t>
            </w:r>
          </w:p>
        </w:tc>
        <w:tc>
          <w:tcPr>
            <w:tcW w:w="20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764</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924</w:t>
            </w:r>
          </w:p>
        </w:tc>
      </w:tr>
      <w:tr>
        <w:trPr>
          <w:trHeight w:val="236"/>
        </w:trPr>
        <w:tc>
          <w:tcPr>
            <w:tcW w:w="814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Depreciation and amortization</w:t>
            </w:r>
          </w:p>
        </w:tc>
        <w:tc>
          <w:tcPr>
            <w:tcW w:w="20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436,792</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428,425</w:t>
            </w:r>
          </w:p>
        </w:tc>
      </w:tr>
      <w:tr>
        <w:trPr>
          <w:trHeight w:val="237"/>
        </w:trPr>
        <w:tc>
          <w:tcPr>
            <w:tcW w:w="814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Gain on sale of real estate</w:t>
            </w:r>
          </w:p>
        </w:tc>
        <w:tc>
          <w:tcPr>
            <w:tcW w:w="202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(100,444)</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(35,069)</w:t>
            </w:r>
          </w:p>
        </w:tc>
      </w:tr>
      <w:tr>
        <w:trPr>
          <w:trHeight w:val="237"/>
        </w:trPr>
        <w:tc>
          <w:tcPr>
            <w:tcW w:w="814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Provision for impairment of real estate</w:t>
            </w:r>
          </w:p>
        </w:tc>
        <w:tc>
          <w:tcPr>
            <w:tcW w:w="20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4,606</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14,304</w:t>
            </w:r>
          </w:p>
        </w:tc>
      </w:tr>
      <w:tr>
        <w:trPr>
          <w:trHeight w:val="239"/>
        </w:trPr>
        <w:tc>
          <w:tcPr>
            <w:tcW w:w="8140" w:type="dxa"/>
            <w:vAlign w:val="bottom"/>
            <w:tcBorders>
              <w:bottom w:val="single" w:sz="8" w:color="B2B2B2"/>
            </w:tcBorders>
          </w:tcPr>
          <w:p>
            <w:pPr>
              <w:ind w:left="720"/>
              <w:spacing w:after="0"/>
              <w:rPr>
                <w:sz w:val="20"/>
                <w:szCs w:val="20"/>
                <w:color w:val="auto"/>
              </w:rPr>
            </w:pPr>
            <w:r>
              <w:rPr>
                <w:rFonts w:ascii="Arial" w:cs="Arial" w:eastAsia="Arial" w:hAnsi="Arial"/>
                <w:sz w:val="14"/>
                <w:szCs w:val="14"/>
                <w:b w:val="1"/>
                <w:bCs w:val="1"/>
                <w:color w:val="auto"/>
              </w:rPr>
              <w:t>Nareit EBITDAre</w:t>
            </w:r>
          </w:p>
        </w:tc>
        <w:tc>
          <w:tcPr>
            <w:tcW w:w="20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$1,111,463</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1,030,084</w:t>
            </w:r>
          </w:p>
        </w:tc>
      </w:tr>
      <w:tr>
        <w:trPr>
          <w:trHeight w:val="245"/>
        </w:trPr>
        <w:tc>
          <w:tcPr>
            <w:tcW w:w="8140" w:type="dxa"/>
            <w:vAlign w:val="bottom"/>
            <w:tcBorders>
              <w:bottom w:val="single" w:sz="8" w:color="B2B2B2"/>
            </w:tcBorders>
          </w:tcPr>
          <w:p>
            <w:pPr>
              <w:ind w:left="60"/>
              <w:spacing w:after="0"/>
              <w:rPr>
                <w:sz w:val="20"/>
                <w:szCs w:val="20"/>
                <w:color w:val="auto"/>
              </w:rPr>
            </w:pPr>
            <w:r>
              <w:rPr>
                <w:rFonts w:ascii="Arial" w:cs="Arial" w:eastAsia="Arial" w:hAnsi="Arial"/>
                <w:sz w:val="14"/>
                <w:szCs w:val="14"/>
                <w:b w:val="1"/>
                <w:bCs w:val="1"/>
                <w:color w:val="auto"/>
              </w:rPr>
              <w:t>Reconciliation of Nareit EBITDAre to Operating EBITDAre:</w:t>
            </w:r>
          </w:p>
        </w:tc>
        <w:tc>
          <w:tcPr>
            <w:tcW w:w="2020" w:type="dxa"/>
            <w:vAlign w:val="bottom"/>
            <w:tcBorders>
              <w:bottom w:val="single" w:sz="8" w:color="B2B2B2"/>
            </w:tcBorders>
          </w:tcPr>
          <w:p>
            <w:pPr>
              <w:spacing w:after="0"/>
              <w:rPr>
                <w:sz w:val="21"/>
                <w:szCs w:val="21"/>
                <w:color w:val="auto"/>
              </w:rPr>
            </w:pPr>
          </w:p>
        </w:tc>
        <w:tc>
          <w:tcPr>
            <w:tcW w:w="860" w:type="dxa"/>
            <w:vAlign w:val="bottom"/>
            <w:tcBorders>
              <w:bottom w:val="single" w:sz="8" w:color="B2B2B2"/>
            </w:tcBorders>
          </w:tcPr>
          <w:p>
            <w:pPr>
              <w:spacing w:after="0"/>
              <w:rPr>
                <w:sz w:val="21"/>
                <w:szCs w:val="21"/>
                <w:color w:val="auto"/>
              </w:rPr>
            </w:pPr>
          </w:p>
        </w:tc>
      </w:tr>
      <w:tr>
        <w:trPr>
          <w:trHeight w:val="239"/>
        </w:trPr>
        <w:tc>
          <w:tcPr>
            <w:tcW w:w="8140" w:type="dxa"/>
            <w:vAlign w:val="bottom"/>
            <w:tcBorders>
              <w:bottom w:val="single" w:sz="8" w:color="B2B2B2"/>
            </w:tcBorders>
          </w:tcPr>
          <w:p>
            <w:pPr>
              <w:ind w:left="60"/>
              <w:spacing w:after="0"/>
              <w:rPr>
                <w:sz w:val="20"/>
                <w:szCs w:val="20"/>
                <w:color w:val="auto"/>
              </w:rPr>
            </w:pPr>
            <w:r>
              <w:rPr>
                <w:rFonts w:ascii="Arial" w:cs="Arial" w:eastAsia="Arial" w:hAnsi="Arial"/>
                <w:sz w:val="14"/>
                <w:szCs w:val="14"/>
                <w:color w:val="auto"/>
              </w:rPr>
              <w:t>Nareit EBITDA</w:t>
            </w:r>
            <w:r>
              <w:rPr>
                <w:rFonts w:ascii="Arial" w:cs="Arial" w:eastAsia="Arial" w:hAnsi="Arial"/>
                <w:sz w:val="14"/>
                <w:szCs w:val="14"/>
                <w:i w:val="1"/>
                <w:iCs w:val="1"/>
                <w:color w:val="auto"/>
              </w:rPr>
              <w:t>re</w:t>
            </w:r>
          </w:p>
        </w:tc>
        <w:tc>
          <w:tcPr>
            <w:tcW w:w="20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$1,111,463</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1,030,084</w:t>
            </w:r>
          </w:p>
        </w:tc>
      </w:tr>
      <w:tr>
        <w:trPr>
          <w:trHeight w:val="254"/>
        </w:trPr>
        <w:tc>
          <w:tcPr>
            <w:tcW w:w="8140" w:type="dxa"/>
            <w:vAlign w:val="bottom"/>
            <w:tcBorders>
              <w:bottom w:val="single" w:sz="8" w:color="B2B2B2"/>
            </w:tcBorders>
          </w:tcPr>
          <w:p>
            <w:pPr>
              <w:ind w:left="280"/>
              <w:spacing w:after="0"/>
              <w:rPr>
                <w:sz w:val="20"/>
                <w:szCs w:val="20"/>
                <w:color w:val="auto"/>
              </w:rPr>
            </w:pPr>
            <w:r>
              <w:rPr>
                <w:rFonts w:ascii="Arial" w:cs="Arial" w:eastAsia="Arial" w:hAnsi="Arial"/>
                <w:sz w:val="14"/>
                <w:szCs w:val="14"/>
                <w:color w:val="auto"/>
              </w:rPr>
              <w:t>Adjustments to reconcile to Operating EBITDA</w:t>
            </w:r>
            <w:r>
              <w:rPr>
                <w:rFonts w:ascii="Arial" w:cs="Arial" w:eastAsia="Arial" w:hAnsi="Arial"/>
                <w:sz w:val="14"/>
                <w:szCs w:val="14"/>
                <w:i w:val="1"/>
                <w:iCs w:val="1"/>
                <w:color w:val="auto"/>
              </w:rPr>
              <w:t>re</w:t>
            </w:r>
            <w:r>
              <w:rPr>
                <w:rFonts w:ascii="Arial" w:cs="Arial" w:eastAsia="Arial" w:hAnsi="Arial"/>
                <w:sz w:val="21"/>
                <w:szCs w:val="21"/>
                <w:color w:val="auto"/>
                <w:vertAlign w:val="superscript"/>
              </w:rPr>
              <w:t>(1)</w:t>
            </w:r>
            <w:r>
              <w:rPr>
                <w:rFonts w:ascii="Arial" w:cs="Arial" w:eastAsia="Arial" w:hAnsi="Arial"/>
                <w:sz w:val="14"/>
                <w:szCs w:val="14"/>
                <w:color w:val="auto"/>
              </w:rPr>
              <w:t>:</w:t>
            </w:r>
          </w:p>
        </w:tc>
        <w:tc>
          <w:tcPr>
            <w:tcW w:w="2020" w:type="dxa"/>
            <w:vAlign w:val="bottom"/>
            <w:tcBorders>
              <w:bottom w:val="single" w:sz="8" w:color="B2B2B2"/>
            </w:tcBorders>
          </w:tcPr>
          <w:p>
            <w:pPr>
              <w:spacing w:after="0"/>
              <w:rPr>
                <w:sz w:val="22"/>
                <w:szCs w:val="22"/>
                <w:color w:val="auto"/>
              </w:rPr>
            </w:pPr>
          </w:p>
        </w:tc>
        <w:tc>
          <w:tcPr>
            <w:tcW w:w="860" w:type="dxa"/>
            <w:vAlign w:val="bottom"/>
            <w:tcBorders>
              <w:bottom w:val="single" w:sz="8" w:color="B2B2B2"/>
            </w:tcBorders>
          </w:tcPr>
          <w:p>
            <w:pPr>
              <w:spacing w:after="0"/>
              <w:rPr>
                <w:sz w:val="22"/>
                <w:szCs w:val="22"/>
                <w:color w:val="auto"/>
              </w:rPr>
            </w:pPr>
          </w:p>
        </w:tc>
      </w:tr>
      <w:tr>
        <w:trPr>
          <w:trHeight w:val="232"/>
        </w:trPr>
        <w:tc>
          <w:tcPr>
            <w:tcW w:w="814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Merger transition costs</w:t>
            </w:r>
          </w:p>
        </w:tc>
        <w:tc>
          <w:tcPr>
            <w:tcW w:w="20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7,718</w:t>
            </w:r>
          </w:p>
        </w:tc>
      </w:tr>
      <w:tr>
        <w:trPr>
          <w:trHeight w:val="237"/>
        </w:trPr>
        <w:tc>
          <w:tcPr>
            <w:tcW w:w="814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Loss on early extinguishment of debt</w:t>
            </w:r>
          </w:p>
        </w:tc>
        <w:tc>
          <w:tcPr>
            <w:tcW w:w="202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2B2B2"/>
            </w:tcBorders>
          </w:tcPr>
          <w:p>
            <w:pPr>
              <w:jc w:val="right"/>
              <w:ind w:right="48"/>
              <w:spacing w:after="0"/>
              <w:rPr>
                <w:sz w:val="20"/>
                <w:szCs w:val="20"/>
                <w:color w:val="auto"/>
              </w:rPr>
            </w:pPr>
            <w:r>
              <w:rPr>
                <w:rFonts w:ascii="Arial" w:cs="Arial" w:eastAsia="Arial" w:hAnsi="Arial"/>
                <w:sz w:val="14"/>
                <w:szCs w:val="14"/>
                <w:color w:val="auto"/>
              </w:rPr>
              <w:t>180</w:t>
            </w:r>
          </w:p>
        </w:tc>
      </w:tr>
      <w:tr>
        <w:trPr>
          <w:trHeight w:val="237"/>
        </w:trPr>
        <w:tc>
          <w:tcPr>
            <w:tcW w:w="814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Straight-line rent, net</w:t>
            </w:r>
          </w:p>
        </w:tc>
        <w:tc>
          <w:tcPr>
            <w:tcW w:w="202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(26,181)</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(21,270)</w:t>
            </w:r>
          </w:p>
        </w:tc>
      </w:tr>
      <w:tr>
        <w:trPr>
          <w:trHeight w:val="237"/>
        </w:trPr>
        <w:tc>
          <w:tcPr>
            <w:tcW w:w="8140" w:type="dxa"/>
            <w:vAlign w:val="bottom"/>
            <w:tcBorders>
              <w:bottom w:val="single" w:sz="8" w:color="B2B2B2"/>
            </w:tcBorders>
          </w:tcPr>
          <w:p>
            <w:pPr>
              <w:ind w:left="500"/>
              <w:spacing w:after="0"/>
              <w:rPr>
                <w:sz w:val="20"/>
                <w:szCs w:val="20"/>
                <w:color w:val="auto"/>
              </w:rPr>
            </w:pPr>
            <w:r>
              <w:rPr>
                <w:rFonts w:ascii="Arial" w:cs="Arial" w:eastAsia="Arial" w:hAnsi="Arial"/>
                <w:sz w:val="14"/>
                <w:szCs w:val="14"/>
                <w:color w:val="auto"/>
              </w:rPr>
              <w:t>Above/below market rent amortization, net</w:t>
            </w:r>
          </w:p>
        </w:tc>
        <w:tc>
          <w:tcPr>
            <w:tcW w:w="202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(23,069)</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(23,436)</w:t>
            </w:r>
          </w:p>
        </w:tc>
      </w:tr>
      <w:tr>
        <w:trPr>
          <w:trHeight w:val="239"/>
        </w:trPr>
        <w:tc>
          <w:tcPr>
            <w:tcW w:w="8140" w:type="dxa"/>
            <w:vAlign w:val="bottom"/>
            <w:tcBorders>
              <w:bottom w:val="single" w:sz="8" w:color="E56D3D"/>
            </w:tcBorders>
          </w:tcPr>
          <w:p>
            <w:pPr>
              <w:ind w:left="720"/>
              <w:spacing w:after="0"/>
              <w:rPr>
                <w:sz w:val="20"/>
                <w:szCs w:val="20"/>
                <w:color w:val="auto"/>
              </w:rPr>
            </w:pPr>
            <w:r>
              <w:rPr>
                <w:rFonts w:ascii="Arial" w:cs="Arial" w:eastAsia="Arial" w:hAnsi="Arial"/>
                <w:sz w:val="14"/>
                <w:szCs w:val="14"/>
                <w:b w:val="1"/>
                <w:bCs w:val="1"/>
                <w:color w:val="auto"/>
              </w:rPr>
              <w:t>Operating EBITDAre</w:t>
            </w:r>
          </w:p>
        </w:tc>
        <w:tc>
          <w:tcPr>
            <w:tcW w:w="2020" w:type="dxa"/>
            <w:vAlign w:val="bottom"/>
            <w:tcBorders>
              <w:bottom w:val="single" w:sz="8" w:color="E56D3D"/>
            </w:tcBorders>
          </w:tcPr>
          <w:p>
            <w:pPr>
              <w:jc w:val="right"/>
              <w:ind w:right="68"/>
              <w:spacing w:after="0"/>
              <w:rPr>
                <w:sz w:val="20"/>
                <w:szCs w:val="20"/>
                <w:color w:val="auto"/>
              </w:rPr>
            </w:pPr>
            <w:r>
              <w:rPr>
                <w:rFonts w:ascii="Arial" w:cs="Arial" w:eastAsia="Arial" w:hAnsi="Arial"/>
                <w:sz w:val="14"/>
                <w:szCs w:val="14"/>
                <w:color w:val="auto"/>
              </w:rPr>
              <w:t>$1,062,213</w:t>
            </w:r>
          </w:p>
        </w:tc>
        <w:tc>
          <w:tcPr>
            <w:tcW w:w="860" w:type="dxa"/>
            <w:vAlign w:val="bottom"/>
            <w:tcBorders>
              <w:bottom w:val="single" w:sz="8" w:color="E56D3D"/>
            </w:tcBorders>
          </w:tcPr>
          <w:p>
            <w:pPr>
              <w:jc w:val="right"/>
              <w:ind w:right="48"/>
              <w:spacing w:after="0"/>
              <w:rPr>
                <w:sz w:val="20"/>
                <w:szCs w:val="20"/>
                <w:color w:val="auto"/>
              </w:rPr>
            </w:pPr>
            <w:r>
              <w:rPr>
                <w:rFonts w:ascii="Arial" w:cs="Arial" w:eastAsia="Arial" w:hAnsi="Arial"/>
                <w:sz w:val="14"/>
                <w:szCs w:val="14"/>
                <w:color w:val="auto"/>
              </w:rPr>
              <w:t>993,276</w:t>
            </w:r>
          </w:p>
        </w:tc>
      </w:tr>
      <w:tr>
        <w:trPr>
          <w:trHeight w:val="283"/>
        </w:trPr>
        <w:tc>
          <w:tcPr>
            <w:tcW w:w="8140" w:type="dxa"/>
            <w:vAlign w:val="bottom"/>
          </w:tcPr>
          <w:p>
            <w:pPr>
              <w:spacing w:after="0"/>
              <w:rPr>
                <w:sz w:val="20"/>
                <w:szCs w:val="20"/>
                <w:color w:val="auto"/>
              </w:rPr>
            </w:pPr>
            <w:r>
              <w:rPr>
                <w:rFonts w:ascii="Arial" w:cs="Arial" w:eastAsia="Arial" w:hAnsi="Arial"/>
                <w:sz w:val="14"/>
                <w:szCs w:val="14"/>
                <w:color w:val="auto"/>
              </w:rPr>
              <w:t>(1) Includes Regency’s consolidated entities and its Pro-rata share of unconsolidated real estate partnerships.</w:t>
            </w: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0"/>
        </w:trPr>
        <w:tc>
          <w:tcPr>
            <w:tcW w:w="8140" w:type="dxa"/>
            <w:vAlign w:val="bottom"/>
          </w:tcPr>
          <w:p>
            <w:pPr>
              <w:spacing w:after="0"/>
              <w:rPr>
                <w:sz w:val="20"/>
                <w:szCs w:val="20"/>
                <w:color w:val="auto"/>
              </w:rPr>
            </w:pPr>
            <w:r>
              <w:rPr>
                <w:rFonts w:ascii="Arial" w:cs="Arial" w:eastAsia="Arial" w:hAnsi="Arial"/>
                <w:sz w:val="13"/>
                <w:szCs w:val="13"/>
                <w:b w:val="1"/>
                <w:bCs w:val="1"/>
                <w:color w:val="auto"/>
              </w:rPr>
              <w:t>A-6</w:t>
            </w:r>
            <w:r>
              <w:rPr>
                <w:rFonts w:ascii="Arial" w:cs="Arial" w:eastAsia="Arial" w:hAnsi="Arial"/>
                <w:sz w:val="13"/>
                <w:szCs w:val="13"/>
                <w:color w:val="auto"/>
              </w:rPr>
              <w:t xml:space="preserve"> </w:t>
            </w:r>
            <w:r>
              <w:rPr>
                <w:rFonts w:ascii="Arial" w:cs="Arial" w:eastAsia="Arial" w:hAnsi="Arial"/>
                <w:sz w:val="17"/>
                <w:szCs w:val="17"/>
                <w:color w:val="6A6E6F"/>
              </w:rPr>
              <w:t>|</w:t>
            </w:r>
            <w:r>
              <w:rPr>
                <w:rFonts w:ascii="Arial" w:cs="Arial" w:eastAsia="Arial" w:hAnsi="Arial"/>
                <w:sz w:val="13"/>
                <w:szCs w:val="13"/>
                <w:color w:val="6A6E6F"/>
              </w:rPr>
              <w:t> REGENCY CENTERS </w:t>
            </w:r>
            <w:r>
              <w:rPr>
                <w:rFonts w:ascii="Arial" w:cs="Arial" w:eastAsia="Arial" w:hAnsi="Arial"/>
                <w:sz w:val="17"/>
                <w:szCs w:val="17"/>
                <w:color w:val="6A6E6F"/>
              </w:rPr>
              <w:t>|</w:t>
            </w:r>
            <w:r>
              <w:rPr>
                <w:rFonts w:ascii="Arial" w:cs="Arial" w:eastAsia="Arial" w:hAnsi="Arial"/>
                <w:sz w:val="13"/>
                <w:szCs w:val="13"/>
                <w:color w:val="6A6E6F"/>
              </w:rPr>
              <w:t> 2026 PROXY STATEMENT</w:t>
            </w: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lvl w:ilvl="1">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1)"/>
      <w:numFmt w:val="decimal"/>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1)"/>
      <w:numFmt w:val="decimal"/>
      <w:start w:val="2"/>
    </w:lvl>
  </w:abstractNum>
  <w:abstractNum w:abstractNumId="61">
    <w:nsid w:val="1A27709E"/>
    <w:multiLevelType w:val="hybridMultilevel"/>
    <w:lvl w:ilvl="0">
      <w:lvlJc w:val="left"/>
      <w:lvlText w:val="(%1)"/>
      <w:numFmt w:val="decimal"/>
      <w:start w:val="4"/>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1)"/>
      <w:numFmt w:val="decimal"/>
      <w:start w:val="3"/>
    </w:lvl>
  </w:abstractNum>
  <w:abstractNum w:abstractNumId="64">
    <w:nsid w:val="7FB7E0AA"/>
    <w:multiLevelType w:val="hybridMultilevel"/>
    <w:lvl w:ilvl="0">
      <w:lvlJc w:val="left"/>
      <w:lvlText w:val="(%1)"/>
      <w:numFmt w:val="decimal"/>
      <w:start w:val="1"/>
    </w:lvl>
  </w:abstractNum>
  <w:abstractNum w:abstractNumId="65">
    <w:nsid w:val="6EB5BD4"/>
    <w:multiLevelType w:val="hybridMultilevel"/>
    <w:lvl w:ilvl="0">
      <w:lvlJc w:val="left"/>
      <w:lvlText w:val="(%1)"/>
      <w:numFmt w:val="decimal"/>
      <w:start w:val="2"/>
    </w:lvl>
  </w:abstractNum>
  <w:abstractNum w:abstractNumId="66">
    <w:nsid w:val="6F6DD9AC"/>
    <w:multiLevelType w:val="hybridMultilevel"/>
    <w:lvl w:ilvl="0">
      <w:lvlJc w:val="left"/>
      <w:lvlText w:val="(%1)"/>
      <w:numFmt w:val="decimal"/>
      <w:start w:val="1"/>
    </w:lvl>
  </w:abstractNum>
  <w:abstractNum w:abstractNumId="67">
    <w:nsid w:val="94211F2"/>
    <w:multiLevelType w:val="hybridMultilevel"/>
    <w:lvl w:ilvl="0">
      <w:lvlJc w:val="left"/>
      <w:lvlText w:val="(%1)"/>
      <w:numFmt w:val="decimal"/>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1)"/>
      <w:numFmt w:val="decimal"/>
      <w:start w:val="2"/>
    </w:lvl>
  </w:abstractNum>
  <w:abstractNum w:abstractNumId="70">
    <w:nsid w:val="4C04A8AF"/>
    <w:multiLevelType w:val="hybridMultilevel"/>
    <w:lvl w:ilvl="0">
      <w:lvlJc w:val="left"/>
      <w:lvlText w:val="(%1)"/>
      <w:numFmt w:val="decimal"/>
      <w:start w:val="4"/>
    </w:lvl>
  </w:abstractNum>
  <w:abstractNum w:abstractNumId="71">
    <w:nsid w:val="1716703B"/>
    <w:multiLevelType w:val="hybridMultilevel"/>
    <w:lvl w:ilvl="0">
      <w:lvlJc w:val="left"/>
      <w:lvlText w:val="(%1)"/>
      <w:numFmt w:val="decimal"/>
      <w:start w:val="5"/>
    </w:lvl>
  </w:abstractNum>
  <w:abstractNum w:abstractNumId="72">
    <w:nsid w:val="14E17E33"/>
    <w:multiLevelType w:val="hybridMultilevel"/>
    <w:lvl w:ilvl="0">
      <w:lvlJc w:val="left"/>
      <w:lvlText w:val="(%1)"/>
      <w:numFmt w:val="decimal"/>
      <w:start w:val="6"/>
    </w:lvl>
  </w:abstractNum>
  <w:abstractNum w:abstractNumId="73">
    <w:nsid w:val="3222E7CD"/>
    <w:multiLevelType w:val="hybridMultilevel"/>
    <w:lvl w:ilvl="0">
      <w:lvlJc w:val="left"/>
      <w:lvlText w:val="(%1)"/>
      <w:numFmt w:val="decimal"/>
      <w:start w:val="7"/>
    </w:lvl>
  </w:abstractNum>
  <w:abstractNum w:abstractNumId="74">
    <w:nsid w:val="74DE0EE3"/>
    <w:multiLevelType w:val="hybridMultilevel"/>
    <w:lvl w:ilvl="0">
      <w:lvlJc w:val="left"/>
      <w:lvlText w:val="(%1)"/>
      <w:numFmt w:val="decimal"/>
      <w:start w:val="8"/>
    </w:lvl>
  </w:abstractNum>
  <w:abstractNum w:abstractNumId="75">
    <w:nsid w:val="68EBC550"/>
    <w:multiLevelType w:val="hybridMultilevel"/>
    <w:lvl w:ilvl="0">
      <w:lvlJc w:val="left"/>
      <w:lvlText w:val="(%1)"/>
      <w:numFmt w:val="decimal"/>
      <w:start w:val="9"/>
    </w:lvl>
  </w:abstractNum>
  <w:abstractNum w:abstractNumId="76">
    <w:nsid w:val="2DF6D648"/>
    <w:multiLevelType w:val="hybridMultilevel"/>
    <w:lvl w:ilvl="0">
      <w:lvlJc w:val="left"/>
      <w:lvlText w:val="(%1)"/>
      <w:numFmt w:val="decimal"/>
      <w:start w:val="1"/>
    </w:lvl>
  </w:abstractNum>
  <w:abstractNum w:abstractNumId="77">
    <w:nsid w:val="46B7D447"/>
    <w:multiLevelType w:val="hybridMultilevel"/>
    <w:lvl w:ilvl="0">
      <w:lvlJc w:val="left"/>
      <w:lvlText w:val="(%1)"/>
      <w:numFmt w:val="decimal"/>
      <w:start w:val="1"/>
    </w:lvl>
  </w:abstractNum>
  <w:abstractNum w:abstractNumId="78">
    <w:nsid w:val="4A2AC315"/>
    <w:multiLevelType w:val="hybridMultilevel"/>
    <w:lvl w:ilvl="0">
      <w:lvlJc w:val="left"/>
      <w:lvlText w:val="(%1)"/>
      <w:numFmt w:val="decimal"/>
      <w:start w:val="1"/>
    </w:lvl>
    <w:lvl w:ilvl="1">
      <w:lvlJc w:val="left"/>
      <w:lvlText w:val=" "/>
      <w:numFmt w:val="bullet"/>
      <w:start w:val="1"/>
    </w:lvl>
  </w:abstractNum>
  <w:abstractNum w:abstractNumId="79">
    <w:nsid w:val="39EE015C"/>
    <w:multiLevelType w:val="hybridMultilevel"/>
    <w:lvl w:ilvl="0">
      <w:lvlJc w:val="left"/>
      <w:lvlText w:val="%1:"/>
      <w:numFmt w:val="upperLetter"/>
      <w:start w:val="17"/>
    </w:lvl>
  </w:abstractNum>
  <w:abstractNum w:abstractNumId="80">
    <w:nsid w:val="57FC4FBB"/>
    <w:multiLevelType w:val="hybridMultilevel"/>
    <w:lvl w:ilvl="0">
      <w:lvlJc w:val="left"/>
      <w:lvlText w:val="%1:"/>
      <w:numFmt w:val="upperLetter"/>
      <w:start w:val="17"/>
    </w:lvl>
  </w:abstractNum>
  <w:abstractNum w:abstractNumId="81">
    <w:nsid w:val="CC1016F"/>
    <w:multiLevelType w:val="hybridMultilevel"/>
    <w:lvl w:ilvl="0">
      <w:lvlJc w:val="left"/>
      <w:lvlText w:val="%1:"/>
      <w:numFmt w:val="upperLetter"/>
      <w:start w:val="17"/>
    </w:lvl>
  </w:abstractNum>
  <w:abstractNum w:abstractNumId="82">
    <w:nsid w:val="43F18422"/>
    <w:multiLevelType w:val="hybridMultilevel"/>
    <w:lvl w:ilvl="0">
      <w:lvlJc w:val="left"/>
      <w:lvlText w:val="%1:"/>
      <w:numFmt w:val="upperLetter"/>
      <w:start w:val="17"/>
    </w:lvl>
  </w:abstractNum>
  <w:abstractNum w:abstractNumId="83">
    <w:nsid w:val="60EF0119"/>
    <w:multiLevelType w:val="hybridMultilevel"/>
    <w:lvl w:ilvl="0">
      <w:lvlJc w:val="left"/>
      <w:lvlText w:val="%1:"/>
      <w:numFmt w:val="upperLetter"/>
      <w:start w:val="17"/>
    </w:lvl>
  </w:abstractNum>
  <w:abstractNum w:abstractNumId="84">
    <w:nsid w:val="26F324BA"/>
    <w:multiLevelType w:val="hybridMultilevel"/>
    <w:lvl w:ilvl="0">
      <w:lvlJc w:val="left"/>
      <w:lvlText w:val="%1:"/>
      <w:numFmt w:val="upperLetter"/>
      <w:start w:val="17"/>
    </w:lvl>
  </w:abstractNum>
  <w:abstractNum w:abstractNumId="85">
    <w:nsid w:val="7F01579B"/>
    <w:multiLevelType w:val="hybridMultilevel"/>
    <w:lvl w:ilvl="0">
      <w:lvlJc w:val="left"/>
      <w:lvlText w:val="%1:"/>
      <w:numFmt w:val="upperLetter"/>
      <w:start w:val="17"/>
    </w:lvl>
  </w:abstractNum>
  <w:abstractNum w:abstractNumId="86">
    <w:nsid w:val="49DA307D"/>
    <w:multiLevelType w:val="hybridMultilevel"/>
    <w:lvl w:ilvl="0">
      <w:lvlJc w:val="left"/>
      <w:lvlText w:val="%1:"/>
      <w:numFmt w:val="upperLetter"/>
      <w:start w:val="17"/>
    </w:lvl>
  </w:abstractNum>
  <w:abstractNum w:abstractNumId="87">
    <w:nsid w:val="7055A5F5"/>
    <w:multiLevelType w:val="hybridMultilevel"/>
    <w:lvl w:ilvl="0">
      <w:lvlJc w:val="left"/>
      <w:lvlText w:val="%1:"/>
      <w:numFmt w:val="upperLetter"/>
      <w:start w:val="17"/>
    </w:lvl>
  </w:abstractNum>
  <w:abstractNum w:abstractNumId="88">
    <w:nsid w:val="5FB8370B"/>
    <w:multiLevelType w:val="hybridMultilevel"/>
    <w:lvl w:ilvl="0">
      <w:lvlJc w:val="left"/>
      <w:lvlText w:val="%1:"/>
      <w:numFmt w:val="upperLetter"/>
      <w:start w:val="17"/>
    </w:lvl>
  </w:abstractNum>
  <w:abstractNum w:abstractNumId="89">
    <w:nsid w:val="50801EE1"/>
    <w:multiLevelType w:val="hybridMultilevel"/>
    <w:lvl w:ilvl="0">
      <w:lvlJc w:val="left"/>
      <w:lvlText w:val="%1:"/>
      <w:numFmt w:val="upperLetter"/>
      <w:start w:val="17"/>
    </w:lvl>
  </w:abstractNum>
  <w:abstractNum w:abstractNumId="90">
    <w:nsid w:val="488AC1A"/>
    <w:multiLevelType w:val="hybridMultilevel"/>
    <w:lvl w:ilvl="0">
      <w:lvlJc w:val="left"/>
      <w:lvlText w:val="%1:"/>
      <w:numFmt w:val="upperLetter"/>
      <w:start w:val="17"/>
    </w:lvl>
  </w:abstractNum>
  <w:abstractNum w:abstractNumId="91">
    <w:nsid w:val="5FB8011C"/>
    <w:multiLevelType w:val="hybridMultilevel"/>
    <w:lvl w:ilvl="0">
      <w:lvlJc w:val="left"/>
      <w:lvlText w:val="%1:"/>
      <w:numFmt w:val="upperLetter"/>
      <w:start w:val="17"/>
    </w:lvl>
  </w:abstractNum>
  <w:abstractNum w:abstractNumId="92">
    <w:nsid w:val="6AA78F7F"/>
    <w:multiLevelType w:val="hybridMultilevel"/>
    <w:lvl w:ilvl="0">
      <w:lvlJc w:val="left"/>
      <w:lvlText w:val="%1:"/>
      <w:numFmt w:val="upperLetter"/>
      <w:start w:val="17"/>
    </w:lvl>
  </w:abstractNum>
  <w:abstractNum w:abstractNumId="93">
    <w:nsid w:val="7672BD23"/>
    <w:multiLevelType w:val="hybridMultilevel"/>
    <w:lvl w:ilvl="0">
      <w:lvlJc w:val="left"/>
      <w:lvlText w:val="%1:"/>
      <w:numFmt w:val="upperLetter"/>
      <w:start w:val="17"/>
    </w:lvl>
  </w:abstractNum>
  <w:abstractNum w:abstractNumId="94">
    <w:nsid w:val="6FC75AF8"/>
    <w:multiLevelType w:val="hybridMultilevel"/>
    <w:lvl w:ilvl="0">
      <w:lvlJc w:val="left"/>
      <w:lvlText w:val="%1:"/>
      <w:numFmt w:val="upperLetter"/>
      <w:start w:val="17"/>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
      <w:numFmt w:val="bullet"/>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 "/>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2026-03-25T07:33:37Z</dcterms:created>
  <dcterms:modified xsi:type="dcterms:W3CDTF">2026-03-25T07:33:37Z</dcterms:modified>
</cp:coreProperties>
</file>