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eg-20241028.htm"/>
      <w:bookmarkStart w:id="1" w:name="ksreg20241028"/>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October 28, 2024</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CORPORATION</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L.P.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206"/>
        <w:gridCol w:w="146"/>
        <w:gridCol w:w="3287"/>
        <w:gridCol w:w="176"/>
        <w:gridCol w:w="3390"/>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r>
      <w:tr>
        <w:trPr/>
        <w:tc>
          <w:tcPr>
            <w:tcW w:w="3206" w:type="dxa"/>
            <w:tcBorders/>
            <w:vAlign w:val="center"/>
          </w:tcPr>
          <w:p>
            <w:pPr>
              <w:pStyle w:val="TableContents"/>
              <w:bidi w:val="0"/>
              <w:spacing w:before="0" w:after="283"/>
              <w:ind w:left="0" w:right="2963" w:hanging="0"/>
              <w:jc w:val="left"/>
              <w:rPr/>
            </w:pPr>
            <w:r>
              <w:rPr/>
              <w:t> </w:t>
            </w:r>
          </w:p>
        </w:tc>
        <w:tc>
          <w:tcPr>
            <w:tcW w:w="146" w:type="dxa"/>
            <w:tcBorders/>
            <w:vAlign w:val="center"/>
          </w:tcPr>
          <w:p>
            <w:pPr>
              <w:pStyle w:val="TableContents"/>
              <w:bidi w:val="0"/>
              <w:spacing w:before="0" w:after="283"/>
              <w:jc w:val="left"/>
              <w:rPr/>
            </w:pPr>
            <w:r>
              <w:rPr/>
              <w:t> </w:t>
            </w:r>
          </w:p>
        </w:tc>
        <w:tc>
          <w:tcPr>
            <w:tcW w:w="3287" w:type="dxa"/>
            <w:tcBorders/>
            <w:vAlign w:val="center"/>
          </w:tcPr>
          <w:p>
            <w:pPr>
              <w:pStyle w:val="TableContents"/>
              <w:bidi w:val="0"/>
              <w:spacing w:before="0" w:after="283"/>
              <w:jc w:val="center"/>
              <w:rPr/>
            </w:pPr>
            <w:r>
              <w:rPr/>
              <w:drawing>
                <wp:inline distT="0" distB="0" distL="0" distR="0">
                  <wp:extent cx="130492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514350"/>
                          </a:xfrm>
                          <a:prstGeom prst="rect">
                            <a:avLst/>
                          </a:prstGeom>
                        </pic:spPr>
                      </pic:pic>
                    </a:graphicData>
                  </a:graphic>
                </wp:inline>
              </w:drawing>
            </w:r>
          </w:p>
        </w:tc>
        <w:tc>
          <w:tcPr>
            <w:tcW w:w="176" w:type="dxa"/>
            <w:tcBorders/>
            <w:vAlign w:val="center"/>
          </w:tcPr>
          <w:p>
            <w:pPr>
              <w:pStyle w:val="TableContents"/>
              <w:bidi w:val="0"/>
              <w:spacing w:before="0" w:after="283"/>
              <w:jc w:val="left"/>
              <w:rPr/>
            </w:pPr>
            <w:r>
              <w:rPr/>
              <w:t> </w:t>
            </w:r>
          </w:p>
        </w:tc>
        <w:tc>
          <w:tcPr>
            <w:tcW w:w="3390" w:type="dxa"/>
            <w:tcBorders/>
            <w:vAlign w:val="center"/>
          </w:tcPr>
          <w:p>
            <w:pPr>
              <w:pStyle w:val="TableContents"/>
              <w:bidi w:val="0"/>
              <w:spacing w:before="0" w:after="283"/>
              <w:jc w:val="left"/>
              <w:rPr/>
            </w:pPr>
            <w:r>
              <w:rPr/>
              <w:t> </w:t>
            </w:r>
          </w:p>
        </w:tc>
      </w:tr>
      <w:tr>
        <w:trPr/>
        <w:tc>
          <w:tcPr>
            <w:tcW w:w="3206" w:type="dxa"/>
            <w:tcBorders/>
            <w:vAlign w:val="center"/>
          </w:tcPr>
          <w:p>
            <w:pPr>
              <w:pStyle w:val="TableContents"/>
              <w:bidi w:val="0"/>
              <w:jc w:val="center"/>
              <w:rPr>
                <w:rFonts w:ascii="Times New Roman" w:hAnsi="Times New Roman"/>
                <w:sz w:val="20"/>
              </w:rPr>
            </w:pPr>
            <w:r>
              <w:rPr>
                <w:rFonts w:ascii="Times New Roman" w:hAnsi="Times New Roman"/>
                <w:b/>
                <w:color w:val="000000"/>
                <w:sz w:val="18"/>
              </w:rPr>
              <w:t>Florida</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Delaware</w:t>
            </w:r>
            <w:r>
              <w:rPr>
                <w:rFonts w:ascii="Times New Roman" w:hAnsi="Times New Roman"/>
                <w:color w:val="000000"/>
                <w:sz w:val="20"/>
              </w:rPr>
              <w:t> </w:t>
            </w:r>
            <w:r>
              <w:rPr>
                <w:rFonts w:ascii="Times New Roman" w:hAnsi="Times New Roman"/>
                <w:b/>
                <w:color w:val="000000"/>
                <w:sz w:val="18"/>
              </w:rPr>
              <w:t>(Regency Centers, L. P.)</w:t>
            </w:r>
          </w:p>
        </w:tc>
        <w:tc>
          <w:tcPr>
            <w:tcW w:w="146" w:type="dxa"/>
            <w:tcBorders/>
            <w:vAlign w:val="center"/>
          </w:tcPr>
          <w:p>
            <w:pPr>
              <w:pStyle w:val="TableContents"/>
              <w:bidi w:val="0"/>
              <w:spacing w:before="0" w:after="283"/>
              <w:jc w:val="left"/>
              <w:rPr/>
            </w:pPr>
            <w:r>
              <w:rPr/>
              <w:t> </w:t>
            </w:r>
          </w:p>
        </w:tc>
        <w:tc>
          <w:tcPr>
            <w:tcW w:w="3287" w:type="dxa"/>
            <w:tcBorders/>
            <w:vAlign w:val="center"/>
          </w:tcPr>
          <w:p>
            <w:pPr>
              <w:pStyle w:val="TableContents"/>
              <w:bidi w:val="0"/>
              <w:jc w:val="center"/>
              <w:rPr>
                <w:rFonts w:ascii="Times New Roman" w:hAnsi="Times New Roman"/>
                <w:sz w:val="20"/>
              </w:rPr>
            </w:pPr>
            <w:r>
              <w:rPr>
                <w:rFonts w:ascii="Times New Roman" w:hAnsi="Times New Roman"/>
                <w:b/>
                <w:color w:val="000000"/>
                <w:sz w:val="18"/>
              </w:rPr>
              <w:t>001-12298</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0-24763</w:t>
            </w:r>
            <w:r>
              <w:rPr>
                <w:rFonts w:ascii="Times New Roman" w:hAnsi="Times New Roman"/>
                <w:color w:val="000000"/>
                <w:sz w:val="20"/>
              </w:rPr>
              <w:t> </w:t>
            </w:r>
            <w:r>
              <w:rPr>
                <w:rFonts w:ascii="Times New Roman" w:hAnsi="Times New Roman"/>
                <w:b/>
                <w:color w:val="000000"/>
                <w:sz w:val="18"/>
              </w:rPr>
              <w:t>(Regency Centers, L.P.)</w:t>
            </w:r>
          </w:p>
        </w:tc>
        <w:tc>
          <w:tcPr>
            <w:tcW w:w="176" w:type="dxa"/>
            <w:tcBorders/>
            <w:vAlign w:val="center"/>
          </w:tcPr>
          <w:p>
            <w:pPr>
              <w:pStyle w:val="TableContents"/>
              <w:bidi w:val="0"/>
              <w:spacing w:before="0" w:after="283"/>
              <w:jc w:val="left"/>
              <w:rPr/>
            </w:pPr>
            <w:r>
              <w:rPr/>
              <w:t> </w:t>
            </w:r>
          </w:p>
        </w:tc>
        <w:tc>
          <w:tcPr>
            <w:tcW w:w="3390" w:type="dxa"/>
            <w:tcBorders/>
            <w:vAlign w:val="center"/>
          </w:tcPr>
          <w:p>
            <w:pPr>
              <w:pStyle w:val="TableContents"/>
              <w:bidi w:val="0"/>
              <w:jc w:val="center"/>
              <w:rPr>
                <w:rFonts w:ascii="Times New Roman" w:hAnsi="Times New Roman"/>
                <w:sz w:val="20"/>
              </w:rPr>
            </w:pPr>
            <w:r>
              <w:rPr>
                <w:rFonts w:ascii="Times New Roman" w:hAnsi="Times New Roman"/>
                <w:b/>
                <w:color w:val="000000"/>
                <w:sz w:val="18"/>
              </w:rPr>
              <w:t>59-3191743</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ind w:left="0" w:right="0" w:firstLine="30"/>
              <w:jc w:val="center"/>
              <w:rPr>
                <w:rFonts w:ascii="Times New Roman" w:hAnsi="Times New Roman"/>
                <w:sz w:val="20"/>
              </w:rPr>
            </w:pPr>
            <w:r>
              <w:rPr>
                <w:rFonts w:ascii="Times New Roman" w:hAnsi="Times New Roman"/>
                <w:b/>
                <w:color w:val="000000"/>
                <w:sz w:val="18"/>
              </w:rPr>
              <w:t>59-3429602</w:t>
            </w:r>
            <w:r>
              <w:rPr>
                <w:rFonts w:ascii="Times New Roman" w:hAnsi="Times New Roman"/>
                <w:color w:val="000000"/>
                <w:sz w:val="20"/>
              </w:rPr>
              <w:t> </w:t>
            </w:r>
            <w:r>
              <w:rPr>
                <w:rFonts w:ascii="Times New Roman" w:hAnsi="Times New Roman"/>
                <w:b/>
                <w:color w:val="000000"/>
                <w:sz w:val="18"/>
              </w:rPr>
              <w:t>(Regency Centers, L.P.)</w:t>
            </w:r>
          </w:p>
        </w:tc>
      </w:tr>
      <w:tr>
        <w:trPr/>
        <w:tc>
          <w:tcPr>
            <w:tcW w:w="3206" w:type="dxa"/>
            <w:tcBorders/>
            <w:vAlign w:val="center"/>
          </w:tcPr>
          <w:p>
            <w:pPr>
              <w:pStyle w:val="TableContents"/>
              <w:bidi w:val="0"/>
              <w:spacing w:before="0" w:after="283"/>
              <w:ind w:left="30" w:right="0" w:firstLine="30"/>
              <w:jc w:val="center"/>
              <w:rPr>
                <w:rFonts w:ascii="Times New Roman" w:hAnsi="Times New Roman"/>
                <w:color w:val="000000"/>
                <w:sz w:val="16"/>
              </w:rPr>
            </w:pPr>
            <w:r>
              <w:rPr>
                <w:rFonts w:ascii="Times New Roman" w:hAnsi="Times New Roman"/>
                <w:color w:val="000000"/>
                <w:sz w:val="16"/>
              </w:rPr>
              <w:t>(State or other jurisdiction of incorporation)</w:t>
            </w:r>
          </w:p>
        </w:tc>
        <w:tc>
          <w:tcPr>
            <w:tcW w:w="146" w:type="dxa"/>
            <w:tcBorders/>
            <w:vAlign w:val="center"/>
          </w:tcPr>
          <w:p>
            <w:pPr>
              <w:pStyle w:val="TableContents"/>
              <w:bidi w:val="0"/>
              <w:spacing w:before="0" w:after="283"/>
              <w:jc w:val="left"/>
              <w:rPr/>
            </w:pPr>
            <w:r>
              <w:rPr/>
              <w:t> </w:t>
            </w:r>
          </w:p>
        </w:tc>
        <w:tc>
          <w:tcPr>
            <w:tcW w:w="3287" w:type="dxa"/>
            <w:tcBorders/>
            <w:vAlign w:val="center"/>
          </w:tcPr>
          <w:p>
            <w:pPr>
              <w:pStyle w:val="TableContents"/>
              <w:bidi w:val="0"/>
              <w:spacing w:before="0" w:after="283"/>
              <w:jc w:val="center"/>
              <w:rPr/>
            </w:pPr>
            <w:r>
              <w:rPr>
                <w:color w:val="000000"/>
              </w:rPr>
              <w:t> </w:t>
            </w:r>
            <w:r>
              <w:rPr>
                <w:rFonts w:ascii="Calibri;sans-serif" w:hAnsi="Calibri;sans-serif"/>
                <w:color w:val="000000"/>
                <w:sz w:val="22"/>
              </w:rPr>
              <w:t>(</w:t>
            </w:r>
            <w:r>
              <w:rPr>
                <w:rFonts w:ascii="Times New Roman" w:hAnsi="Times New Roman"/>
                <w:color w:val="000000"/>
                <w:sz w:val="16"/>
              </w:rPr>
              <w:t>Commission File Number)</w:t>
            </w:r>
          </w:p>
        </w:tc>
        <w:tc>
          <w:tcPr>
            <w:tcW w:w="176" w:type="dxa"/>
            <w:tcBorders/>
            <w:vAlign w:val="center"/>
          </w:tcPr>
          <w:p>
            <w:pPr>
              <w:pStyle w:val="TableContents"/>
              <w:bidi w:val="0"/>
              <w:spacing w:before="0" w:after="283"/>
              <w:ind w:left="0" w:right="0" w:firstLine="30"/>
              <w:jc w:val="left"/>
              <w:rPr/>
            </w:pPr>
            <w:r>
              <w:rPr/>
              <w:t> </w:t>
            </w:r>
          </w:p>
        </w:tc>
        <w:tc>
          <w:tcPr>
            <w:tcW w:w="3390" w:type="dxa"/>
            <w:tcBorders/>
            <w:vAlign w:val="center"/>
          </w:tcPr>
          <w:p>
            <w:pPr>
              <w:pStyle w:val="TableContents"/>
              <w:bidi w:val="0"/>
              <w:spacing w:before="0" w:after="283"/>
              <w:ind w:left="30" w:right="0" w:firstLine="30"/>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One Independent Drive, Suite 114</w:t>
      </w:r>
    </w:p>
    <w:p>
      <w:pPr>
        <w:pStyle w:val="TextBody"/>
        <w:bidi w:val="0"/>
        <w:jc w:val="center"/>
        <w:rPr>
          <w:rFonts w:ascii="Times New Roman" w:hAnsi="Times New Roman"/>
          <w:sz w:val="20"/>
        </w:rPr>
      </w:pPr>
      <w:r>
        <w:rPr>
          <w:rFonts w:ascii="Times New Roman" w:hAnsi="Times New Roman"/>
          <w:b/>
          <w:color w:val="000000"/>
          <w:sz w:val="24"/>
        </w:rPr>
        <w:t>Jacksonville, Florida</w:t>
      </w:r>
      <w:r>
        <w:rPr>
          <w:rFonts w:ascii="Times New Roman" w:hAnsi="Times New Roman"/>
          <w:color w:val="000000"/>
          <w:sz w:val="20"/>
        </w:rPr>
        <w:t xml:space="preserve"> </w:t>
      </w:r>
      <w:r>
        <w:rPr>
          <w:rFonts w:ascii="Times New Roman" w:hAnsi="Times New Roman"/>
          <w:b/>
          <w:color w:val="000000"/>
          <w:sz w:val="24"/>
        </w:rPr>
        <w:t>32202</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rFonts w:ascii="Times New Roman" w:hAnsi="Times New Roman"/>
          <w:b/>
          <w:color w:val="000000"/>
          <w:sz w:val="20"/>
        </w:rPr>
      </w:pPr>
      <w:r>
        <w:rPr>
          <w:rFonts w:ascii="Times New Roman" w:hAnsi="Times New Roman"/>
          <w:b/>
          <w:color w:val="000000"/>
          <w:sz w:val="20"/>
        </w:rPr>
        <w:t>(904) 598-7000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w:t>
      </w:r>
    </w:p>
    <w:tbl>
      <w:tblPr>
        <w:tblW w:w="10205" w:type="dxa"/>
        <w:jc w:val="left"/>
        <w:tblInd w:w="0" w:type="dxa"/>
        <w:tblLayout w:type="fixed"/>
        <w:tblCellMar>
          <w:top w:w="28" w:type="dxa"/>
          <w:left w:w="28" w:type="dxa"/>
          <w:bottom w:w="28" w:type="dxa"/>
          <w:right w:w="28" w:type="dxa"/>
        </w:tblCellMar>
      </w:tblPr>
      <w:tblGrid>
        <w:gridCol w:w="5665"/>
        <w:gridCol w:w="146"/>
        <w:gridCol w:w="1212"/>
        <w:gridCol w:w="146"/>
        <w:gridCol w:w="3036"/>
      </w:tblGrid>
      <w:tr>
        <w:trPr/>
        <w:tc>
          <w:tcPr>
            <w:tcW w:w="5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r>
      <w:tr>
        <w:trPr/>
        <w:tc>
          <w:tcPr>
            <w:tcW w:w="56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66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$0.01 par value</w:t>
            </w:r>
          </w:p>
        </w:tc>
        <w:tc>
          <w:tcPr>
            <w:tcW w:w="14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46"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6.250% Series A Cumulative Redeemable Preferred Stock, par value $0.01 per share</w:t>
            </w:r>
          </w:p>
        </w:tc>
        <w:tc>
          <w:tcPr>
            <w:tcW w:w="146"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REGCP</w:t>
            </w:r>
          </w:p>
        </w:tc>
        <w:tc>
          <w:tcPr>
            <w:tcW w:w="146" w:type="dxa"/>
            <w:tcBorders/>
            <w:vAlign w:val="center"/>
          </w:tcPr>
          <w:p>
            <w:pPr>
              <w:pStyle w:val="TableContents"/>
              <w:bidi w:val="0"/>
              <w:spacing w:before="0" w:after="283"/>
              <w:jc w:val="left"/>
              <w:rPr/>
            </w:pPr>
            <w:r>
              <w:rPr/>
              <w:t> </w:t>
            </w:r>
          </w:p>
        </w:tc>
        <w:tc>
          <w:tcPr>
            <w:tcW w:w="30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5.875% Series B Cumulative Redeemable Preferred Stock, par value $0.01 per share</w:t>
            </w:r>
          </w:p>
        </w:tc>
        <w:tc>
          <w:tcPr>
            <w:tcW w:w="146"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REGCO</w:t>
            </w:r>
          </w:p>
        </w:tc>
        <w:tc>
          <w:tcPr>
            <w:tcW w:w="146" w:type="dxa"/>
            <w:tcBorders/>
            <w:vAlign w:val="center"/>
          </w:tcPr>
          <w:p>
            <w:pPr>
              <w:pStyle w:val="TableContents"/>
              <w:bidi w:val="0"/>
              <w:spacing w:before="0" w:after="283"/>
              <w:jc w:val="left"/>
              <w:rPr/>
            </w:pPr>
            <w:r>
              <w:rPr/>
              <w:t> </w:t>
            </w:r>
          </w:p>
        </w:tc>
        <w:tc>
          <w:tcPr>
            <w:tcW w:w="30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left"/>
        <w:rPr/>
      </w:pPr>
      <w:r>
        <w:rPr/>
        <w:t> </w:t>
      </w:r>
    </w:p>
    <w:tbl>
      <w:tblPr>
        <w:tblW w:w="6206" w:type="dxa"/>
        <w:jc w:val="left"/>
        <w:tblInd w:w="0" w:type="dxa"/>
        <w:tblLayout w:type="fixed"/>
        <w:tblCellMar>
          <w:top w:w="28" w:type="dxa"/>
          <w:left w:w="28" w:type="dxa"/>
          <w:bottom w:w="28" w:type="dxa"/>
          <w:right w:w="28" w:type="dxa"/>
        </w:tblCellMar>
      </w:tblPr>
      <w:tblGrid>
        <w:gridCol w:w="1396"/>
        <w:gridCol w:w="109"/>
        <w:gridCol w:w="1276"/>
        <w:gridCol w:w="109"/>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r>
    </w:tbl>
    <w:p>
      <w:pPr>
        <w:pStyle w:val="TextBody"/>
        <w:bidi w:val="0"/>
        <w:spacing w:before="8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 .425)</w:t>
            </w:r>
          </w:p>
        </w:tc>
      </w:tr>
      <w:tr>
        <w:trPr/>
        <w:tc>
          <w:tcPr>
            <w:tcW w:w="33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6107" w:type="dxa"/>
        <w:jc w:val="left"/>
        <w:tblInd w:w="0" w:type="dxa"/>
        <w:tblLayout w:type="fixed"/>
        <w:tblCellMar>
          <w:top w:w="28" w:type="dxa"/>
          <w:left w:w="28" w:type="dxa"/>
          <w:bottom w:w="28" w:type="dxa"/>
          <w:right w:w="28" w:type="dxa"/>
        </w:tblCellMar>
      </w:tblPr>
      <w:tblGrid>
        <w:gridCol w:w="916"/>
        <w:gridCol w:w="5191"/>
      </w:tblGrid>
      <w:tr>
        <w:trPr/>
        <w:tc>
          <w:tcPr>
            <w:tcW w:w="916"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51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Disclosure of Results of Operations and Financial Condition</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28, 2024, Regency Centers Corporation ("Regency") issued an earnings release for the three and nine months ended September 30, 2024, which is attached as Exhibit 99.1.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28, 2024, Regency posted on its website, at investors.regencycenters.com, certain supplemental information for the three and nine months ended September 30, 2024, which are attached as Exhibit 99.2 and Exhibit 99.3,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furnished under this Item 2.02, including Exhibit 99.1, Exhibit 99.2, and Exhibit 99.3, shall not be deemed "filed" for the purposes of Section 18 of the Securities Exchange Act of 1934, as amended (the "Exchange Act"), or otherwise subject to the liabilities of that section and shall not be deemed to be incorporated by reference into any filing under the Securities Act of 1933, as amended (the "Securities Act"), or the Exchange Act.</w:t>
      </w:r>
    </w:p>
    <w:p>
      <w:pPr>
        <w:pStyle w:val="TextBody"/>
        <w:bidi w:val="0"/>
        <w:jc w:val="both"/>
        <w:rPr/>
      </w:pPr>
      <w:r>
        <w:rPr/>
        <w:t> </w:t>
      </w:r>
    </w:p>
    <w:tbl>
      <w:tblPr>
        <w:tblW w:w="3302" w:type="dxa"/>
        <w:jc w:val="left"/>
        <w:tblInd w:w="0" w:type="dxa"/>
        <w:tblLayout w:type="fixed"/>
        <w:tblCellMar>
          <w:top w:w="28" w:type="dxa"/>
          <w:left w:w="28" w:type="dxa"/>
          <w:bottom w:w="28" w:type="dxa"/>
          <w:right w:w="28" w:type="dxa"/>
        </w:tblCellMar>
      </w:tblPr>
      <w:tblGrid>
        <w:gridCol w:w="916"/>
        <w:gridCol w:w="2386"/>
      </w:tblGrid>
      <w:tr>
        <w:trPr/>
        <w:tc>
          <w:tcPr>
            <w:tcW w:w="91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Regulation FD Disclosures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28, 2024, Regency posted on its website, at investors.regencycenters.com, the Regency Centers Q3 2024 Earnings Presentation.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furnished under this item 7.01 shall not be deemed "filed" for purposes of Section 18 of the Exchange Act or otherwise subject to the liabilities of that section and shall not be deemed to be incorporated by reference into any filing under the Securities Act, or the Exchange Act.</w:t>
      </w:r>
    </w:p>
    <w:p>
      <w:pPr>
        <w:pStyle w:val="TextBody"/>
        <w:bidi w:val="0"/>
        <w:jc w:val="both"/>
        <w:rPr/>
      </w:pPr>
      <w:r>
        <w:rPr/>
        <w:t> </w:t>
      </w:r>
    </w:p>
    <w:tbl>
      <w:tblPr>
        <w:tblW w:w="3947" w:type="dxa"/>
        <w:jc w:val="left"/>
        <w:tblInd w:w="0" w:type="dxa"/>
        <w:tblLayout w:type="fixed"/>
        <w:tblCellMar>
          <w:top w:w="28" w:type="dxa"/>
          <w:left w:w="28" w:type="dxa"/>
          <w:bottom w:w="28" w:type="dxa"/>
          <w:right w:w="28" w:type="dxa"/>
        </w:tblCellMar>
      </w:tblPr>
      <w:tblGrid>
        <w:gridCol w:w="916"/>
        <w:gridCol w:w="3031"/>
      </w:tblGrid>
      <w:tr>
        <w:trPr/>
        <w:tc>
          <w:tcPr>
            <w:tcW w:w="91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46"/>
        <w:gridCol w:w="9159"/>
      </w:tblGrid>
      <w:tr>
        <w:trPr/>
        <w:tc>
          <w:tcPr>
            <w:tcW w:w="1046" w:type="dxa"/>
            <w:tcBorders/>
            <w:vAlign w:val="center"/>
          </w:tcPr>
          <w:p>
            <w:pPr>
              <w:pStyle w:val="TableContents"/>
              <w:bidi w:val="0"/>
              <w:spacing w:before="0" w:after="283"/>
              <w:jc w:val="left"/>
              <w:rPr>
                <w:sz w:val="4"/>
                <w:szCs w:val="4"/>
              </w:rPr>
            </w:pPr>
            <w:r>
              <w:rPr>
                <w:sz w:val="4"/>
                <w:szCs w:val="4"/>
              </w:rPr>
            </w:r>
          </w:p>
        </w:tc>
        <w:tc>
          <w:tcPr>
            <w:tcW w:w="9159" w:type="dxa"/>
            <w:tcBorders/>
            <w:vAlign w:val="center"/>
          </w:tcPr>
          <w:p>
            <w:pPr>
              <w:pStyle w:val="TableContents"/>
              <w:bidi w:val="0"/>
              <w:spacing w:before="0" w:after="283"/>
              <w:jc w:val="left"/>
              <w:rPr>
                <w:sz w:val="4"/>
                <w:szCs w:val="4"/>
              </w:rPr>
            </w:pPr>
            <w:r>
              <w:rPr>
                <w:sz w:val="4"/>
                <w:szCs w:val="4"/>
              </w:rPr>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9159" w:type="dxa"/>
            <w:tcBorders/>
            <w:tcMar>
              <w:top w:w="0" w:type="dxa"/>
              <w:left w:w="0" w:type="dxa"/>
              <w:bottom w:w="0" w:type="dxa"/>
              <w:right w:w="0" w:type="dxa"/>
            </w:tcMar>
            <w:vAlign w:val="center"/>
          </w:tcPr>
          <w:p>
            <w:pPr>
              <w:pStyle w:val="TableContents"/>
              <w:bidi w:val="0"/>
              <w:spacing w:before="0" w:after="283"/>
              <w:jc w:val="both"/>
              <w:rPr/>
            </w:pPr>
            <w:hyperlink w:anchor="reg-ex99_1.htm">
              <w:r>
                <w:rPr>
                  <w:rStyle w:val="InternetLink"/>
                  <w:rFonts w:ascii="Times New Roman" w:hAnsi="Times New Roman"/>
                  <w:color w:val="0000FF"/>
                  <w:sz w:val="20"/>
                  <w:u w:val="single"/>
                </w:rPr>
                <w:t>Earnings release issued by Regency on October 28, 2024, for the three and nine months ended September 30, 2024.</w:t>
              </w:r>
            </w:hyperlink>
          </w:p>
        </w:tc>
      </w:tr>
      <w:tr>
        <w:trPr/>
        <w:tc>
          <w:tcPr>
            <w:tcW w:w="10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99.2</w:t>
            </w:r>
          </w:p>
        </w:tc>
        <w:tc>
          <w:tcPr>
            <w:tcW w:w="9159" w:type="dxa"/>
            <w:tcBorders/>
            <w:tcMar>
              <w:top w:w="0" w:type="dxa"/>
              <w:left w:w="0" w:type="dxa"/>
              <w:bottom w:w="0" w:type="dxa"/>
              <w:right w:w="0" w:type="dxa"/>
            </w:tcMar>
            <w:vAlign w:val="center"/>
          </w:tcPr>
          <w:p>
            <w:pPr>
              <w:pStyle w:val="TableContents"/>
              <w:bidi w:val="0"/>
              <w:spacing w:before="0" w:after="283"/>
              <w:jc w:val="both"/>
              <w:rPr/>
            </w:pPr>
            <w:hyperlink w:anchor="reg-ex99_2.htm">
              <w:r>
                <w:rPr>
                  <w:rStyle w:val="InternetLink"/>
                  <w:rFonts w:ascii="Times New Roman" w:hAnsi="Times New Roman"/>
                  <w:color w:val="0000FF"/>
                  <w:sz w:val="20"/>
                  <w:u w:val="single"/>
                </w:rPr>
                <w:t>Supplemental information posted on its website on October 28, 2024, for the three and nine months ended September 30, 2024.</w:t>
              </w:r>
            </w:hyperlink>
          </w:p>
        </w:tc>
      </w:tr>
      <w:tr>
        <w:trPr/>
        <w:tc>
          <w:tcPr>
            <w:tcW w:w="10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99.3</w:t>
            </w:r>
          </w:p>
        </w:tc>
        <w:tc>
          <w:tcPr>
            <w:tcW w:w="9159" w:type="dxa"/>
            <w:tcBorders/>
            <w:tcMar>
              <w:top w:w="0" w:type="dxa"/>
              <w:left w:w="0" w:type="dxa"/>
              <w:bottom w:w="0" w:type="dxa"/>
              <w:right w:w="0" w:type="dxa"/>
            </w:tcMar>
            <w:vAlign w:val="center"/>
          </w:tcPr>
          <w:p>
            <w:pPr>
              <w:pStyle w:val="TableContents"/>
              <w:bidi w:val="0"/>
              <w:spacing w:before="0" w:after="283"/>
              <w:jc w:val="both"/>
              <w:rPr/>
            </w:pPr>
            <w:hyperlink w:anchor="reg-ex99_3.htm">
              <w:r>
                <w:rPr>
                  <w:rStyle w:val="InternetLink"/>
                  <w:rFonts w:ascii="Times New Roman" w:hAnsi="Times New Roman"/>
                  <w:color w:val="0000FF"/>
                  <w:sz w:val="20"/>
                  <w:u w:val="single"/>
                </w:rPr>
                <w:t>Fixed income supplemental information posted on its website on October 28, 2024, for the three and nine months ended September 30, 2024.</w:t>
              </w:r>
            </w:hyperlink>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1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documents)</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9235" w:type="dxa"/>
        <w:jc w:val="left"/>
        <w:tblInd w:w="0" w:type="dxa"/>
        <w:tblLayout w:type="fixed"/>
        <w:tblCellMar>
          <w:top w:w="28" w:type="dxa"/>
          <w:left w:w="28" w:type="dxa"/>
          <w:bottom w:w="28" w:type="dxa"/>
          <w:right w:w="28" w:type="dxa"/>
        </w:tblCellMar>
      </w:tblPr>
      <w:tblGrid>
        <w:gridCol w:w="1531"/>
        <w:gridCol w:w="146"/>
        <w:gridCol w:w="406"/>
        <w:gridCol w:w="176"/>
        <w:gridCol w:w="6976"/>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976"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58"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CORPORATION</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6976" w:type="dxa"/>
            <w:tcBorders/>
            <w:vAlign w:val="center"/>
          </w:tcPr>
          <w:p>
            <w:pPr>
              <w:pStyle w:val="TableContents"/>
              <w:bidi w:val="0"/>
              <w:spacing w:before="0" w:after="283"/>
              <w:jc w:val="left"/>
              <w:rPr/>
            </w:pPr>
            <w:r>
              <w:rPr/>
              <w:t> </w:t>
            </w:r>
          </w:p>
        </w:tc>
      </w:tr>
      <w:tr>
        <w:trPr/>
        <w:tc>
          <w:tcPr>
            <w:tcW w:w="15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6" w:type="dxa"/>
            <w:tcBorders/>
            <w:vAlign w:val="center"/>
          </w:tcPr>
          <w:p>
            <w:pPr>
              <w:pStyle w:val="TableContents"/>
              <w:bidi w:val="0"/>
              <w:spacing w:before="0" w:after="283"/>
              <w:jc w:val="left"/>
              <w:rPr/>
            </w:pPr>
            <w:r>
              <w:rPr/>
              <w:t> </w:t>
            </w:r>
          </w:p>
        </w:tc>
        <w:tc>
          <w:tcPr>
            <w:tcW w:w="6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976" w:type="dxa"/>
            <w:tcBorders/>
            <w:vAlign w:val="center"/>
          </w:tcPr>
          <w:p>
            <w:pPr>
              <w:pStyle w:val="TableContents"/>
              <w:bidi w:val="0"/>
              <w:spacing w:before="0" w:after="283"/>
              <w:ind w:left="30" w:right="0" w:firstLine="30"/>
              <w:jc w:val="left"/>
              <w:rPr>
                <w:rFonts w:ascii="Times New Roman" w:hAnsi="Times New Roman"/>
                <w:color w:val="000000"/>
                <w:sz w:val="20"/>
              </w:rPr>
            </w:pPr>
            <w:r>
              <w:rPr>
                <w:rFonts w:ascii="Times New Roman" w:hAnsi="Times New Roman"/>
                <w:color w:val="000000"/>
                <w:sz w:val="20"/>
              </w:rPr>
              <w:t>Michael R. Herman, Senior Vice President General Counsel and Corporate Secretary</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976" w:type="dxa"/>
            <w:tcBorders/>
            <w:vAlign w:val="center"/>
          </w:tcPr>
          <w:p>
            <w:pPr>
              <w:pStyle w:val="TableContents"/>
              <w:bidi w:val="0"/>
              <w:spacing w:before="0" w:after="283"/>
              <w:ind w:left="30" w:right="0" w:firstLine="30"/>
              <w:jc w:val="left"/>
              <w:rPr/>
            </w:pPr>
            <w:r>
              <w:rPr/>
              <w:t> </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976" w:type="dxa"/>
            <w:tcBorders/>
            <w:vAlign w:val="center"/>
          </w:tcPr>
          <w:p>
            <w:pPr>
              <w:pStyle w:val="TableContents"/>
              <w:bidi w:val="0"/>
              <w:spacing w:before="0" w:after="283"/>
              <w:ind w:left="30" w:right="0" w:firstLine="30"/>
              <w:jc w:val="left"/>
              <w:rPr/>
            </w:pPr>
            <w:r>
              <w:rPr/>
              <w:t> </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976" w:type="dxa"/>
            <w:tcBorders/>
            <w:vAlign w:val="center"/>
          </w:tcPr>
          <w:p>
            <w:pPr>
              <w:pStyle w:val="TableContents"/>
              <w:bidi w:val="0"/>
              <w:spacing w:before="0" w:after="283"/>
              <w:ind w:left="30" w:right="0" w:firstLine="30"/>
              <w:jc w:val="left"/>
              <w:rPr/>
            </w:pPr>
            <w:r>
              <w:rPr/>
              <w:t> </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58"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L.P.</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6976" w:type="dxa"/>
            <w:tcBorders/>
            <w:vAlign w:val="center"/>
          </w:tcPr>
          <w:p>
            <w:pPr>
              <w:pStyle w:val="TableContents"/>
              <w:bidi w:val="0"/>
              <w:spacing w:before="0" w:after="283"/>
              <w:jc w:val="left"/>
              <w:rPr/>
            </w:pPr>
            <w:r>
              <w:rPr/>
              <w:t> </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58"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By: Regency Centers Corporation, its general partner</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6976" w:type="dxa"/>
            <w:tcBorders/>
            <w:vAlign w:val="center"/>
          </w:tcPr>
          <w:p>
            <w:pPr>
              <w:pStyle w:val="TableContents"/>
              <w:bidi w:val="0"/>
              <w:spacing w:before="0" w:after="283"/>
              <w:jc w:val="left"/>
              <w:rPr/>
            </w:pPr>
            <w:r>
              <w:rPr/>
              <w:t> </w:t>
            </w:r>
          </w:p>
        </w:tc>
      </w:tr>
      <w:tr>
        <w:trPr/>
        <w:tc>
          <w:tcPr>
            <w:tcW w:w="15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6" w:type="dxa"/>
            <w:tcBorders/>
            <w:vAlign w:val="center"/>
          </w:tcPr>
          <w:p>
            <w:pPr>
              <w:pStyle w:val="TableContents"/>
              <w:bidi w:val="0"/>
              <w:spacing w:before="0" w:after="283"/>
              <w:jc w:val="left"/>
              <w:rPr/>
            </w:pPr>
            <w:r>
              <w:rPr/>
              <w:t> </w:t>
            </w:r>
          </w:p>
        </w:tc>
        <w:tc>
          <w:tcPr>
            <w:tcW w:w="6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6976" w:type="dxa"/>
            <w:tcBorders/>
            <w:vAlign w:val="center"/>
          </w:tcPr>
          <w:p>
            <w:pPr>
              <w:pStyle w:val="TableContents"/>
              <w:bidi w:val="0"/>
              <w:spacing w:before="0" w:after="283"/>
              <w:ind w:left="30" w:right="0" w:firstLine="30"/>
              <w:jc w:val="left"/>
              <w:rPr>
                <w:rFonts w:ascii="Times New Roman" w:hAnsi="Times New Roman"/>
                <w:color w:val="000000"/>
                <w:sz w:val="20"/>
              </w:rPr>
            </w:pPr>
            <w:r>
              <w:rPr>
                <w:rFonts w:ascii="Times New Roman" w:hAnsi="Times New Roman"/>
                <w:color w:val="000000"/>
                <w:sz w:val="20"/>
              </w:rPr>
              <w:t>Michael R. Herman, Senior Vice President General Counsel and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reg-ex99_1.htm"/>
      <w:bookmarkStart w:id="3" w:name="ksregex99_1"/>
      <w:bookmarkEnd w:id="2"/>
      <w:bookmarkEnd w:id="3"/>
      <w:r>
        <w:rPr>
          <w:rFonts w:ascii="Times New Roman" w:hAnsi="Times New Roman"/>
          <w:b/>
          <w:color w:val="000000"/>
          <w:sz w:val="22"/>
        </w:rPr>
        <w:t>Exhibit 99.1</w:t>
      </w:r>
      <w:r>
        <w:br w:type="page"/>
      </w:r>
    </w:p>
    <w:p>
      <w:pPr>
        <w:pStyle w:val="TextBody"/>
        <w:bidi w:val="0"/>
        <w:jc w:val="left"/>
        <w:rPr/>
      </w:pPr>
      <w:r>
        <w:rPr/>
        <w:t> </w:t>
      </w:r>
    </w:p>
    <w:tbl>
      <w:tblPr>
        <w:tblW w:w="6083" w:type="dxa"/>
        <w:jc w:val="left"/>
        <w:tblInd w:w="0" w:type="dxa"/>
        <w:tblLayout w:type="fixed"/>
        <w:tblCellMar>
          <w:top w:w="28" w:type="dxa"/>
          <w:left w:w="28" w:type="dxa"/>
          <w:bottom w:w="28" w:type="dxa"/>
          <w:right w:w="28" w:type="dxa"/>
        </w:tblCellMar>
      </w:tblPr>
      <w:tblGrid>
        <w:gridCol w:w="2636"/>
        <w:gridCol w:w="146"/>
        <w:gridCol w:w="3301"/>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2636" w:type="dxa"/>
            <w:tcBorders/>
            <w:vAlign w:val="center"/>
          </w:tcPr>
          <w:p>
            <w:pPr>
              <w:pStyle w:val="TableContents"/>
              <w:bidi w:val="0"/>
              <w:spacing w:before="0" w:after="283"/>
              <w:jc w:val="left"/>
              <w:rPr/>
            </w:pPr>
            <w:r>
              <w:rPr/>
              <w:drawing>
                <wp:inline distT="0" distB="0" distL="0" distR="0">
                  <wp:extent cx="1609725"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9725" cy="628650"/>
                          </a:xfrm>
                          <a:prstGeom prst="rect">
                            <a:avLst/>
                          </a:prstGeom>
                        </pic:spPr>
                      </pic:pic>
                    </a:graphicData>
                  </a:graphic>
                </wp:inline>
              </w:drawing>
            </w:r>
          </w:p>
        </w:tc>
        <w:tc>
          <w:tcPr>
            <w:tcW w:w="146" w:type="dxa"/>
            <w:tcBorders/>
            <w:vAlign w:val="center"/>
          </w:tcPr>
          <w:p>
            <w:pPr>
              <w:pStyle w:val="TableContents"/>
              <w:bidi w:val="0"/>
              <w:spacing w:before="0" w:after="283"/>
              <w:jc w:val="left"/>
              <w:rPr/>
            </w:pPr>
            <w:r>
              <w:rPr/>
              <w:t> </w:t>
            </w:r>
          </w:p>
        </w:tc>
        <w:tc>
          <w:tcPr>
            <w:tcW w:w="3301" w:type="dxa"/>
            <w:tcBorders/>
            <w:vAlign w:val="center"/>
          </w:tcPr>
          <w:p>
            <w:pPr>
              <w:pStyle w:val="TableContents"/>
              <w:bidi w:val="0"/>
              <w:jc w:val="right"/>
              <w:rPr>
                <w:rFonts w:ascii="Tahoma;sans-serif" w:hAnsi="Tahoma;sans-serif"/>
                <w:b/>
                <w:color w:val="3A3430"/>
                <w:sz w:val="30"/>
              </w:rPr>
            </w:pPr>
            <w:r>
              <w:rPr>
                <w:rFonts w:ascii="Tahoma;sans-serif" w:hAnsi="Tahoma;sans-serif"/>
                <w:b/>
                <w:color w:val="3A3430"/>
                <w:sz w:val="30"/>
              </w:rPr>
              <w:t>NEWS RELEASE</w:t>
            </w:r>
          </w:p>
          <w:p>
            <w:pPr>
              <w:pStyle w:val="TableContents"/>
              <w:bidi w:val="0"/>
              <w:jc w:val="right"/>
              <w:rPr>
                <w:rFonts w:ascii="Tahoma;sans-serif" w:hAnsi="Tahoma;sans-serif"/>
                <w:b/>
                <w:color w:val="3A3430"/>
                <w:sz w:val="20"/>
              </w:rPr>
            </w:pPr>
            <w:r>
              <w:rPr>
                <w:rFonts w:ascii="Tahoma;sans-serif" w:hAnsi="Tahoma;sans-serif"/>
                <w:b/>
                <w:color w:val="3A3430"/>
                <w:sz w:val="20"/>
              </w:rPr>
              <w:t>For immediate release</w:t>
            </w:r>
          </w:p>
          <w:p>
            <w:pPr>
              <w:pStyle w:val="TableContents"/>
              <w:bidi w:val="0"/>
              <w:jc w:val="right"/>
              <w:rPr/>
            </w:pPr>
            <w:r>
              <w:rPr/>
              <w:t> </w:t>
            </w:r>
          </w:p>
          <w:p>
            <w:pPr>
              <w:pStyle w:val="TableContents"/>
              <w:bidi w:val="0"/>
              <w:jc w:val="right"/>
              <w:rPr>
                <w:rFonts w:ascii="Tahoma;sans-serif" w:hAnsi="Tahoma;sans-serif"/>
                <w:color w:val="3A3430"/>
                <w:sz w:val="20"/>
              </w:rPr>
            </w:pPr>
            <w:r>
              <w:rPr>
                <w:rFonts w:ascii="Tahoma;sans-serif" w:hAnsi="Tahoma;sans-serif"/>
                <w:color w:val="3A3430"/>
                <w:sz w:val="20"/>
              </w:rPr>
              <w:t>Christy McElroy</w:t>
            </w:r>
          </w:p>
          <w:p>
            <w:pPr>
              <w:pStyle w:val="TableContents"/>
              <w:bidi w:val="0"/>
              <w:jc w:val="right"/>
              <w:rPr>
                <w:rFonts w:ascii="Tahoma;sans-serif" w:hAnsi="Tahoma;sans-serif"/>
                <w:color w:val="3A3430"/>
                <w:sz w:val="20"/>
              </w:rPr>
            </w:pPr>
            <w:r>
              <w:rPr>
                <w:rFonts w:ascii="Tahoma;sans-serif" w:hAnsi="Tahoma;sans-serif"/>
                <w:color w:val="3A3430"/>
                <w:sz w:val="20"/>
              </w:rPr>
              <w:t>904 598 7616</w:t>
            </w:r>
          </w:p>
          <w:p>
            <w:pPr>
              <w:pStyle w:val="TableContents"/>
              <w:bidi w:val="0"/>
              <w:spacing w:before="0" w:after="283"/>
              <w:jc w:val="right"/>
              <w:rPr>
                <w:rFonts w:ascii="Tahoma;sans-serif" w:hAnsi="Tahoma;sans-serif"/>
                <w:color w:val="3A3430"/>
                <w:sz w:val="20"/>
              </w:rPr>
            </w:pPr>
            <w:r>
              <w:rPr>
                <w:rFonts w:ascii="Tahoma;sans-serif" w:hAnsi="Tahoma;sans-serif"/>
                <w:color w:val="3A3430"/>
                <w:sz w:val="20"/>
              </w:rPr>
              <w:t>ChristyMcElroy@regencycenters.com</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4" w:name="pressrelease"/>
      <w:bookmarkEnd w:id="4"/>
      <w:r>
        <w:rPr>
          <w:rFonts w:ascii="Tahoma;sans-serif" w:hAnsi="Tahoma;sans-serif"/>
          <w:b/>
          <w:color w:val="000000"/>
          <w:sz w:val="20"/>
        </w:rPr>
        <w:t>Regency Centers Reports Third Quarter 2024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JACKSONVILLE, Fla. </w:t>
      </w:r>
      <w:r>
        <w:rPr>
          <w:rFonts w:ascii="Tahoma;sans-serif" w:hAnsi="Tahoma;sans-serif"/>
          <w:color w:val="000000"/>
          <w:sz w:val="20"/>
        </w:rPr>
        <w:t>(October 28, 2024) – Regency Centers Corporation (“Regency Centers”, “Regency” or the “Company”) (Nasdaq: REG) today reported financial and operating results for the period ended September 30, 2024 and provided updated 2024 earnings guidance. For the three months ended September 30, 2024 and 2023, Net Income Attributable to Common Shareholders was $0.54 per diluted share and $0.50 per diluted share, respectively.</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Third Quarter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Reported Nareit FFO of $1.07 per diluted share and Core Operating Earnings of $1.03 per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Raised 2024 Nareit FFO guidance to a range of $4.27 to $4.29 per diluted share and 2024 Core Operating Earnings guidance to a range of $4.12 to $4.14 per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The midpoint of 2024 Core Operating Earnings guidance represents more than 5% year-over-year growth, excluding the collection of receivables reserved during 2020-2021</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Increased Same Property NOI for the third quarter by 4.9% year-over-year, excluding lease termination fees and the collection of receivables reserved during 2020 and 2021</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Increased Same Property percent leased by 20 basis points sequentially and 80 basis points year-over-year to 96.1%</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 xml:space="preserve">Increased Same Property shop percent leased by 20 basis points sequentially and 50 basis points year-over-year to a new record high of 93.7% </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Executed 1.8 million square feet of comparable new and renewal leases at blended rent spreads of +9.3% on a cash basis and +20.7% on a straight-lined basis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Started more than $100 million of new development and redevelopment projects, bringing year-to-date total project starts to $220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Started two new grocery-anchored ground-up development projects, Jordan Ranch Market in Houston, Texas, and Oakley Shops at Laurel Fields in the Bay Area</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September 30, 2024, Regency's in-process development and redevelopment projects had estimated net project costs of $618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Acquired two grocery-anchored shopping centers, one subsequent to quarter end, for a total of $47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Priced a public offering of $325 million of senior unsecured notes due January 2035, with a coupon of 5.1%</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Pro-rata net debt and preferred stock to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at September 30, 2024 was 5.2x</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color w:val="000000"/>
        </w:rPr>
      </w:pPr>
      <w:r>
        <w:rPr>
          <w:color w:val="000000"/>
        </w:rPr>
        <w:t>“</w:t>
      </w:r>
      <w:r>
        <w:rPr>
          <w:rFonts w:ascii="Tahoma;sans-serif" w:hAnsi="Tahoma;sans-serif"/>
          <w:color w:val="000000"/>
          <w:sz w:val="20"/>
        </w:rPr>
        <w:t>We are proud to report another exceptional quarter, highlighted by strong operating fundamentals and meaningful value creation activity," said Lisa Palmer, President and Chief Executive Officer. "We continue to see robust tenant demand for our grocery-anchored shopping centers, allowing us to accelerate our organic growth while further increasing our investment pipelines. As a result, we are raising current year guidance, and look forward to continued success in 2025."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Financial Results</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Net Income Attributable to Common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September 30, 2024, Net Income Attributable to Common Shareholders was $98.1 million, or $0.54 per diluted share, compared to Net Income Attributable to Common Shareholders of $89.1 million, or $0.50 per diluted share, for the same period in 2023.</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Nareit FFO</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September 30, 2024, Nareit FFO was $195.1 million, or $1.07 per diluted share, compared to $182.8 million, or $1.02 per diluted share, for the same period in 2023.</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Core Operating Earnings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September 30, 2024, Core Operating Earnings was $187.8 million, or $1.03 per diluted share, compared to $174.0 million, or $0.97 per diluted share, for the same period in 2023.</w:t>
      </w:r>
    </w:p>
    <w:p>
      <w:pPr>
        <w:pStyle w:val="TextBody"/>
        <w:bidi w:val="0"/>
        <w:spacing w:before="180" w:after="283"/>
        <w:jc w:val="left"/>
        <w:rPr>
          <w:rFonts w:ascii="Tahoma;sans-serif" w:hAnsi="Tahoma;sans-serif"/>
          <w:b/>
          <w:color w:val="000000"/>
          <w:sz w:val="20"/>
        </w:rPr>
      </w:pPr>
      <w:r>
        <w:rPr>
          <w:rFonts w:ascii="Tahoma;sans-serif" w:hAnsi="Tahoma;sans-serif"/>
          <w:b/>
          <w:color w:val="000000"/>
          <w:sz w:val="20"/>
        </w:rPr>
        <w:t>Portfolio Performance</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Same Property NOI</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Third quarter 2024 Same Property Net Operating Income (“NOI”), excluding lease termination fees and the collection of receivables reserved during 2020 and 2021, increased by 4.9% compared to the same period in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base rents contributed 2.7% to Same Property NOI growth in the third quarter of 2024.</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Occupancy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September 30, 2024, Regency’s Same Property portfolio was 96.1% leased, an increase of 20 basis points sequentially, and an increase of 80 basis points compared to September 30,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anchor percent leased, which includes spaces greater than or equal to 10,000 square feet, was 97.6%, an increase of 100 basis points compared to September 30,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shop percent leased, which includes spaces less than 10,000 square feet, was 93.7%, an increase of 50 basis points compared to September 30, 2023.</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September 30, 2024, Regency’s Same Property portfolio was 92.7% commenced, an increase of 40 basis points sequentially and an increase of 10 basis points compared to September 30, 2023.</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Leasing Activity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three months ended September 30, 2024, Regency executed approximately 1.8 million square feet of comparable new and renewal leases at a blended cash rent spread of +9.3% and a blended straight-lined rent spread of +20.7%.</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trailing twelve months ended September 30, 2024, the Company executed approximately 7.9 million square feet of comparable new and renewal leases at a blended cash rent spread of +9.7% and a blended straight-lined rent spread of +19.2%.</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Capital Allocation and Balance Sheet</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Developments and Redevelopments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September 30, 2024, the Company started development and redevelopment projects with estimated net project costs of approximately $100 million, at the Company’s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quarter, the Company started two new ground-up development projects, the H-E-B anchored Jordan Ranch Market in Houston, TX, and the Safeway anchored Oakley Shops at Laurel Fields in the Bay Area.</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 xml:space="preserve">As of September 30, 2024, Regency’s in-process development and redevelopment projects had estimated net project costs of $618 million at the Company’s share, 47% of which has been incurred to date.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Property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August 30, 2024, the Company acquired East Greenwich Square in Rhode Island for approximately $33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Subsequent to quarter end, on October 17, 2024, the Company acquired University Commons in Round Rock, a suburb of Austin, Texas, for approximately $14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August 21, 2024, the Company disposed of Fenton Marketplace, located in Flint, Michigan, for approximately $12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Subsequent to quarter end, on October 15, 2024, the Company disposed of an office building, located in Greenwich, Connecticut, for approximately $3 million, at Regency's share.</w:t>
      </w:r>
    </w:p>
    <w:p>
      <w:pPr>
        <w:pStyle w:val="TextBody"/>
        <w:bidi w:val="0"/>
        <w:spacing w:before="240" w:after="283"/>
        <w:jc w:val="left"/>
        <w:rPr>
          <w:rFonts w:ascii="Tahoma;sans-serif" w:hAnsi="Tahoma;sans-serif"/>
          <w:i/>
          <w:color w:val="000000"/>
          <w:sz w:val="20"/>
        </w:rPr>
      </w:pPr>
      <w:r>
        <w:rPr>
          <w:rFonts w:ascii="Tahoma;sans-serif" w:hAnsi="Tahoma;sans-serif"/>
          <w:i/>
          <w:color w:val="000000"/>
          <w:sz w:val="20"/>
        </w:rPr>
        <w:t>Balance Sheet</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August 12, 2024, the Company's operating partnership, Regency Centers, L.P. priced a public offering of $325 million of senior unsecured notes due 2035 (the "Notes") under its existing shelf registration filed with the Securities and Exchange Commission. The Notes will mature on January 15, 2035, and were issued at 99.813% of par value with a coupon of 5.100%. Regency used the net proceeds of the offering to reduce the outstanding balance on its line of credit.</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September 30, 2024, Regency had approximately $1.5 billion of capacity under its revolving credit facility.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As of September 30, 2024, Regency’s pro-rata net debt and preferred stock to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was 5.2x.</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2024 Guidance</w:t>
      </w:r>
    </w:p>
    <w:p>
      <w:pPr>
        <w:pStyle w:val="TextBody"/>
        <w:bidi w:val="0"/>
        <w:spacing w:before="120" w:after="120"/>
        <w:jc w:val="left"/>
        <w:rPr>
          <w:rFonts w:ascii="Times New Roman" w:hAnsi="Times New Roman"/>
          <w:sz w:val="20"/>
        </w:rPr>
      </w:pPr>
      <w:r>
        <w:rPr>
          <w:rFonts w:ascii="Tahoma;sans-serif" w:hAnsi="Tahoma;sans-serif"/>
          <w:color w:val="000000"/>
          <w:sz w:val="20"/>
        </w:rPr>
        <w:t xml:space="preserve">Regency Centers is hereby providing updated 2024 guidance, as summarized in the table below. Please refer to the Company’s third quarter 2024 ‘Earnings Presentation’ and ‘Quarterly Supplemental’ for additional detail. All materials are posted on the Company’s website at </w:t>
      </w:r>
      <w:r>
        <w:rPr>
          <w:rFonts w:ascii="Tahoma;sans-serif" w:hAnsi="Tahoma;sans-serif"/>
          <w:sz w:val="20"/>
        </w:rPr>
        <w:t>investors.regencycenters.com.</w:t>
      </w:r>
    </w:p>
    <w:tbl>
      <w:tblPr>
        <w:tblW w:w="8899" w:type="dxa"/>
        <w:jc w:val="left"/>
        <w:tblInd w:w="0" w:type="dxa"/>
        <w:tblLayout w:type="fixed"/>
        <w:tblCellMar>
          <w:top w:w="28" w:type="dxa"/>
          <w:left w:w="28" w:type="dxa"/>
          <w:bottom w:w="28" w:type="dxa"/>
          <w:right w:w="28" w:type="dxa"/>
        </w:tblCellMar>
      </w:tblPr>
      <w:tblGrid>
        <w:gridCol w:w="5431"/>
        <w:gridCol w:w="796"/>
        <w:gridCol w:w="1186"/>
        <w:gridCol w:w="1486"/>
      </w:tblGrid>
      <w:tr>
        <w:trPr/>
        <w:tc>
          <w:tcPr>
            <w:tcW w:w="543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Full Year 2024 Guidance </w:t>
            </w:r>
            <w:r>
              <w:rPr>
                <w:rFonts w:ascii="Tahoma;sans-serif" w:hAnsi="Tahoma;sans-serif"/>
                <w:color w:val="000000"/>
                <w:sz w:val="16"/>
              </w:rPr>
              <w:t>(in thousands, except per share data)</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YTD 2024</w:t>
            </w:r>
          </w:p>
        </w:tc>
        <w:tc>
          <w:tcPr>
            <w:tcW w:w="1186" w:type="dxa"/>
            <w:tcBorders>
              <w:top w:val="single" w:sz="4" w:space="0" w:color="808080"/>
              <w:bottom w:val="single" w:sz="4" w:space="0" w:color="BFBFBF"/>
              <w:right w:val="single" w:sz="4" w:space="0" w:color="808080"/>
            </w:tcBorders>
            <w:shd w:fill="808080" w:val="clear"/>
            <w:tcMar>
              <w:left w:w="0" w:type="dxa"/>
            </w:tcMar>
            <w:vAlign w:val="center"/>
          </w:tcPr>
          <w:p>
            <w:pPr>
              <w:pStyle w:val="TableContents"/>
              <w:bidi w:val="0"/>
              <w:spacing w:before="0" w:after="283"/>
              <w:jc w:val="center"/>
              <w:rPr>
                <w:rFonts w:ascii="Tahoma;sans-serif" w:hAnsi="Tahoma;sans-serif"/>
                <w:b/>
                <w:color w:val="FFFFFF"/>
                <w:sz w:val="16"/>
              </w:rPr>
            </w:pPr>
            <w:r>
              <w:rPr>
                <w:rFonts w:ascii="Tahoma;sans-serif" w:hAnsi="Tahoma;sans-serif"/>
                <w:b/>
                <w:color w:val="FFFFFF"/>
                <w:sz w:val="16"/>
              </w:rPr>
              <w:t>2024 Guidance</w:t>
            </w:r>
          </w:p>
        </w:tc>
        <w:tc>
          <w:tcPr>
            <w:tcW w:w="148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Previous Guidance</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 per diluted share</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$1.66</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$2.13 - $2.15</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$2.02 - $2.06</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 (“Nareit FFO”) per diluted share</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$3.20</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$4.27 - $4.29</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$4.21 - $4.25</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4"/>
              </w:rPr>
              <w:t>Core Operating Earnings per diluted share</w:t>
            </w:r>
            <w:r>
              <w:rPr>
                <w:rFonts w:ascii="Tahoma;sans-serif" w:hAnsi="Tahoma;sans-serif"/>
                <w:color w:val="000000"/>
                <w:sz w:val="11"/>
              </w:rPr>
              <w:t>(1)</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$3.09</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$4.12 - $4.14</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$4.06 - $4.10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Same property NOI growth without termination fees or collection of 2020/2021 reserves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3.4%</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+/- 3.50%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+2.25% to +2.75%</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Non-cash revenues</w:t>
            </w:r>
            <w:r>
              <w:rPr>
                <w:rFonts w:ascii="Tahoma;sans-serif" w:hAnsi="Tahoma;sans-serif"/>
                <w:color w:val="000000"/>
                <w:sz w:val="9"/>
              </w:rPr>
              <w:t>(2)</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$33,613</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$42,000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center"/>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G&amp;A expense, net</w:t>
            </w:r>
            <w:r>
              <w:rPr>
                <w:rFonts w:ascii="Tahoma;sans-serif" w:hAnsi="Tahoma;sans-serif"/>
                <w:color w:val="000000"/>
                <w:sz w:val="9"/>
              </w:rPr>
              <w:t>(3)</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$72,058</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+/-$95,000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$93,000-$95,000</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Interest expense, net and Preferred stock dividends</w:t>
            </w:r>
            <w:r>
              <w:rPr>
                <w:rFonts w:ascii="Tahoma;sans-serif" w:hAnsi="Tahoma;sans-serif"/>
                <w:color w:val="000000"/>
                <w:sz w:val="9"/>
              </w:rPr>
              <w:t>(4)</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$158,433</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+/-$214,000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$213,000-$215,000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Management, transaction and other fees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$19,189</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+/-$26,000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Development and Redevelopment spend</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$158,508</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+/-$215,000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Acquisitions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$78,155</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+/-$92,000</w:t>
            </w:r>
          </w:p>
        </w:tc>
        <w:tc>
          <w:tcPr>
            <w:tcW w:w="1486"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+/-$81,000</w:t>
            </w:r>
          </w:p>
        </w:tc>
      </w:tr>
      <w:tr>
        <w:trPr/>
        <w:tc>
          <w:tcPr>
            <w:tcW w:w="5431" w:type="dxa"/>
            <w:tcBorders/>
            <w:shd w:fill="FFFFFF"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6.6%</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+/- 6.5%</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+/- 6.5%</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Dispositions</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$106,500</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+/-$109,000</w:t>
            </w:r>
          </w:p>
        </w:tc>
        <w:tc>
          <w:tcPr>
            <w:tcW w:w="1486" w:type="dxa"/>
            <w:tcBorders/>
            <w:shd w:fill="F2F2F2"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+/-$125,000</w:t>
            </w:r>
          </w:p>
        </w:tc>
      </w:tr>
      <w:tr>
        <w:trPr/>
        <w:tc>
          <w:tcPr>
            <w:tcW w:w="5431" w:type="dxa"/>
            <w:tcBorders/>
            <w:shd w:fill="F2F2F2"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Share/unit repurchases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Merger-related transition expense</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$7,069</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808080"/>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431" w:type="dxa"/>
            <w:tcBorders/>
            <w:shd w:fill="FFFFFF" w:val="clear"/>
            <w:vAlign w:val="center"/>
          </w:tcPr>
          <w:p>
            <w:pPr>
              <w:pStyle w:val="TableContents"/>
              <w:bidi w:val="0"/>
              <w:spacing w:before="0" w:after="283"/>
              <w:ind w:left="0" w:right="0" w:firstLine="80"/>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18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pPr>
            <w:r>
              <w:rPr/>
              <w:t> </w:t>
            </w:r>
          </w:p>
        </w:tc>
      </w:tr>
    </w:tbl>
    <w:p>
      <w:pPr>
        <w:pStyle w:val="TextBody"/>
        <w:bidi w:val="0"/>
        <w:spacing w:before="180" w:after="283"/>
        <w:jc w:val="left"/>
        <w:rPr>
          <w:rFonts w:ascii="Tahoma;sans-serif" w:hAnsi="Tahoma;sans-serif"/>
          <w:i/>
          <w:color w:val="000000"/>
          <w:sz w:val="14"/>
        </w:rPr>
      </w:pPr>
      <w:r>
        <w:rPr>
          <w:rFonts w:ascii="Tahoma;sans-serif" w:hAnsi="Tahoma;sans-serif"/>
          <w:i/>
          <w:color w:val="000000"/>
          <w:sz w:val="14"/>
        </w:rPr>
        <w:t>Note: With the exception of per share and investment/transaction data, figures above represent 100% of Regency's consolidated entities and its pro-rata share of unconsolidated real estate partnerships.</w:t>
      </w:r>
    </w:p>
    <w:p>
      <w:pPr>
        <w:pStyle w:val="TextBody"/>
        <w:bidi w:val="0"/>
        <w:spacing w:before="120" w:after="283"/>
        <w:jc w:val="left"/>
        <w:rPr>
          <w:rFonts w:ascii="Tahoma" w:hAnsi="Tahoma"/>
          <w:i/>
          <w:color w:val="000000"/>
          <w:sz w:val="14"/>
        </w:rPr>
      </w:pPr>
      <w:r>
        <w:rPr>
          <w:rFonts w:ascii="Tahoma" w:hAnsi="Tahoma"/>
          <w:i/>
          <w:color w:val="000000"/>
          <w:sz w:val="14"/>
        </w:rPr>
        <w:t>(1)</w:t>
      </w:r>
    </w:p>
    <w:p>
      <w:pPr>
        <w:pStyle w:val="TextBody"/>
        <w:bidi w:val="0"/>
        <w:spacing w:before="120" w:after="283"/>
        <w:jc w:val="left"/>
        <w:rPr>
          <w:rFonts w:ascii="Tahoma;sans-serif" w:hAnsi="Tahoma;sans-serif"/>
          <w:i/>
          <w:color w:val="000000"/>
          <w:sz w:val="14"/>
        </w:rPr>
      </w:pPr>
      <w:r>
        <w:rPr>
          <w:rFonts w:ascii="Tahoma;sans-serif" w:hAnsi="Tahoma;sans-serif"/>
          <w:i/>
          <w:color w:val="000000"/>
          <w:sz w:val="14"/>
        </w:rPr>
        <w:t>Core Operating Earnings excludes certain non-cash items, including straight-line rents, above/below market rent amortization, debt and derivative mark-to-market amortization, as well as transaction related income/expenses and debt extinguishment charges.</w:t>
      </w:r>
    </w:p>
    <w:p>
      <w:pPr>
        <w:pStyle w:val="TextBody"/>
        <w:bidi w:val="0"/>
        <w:spacing w:before="60" w:after="283"/>
        <w:jc w:val="left"/>
        <w:rPr>
          <w:rFonts w:ascii="Tahoma" w:hAnsi="Tahoma"/>
          <w:i/>
          <w:color w:val="000000"/>
          <w:sz w:val="14"/>
        </w:rPr>
      </w:pPr>
      <w:r>
        <w:rPr>
          <w:rFonts w:ascii="Tahoma" w:hAnsi="Tahoma"/>
          <w:i/>
          <w:color w:val="000000"/>
          <w:sz w:val="14"/>
        </w:rPr>
        <w:t>(2)</w:t>
      </w:r>
    </w:p>
    <w:p>
      <w:pPr>
        <w:pStyle w:val="TextBody"/>
        <w:bidi w:val="0"/>
        <w:spacing w:before="60" w:after="283"/>
        <w:jc w:val="left"/>
        <w:rPr/>
      </w:pPr>
      <w:r>
        <w:rPr>
          <w:rFonts w:ascii="Tahoma;sans-serif" w:hAnsi="Tahoma;sans-serif"/>
          <w:b/>
          <w:i/>
          <w:color w:val="000000"/>
          <w:sz w:val="14"/>
        </w:rPr>
        <w:t>As of Q3 2024</w:t>
      </w:r>
      <w:r>
        <w:rPr>
          <w:rFonts w:ascii="Tahoma;sans-serif" w:hAnsi="Tahoma;sans-serif"/>
          <w:i/>
          <w:color w:val="000000"/>
          <w:sz w:val="14"/>
        </w:rPr>
        <w:t xml:space="preserve">, includes above and below market rent amortization and straight-line rents, and </w:t>
      </w:r>
      <w:r>
        <w:rPr>
          <w:rFonts w:ascii="Tahoma;sans-serif" w:hAnsi="Tahoma;sans-serif"/>
          <w:b/>
          <w:i/>
          <w:color w:val="000000"/>
          <w:sz w:val="14"/>
          <w:u w:val="single"/>
        </w:rPr>
        <w:t>excludes</w:t>
      </w:r>
      <w:r>
        <w:rPr>
          <w:color w:val="000000"/>
        </w:rPr>
        <w:t xml:space="preserve"> </w:t>
      </w:r>
      <w:r>
        <w:rPr>
          <w:rFonts w:ascii="Tahoma;sans-serif" w:hAnsi="Tahoma;sans-serif"/>
          <w:i/>
          <w:color w:val="000000"/>
          <w:sz w:val="14"/>
        </w:rPr>
        <w:t>debt and derivative mark to market amortization.</w:t>
      </w:r>
    </w:p>
    <w:p>
      <w:pPr>
        <w:pStyle w:val="TextBody"/>
        <w:bidi w:val="0"/>
        <w:spacing w:before="60" w:after="283"/>
        <w:jc w:val="left"/>
        <w:rPr>
          <w:rFonts w:ascii="Tahoma" w:hAnsi="Tahoma"/>
          <w:i/>
          <w:color w:val="000000"/>
          <w:sz w:val="14"/>
        </w:rPr>
      </w:pPr>
      <w:r>
        <w:rPr>
          <w:rFonts w:ascii="Tahoma" w:hAnsi="Tahoma"/>
          <w:i/>
          <w:color w:val="000000"/>
          <w:sz w:val="14"/>
        </w:rPr>
        <w:t>(3)</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Represents 'General &amp; administrative, net' before gains or losses on deferred compensation plan, as reported on supplemental pages 5 and 7 and calculated on a pro rata basis.</w:t>
      </w:r>
    </w:p>
    <w:p>
      <w:pPr>
        <w:pStyle w:val="TextBody"/>
        <w:bidi w:val="0"/>
        <w:spacing w:before="60" w:after="283"/>
        <w:jc w:val="left"/>
        <w:rPr>
          <w:rFonts w:ascii="Tahoma" w:hAnsi="Tahoma"/>
          <w:i/>
          <w:color w:val="000000"/>
          <w:sz w:val="14"/>
        </w:rPr>
      </w:pPr>
      <w:r>
        <w:rPr>
          <w:rFonts w:ascii="Tahoma" w:hAnsi="Tahoma"/>
          <w:i/>
          <w:color w:val="000000"/>
          <w:sz w:val="14"/>
        </w:rPr>
        <w:t>(4)</w:t>
      </w:r>
    </w:p>
    <w:p>
      <w:pPr>
        <w:pStyle w:val="TextBody"/>
        <w:bidi w:val="0"/>
        <w:spacing w:before="60" w:after="283"/>
        <w:jc w:val="left"/>
        <w:rPr/>
      </w:pPr>
      <w:r>
        <w:rPr>
          <w:rFonts w:ascii="Tahoma;sans-serif" w:hAnsi="Tahoma;sans-serif"/>
          <w:b/>
          <w:i/>
          <w:color w:val="000000"/>
          <w:sz w:val="14"/>
        </w:rPr>
        <w:t>As of Q3 2024</w:t>
      </w:r>
      <w:r>
        <w:rPr>
          <w:rFonts w:ascii="Tahoma;sans-serif" w:hAnsi="Tahoma;sans-serif"/>
          <w:i/>
          <w:color w:val="000000"/>
          <w:sz w:val="14"/>
        </w:rPr>
        <w:t xml:space="preserve">, </w:t>
      </w:r>
      <w:r>
        <w:rPr>
          <w:rFonts w:ascii="Tahoma;sans-serif" w:hAnsi="Tahoma;sans-serif"/>
          <w:b/>
          <w:i/>
          <w:color w:val="000000"/>
          <w:sz w:val="14"/>
          <w:u w:val="single"/>
        </w:rPr>
        <w:t>includes</w:t>
      </w:r>
      <w:r>
        <w:rPr>
          <w:color w:val="000000"/>
        </w:rPr>
        <w:t xml:space="preserve"> </w:t>
      </w:r>
      <w:r>
        <w:rPr>
          <w:rFonts w:ascii="Tahoma;sans-serif" w:hAnsi="Tahoma;sans-serif"/>
          <w:i/>
          <w:color w:val="000000"/>
          <w:sz w:val="14"/>
        </w:rPr>
        <w:t>debt and derivative mark to market amortization, and is net of interest income.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Conference Call Information</w:t>
      </w:r>
    </w:p>
    <w:p>
      <w:pPr>
        <w:pStyle w:val="TextBody"/>
        <w:bidi w:val="0"/>
        <w:spacing w:before="120" w:after="283"/>
        <w:jc w:val="left"/>
        <w:rPr>
          <w:rFonts w:ascii="Times New Roman" w:hAnsi="Times New Roman"/>
          <w:sz w:val="20"/>
        </w:rPr>
      </w:pPr>
      <w:r>
        <w:rPr>
          <w:rFonts w:ascii="Tahoma;sans-serif" w:hAnsi="Tahoma;sans-serif"/>
          <w:color w:val="000000"/>
          <w:sz w:val="20"/>
        </w:rPr>
        <w:t>To discuss Regency’s third quarter results and provide further business updates, management will host a conference call on Tuesday, October 29</w:t>
      </w:r>
      <w:r>
        <w:rPr>
          <w:rFonts w:ascii="Tahoma;sans-serif" w:hAnsi="Tahoma;sans-serif"/>
          <w:color w:val="000000"/>
          <w:sz w:val="13"/>
        </w:rPr>
        <w:t>th</w:t>
      </w:r>
      <w:r>
        <w:rPr>
          <w:rFonts w:ascii="Times New Roman" w:hAnsi="Times New Roman"/>
          <w:color w:val="000000"/>
          <w:sz w:val="20"/>
        </w:rPr>
        <w:t xml:space="preserve"> </w:t>
      </w:r>
      <w:r>
        <w:rPr>
          <w:rFonts w:ascii="Tahoma;sans-serif" w:hAnsi="Tahoma;sans-serif"/>
          <w:color w:val="000000"/>
          <w:sz w:val="20"/>
        </w:rPr>
        <w:t>at 11:00 a.m. ET. Dial-in and webcast information is below.</w:t>
      </w:r>
    </w:p>
    <w:p>
      <w:pPr>
        <w:pStyle w:val="TextBody"/>
        <w:bidi w:val="0"/>
        <w:spacing w:before="240" w:after="283"/>
        <w:jc w:val="left"/>
        <w:rPr>
          <w:rFonts w:ascii="Tahoma;sans-serif" w:hAnsi="Tahoma;sans-serif"/>
          <w:b/>
          <w:color w:val="000000"/>
          <w:sz w:val="20"/>
          <w:u w:val="single"/>
        </w:rPr>
      </w:pPr>
      <w:r>
        <w:rPr>
          <w:rFonts w:ascii="Tahoma;sans-serif" w:hAnsi="Tahoma;sans-serif"/>
          <w:b/>
          <w:color w:val="000000"/>
          <w:sz w:val="20"/>
          <w:u w:val="single"/>
        </w:rPr>
        <w:t>Third Quarter 2024 Earnings Conference Call</w:t>
      </w:r>
    </w:p>
    <w:tbl>
      <w:tblPr>
        <w:tblW w:w="3917" w:type="dxa"/>
        <w:jc w:val="left"/>
        <w:tblInd w:w="0" w:type="dxa"/>
        <w:tblLayout w:type="fixed"/>
        <w:tblCellMar>
          <w:top w:w="28" w:type="dxa"/>
          <w:left w:w="28" w:type="dxa"/>
          <w:bottom w:w="28" w:type="dxa"/>
          <w:right w:w="28" w:type="dxa"/>
        </w:tblCellMar>
      </w:tblPr>
      <w:tblGrid>
        <w:gridCol w:w="931"/>
        <w:gridCol w:w="2986"/>
      </w:tblGrid>
      <w:tr>
        <w:trPr/>
        <w:tc>
          <w:tcPr>
            <w:tcW w:w="93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Date:</w:t>
            </w:r>
          </w:p>
        </w:tc>
        <w:tc>
          <w:tcPr>
            <w:tcW w:w="2986"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Tuesday, October 29, 2024</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Time:</w:t>
            </w:r>
          </w:p>
        </w:tc>
        <w:tc>
          <w:tcPr>
            <w:tcW w:w="2986"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11:00 a.m. ET</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Dial#:</w:t>
            </w:r>
          </w:p>
        </w:tc>
        <w:tc>
          <w:tcPr>
            <w:tcW w:w="2986"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877-407-0789 or 201-689-8562</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Webcast:</w:t>
            </w:r>
          </w:p>
        </w:tc>
        <w:tc>
          <w:tcPr>
            <w:tcW w:w="2986"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sz w:val="20"/>
              </w:rPr>
            </w:pPr>
            <w:r>
              <w:rPr>
                <w:rFonts w:ascii="Tahoma;sans-serif" w:hAnsi="Tahoma;sans-serif"/>
                <w:sz w:val="20"/>
              </w:rPr>
              <w:t>Third Quarter 2024 Webcast Link</w:t>
            </w:r>
          </w:p>
        </w:tc>
      </w:tr>
    </w:tbl>
    <w:p>
      <w:pPr>
        <w:pStyle w:val="TextBody"/>
        <w:bidi w:val="0"/>
        <w:spacing w:before="240" w:after="283"/>
        <w:jc w:val="left"/>
        <w:rPr>
          <w:rFonts w:ascii="Times New Roman" w:hAnsi="Times New Roman"/>
          <w:sz w:val="20"/>
        </w:rPr>
      </w:pPr>
      <w:r>
        <w:rPr>
          <w:rFonts w:ascii="Tahoma;sans-serif" w:hAnsi="Tahoma;sans-serif"/>
          <w:b/>
          <w:color w:val="000000"/>
          <w:sz w:val="20"/>
          <w:u w:val="single"/>
        </w:rPr>
        <w:t xml:space="preserve">Replay: </w:t>
      </w:r>
      <w:r>
        <w:rPr>
          <w:rFonts w:ascii="Tahoma;sans-serif" w:hAnsi="Tahoma;sans-serif"/>
          <w:color w:val="000000"/>
          <w:sz w:val="20"/>
        </w:rPr>
        <w:t xml:space="preserve">Webcast Archive – </w:t>
      </w:r>
      <w:r>
        <w:rPr>
          <w:rFonts w:ascii="Tahoma;sans-serif" w:hAnsi="Tahoma;sans-serif"/>
          <w:sz w:val="20"/>
        </w:rPr>
        <w:t>Investor Relations</w:t>
      </w:r>
      <w:r>
        <w:rPr>
          <w:rFonts w:ascii="Times New Roman" w:hAnsi="Times New Roman"/>
          <w:color w:val="000000"/>
          <w:sz w:val="20"/>
        </w:rPr>
        <w:t xml:space="preserve"> </w:t>
      </w:r>
      <w:r>
        <w:rPr>
          <w:rFonts w:ascii="Tahoma;sans-serif" w:hAnsi="Tahoma;sans-serif"/>
          <w:color w:val="000000"/>
          <w:sz w:val="20"/>
        </w:rPr>
        <w:t xml:space="preserve">page under </w:t>
      </w:r>
      <w:r>
        <w:rPr>
          <w:rFonts w:ascii="Tahoma;sans-serif" w:hAnsi="Tahoma;sans-serif"/>
          <w:sz w:val="20"/>
        </w:rPr>
        <w:t>Events &amp; Webcasts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360" w:after="283"/>
        <w:jc w:val="center"/>
        <w:rPr>
          <w:rFonts w:ascii="Tahoma;sans-serif" w:hAnsi="Tahoma;sans-serif"/>
          <w:b/>
          <w:color w:val="000000"/>
          <w:sz w:val="20"/>
        </w:rPr>
      </w:pPr>
      <w:r>
        <w:rPr>
          <w:rFonts w:ascii="Tahoma;sans-serif" w:hAnsi="Tahoma;sans-serif"/>
          <w:b/>
          <w:color w:val="000000"/>
          <w:sz w:val="20"/>
        </w:rPr>
        <w:t>About Regency Centers Corporation (Nasdaq: REG)</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w:t>
      </w:r>
      <w:r>
        <w:rPr>
          <w:rFonts w:ascii="Tahoma;sans-serif" w:hAnsi="Tahoma;sans-serif"/>
          <w:sz w:val="20"/>
        </w:rPr>
        <w:t>RegencyCenters.com.</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Reconciliation of Net Income Attributable to Common Shareholders to Nareit FFO, Core Operating Earnings, and Adjusted Funds from Operations – </w:t>
      </w:r>
      <w:r>
        <w:rPr>
          <w:rFonts w:ascii="Tahoma;sans-serif" w:hAnsi="Tahoma;sans-serif"/>
          <w:b/>
          <w:i/>
          <w:color w:val="000000"/>
          <w:sz w:val="20"/>
        </w:rPr>
        <w:t>Actual (in thousands, except per share amounts)</w:t>
      </w:r>
    </w:p>
    <w:p>
      <w:pPr>
        <w:pStyle w:val="TextBody"/>
        <w:bidi w:val="0"/>
        <w:jc w:val="left"/>
        <w:rPr/>
      </w:pPr>
      <w:r>
        <w:rPr/>
        <w:t> </w:t>
      </w:r>
    </w:p>
    <w:tbl>
      <w:tblPr>
        <w:tblW w:w="9811" w:type="dxa"/>
        <w:jc w:val="left"/>
        <w:tblInd w:w="0" w:type="dxa"/>
        <w:tblLayout w:type="fixed"/>
        <w:tblCellMar>
          <w:top w:w="28" w:type="dxa"/>
          <w:left w:w="28" w:type="dxa"/>
          <w:bottom w:w="28" w:type="dxa"/>
          <w:right w:w="28" w:type="dxa"/>
        </w:tblCellMar>
      </w:tblPr>
      <w:tblGrid>
        <w:gridCol w:w="5071"/>
        <w:gridCol w:w="181"/>
        <w:gridCol w:w="601"/>
        <w:gridCol w:w="151"/>
        <w:gridCol w:w="146"/>
        <w:gridCol w:w="146"/>
        <w:gridCol w:w="601"/>
        <w:gridCol w:w="151"/>
        <w:gridCol w:w="146"/>
        <w:gridCol w:w="181"/>
        <w:gridCol w:w="601"/>
        <w:gridCol w:w="151"/>
        <w:gridCol w:w="146"/>
        <w:gridCol w:w="146"/>
        <w:gridCol w:w="601"/>
        <w:gridCol w:w="791"/>
      </w:tblGrid>
      <w:tr>
        <w:trPr/>
        <w:tc>
          <w:tcPr>
            <w:tcW w:w="50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September 30, 2024 and 2023</w:t>
            </w:r>
          </w:p>
        </w:tc>
        <w:tc>
          <w:tcPr>
            <w:tcW w:w="1826" w:type="dxa"/>
            <w:gridSpan w:val="6"/>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6" w:type="dxa"/>
            <w:gridSpan w:val="6"/>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791" w:type="dxa"/>
            <w:tcBorders/>
            <w:shd w:fill="FFFFFF" w:val="clear"/>
            <w:vAlign w:val="center"/>
          </w:tcPr>
          <w:p>
            <w:pPr>
              <w:pStyle w:val="TableContents"/>
              <w:bidi w:val="0"/>
              <w:spacing w:before="0" w:after="283"/>
              <w:jc w:val="center"/>
              <w:rPr/>
            </w:pPr>
            <w:r>
              <w:rPr/>
              <w:t> </w:t>
            </w:r>
          </w:p>
        </w:tc>
      </w:tr>
      <w:tr>
        <w:trPr/>
        <w:tc>
          <w:tcPr>
            <w:tcW w:w="5071"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791" w:type="dxa"/>
            <w:tcBorders/>
            <w:shd w:fill="FFFFFF" w:val="clear"/>
            <w:vAlign w:val="center"/>
          </w:tcPr>
          <w:p>
            <w:pPr>
              <w:pStyle w:val="TableContents"/>
              <w:bidi w:val="0"/>
              <w:spacing w:before="0" w:after="283"/>
              <w:jc w:val="center"/>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Net Income Attributable to Common Shareholders to Nareit FFO:</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98,056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89,076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303,672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273,139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Nareit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 (excluding FF&amp;E)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107,801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94,011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319,765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272,551</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Gain on sale of real estate, net of tax</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(11,365</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(33,853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(1,132</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Exchangeable operating partnership units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1,490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Nareit Funds From Operations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195,085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182,780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591,420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546,048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FFO per share (diluted)</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3.13</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182,872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179,311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184,548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174,621</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Nareit FFO to Core Operating Earnings:</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195,085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182,780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591,420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546,048</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Core Operating Earnings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Not Comparable Items</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Merger transition costs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1,511</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Loss on early extinguishment of debt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Certain Non-Cash Items</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Straight-line rent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(5,886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(3,142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(16,907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(7,315</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Uncollectible straight-line rent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(2,298</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Above/below market rent amortization, net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(5,370</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(7,919</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(17,910</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(22,138</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Debt and derivative mark-to-market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Core Operating Earnings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187,763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173,989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570,084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516,475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71"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 per share (diluted)</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0.97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2.96</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182,872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179,311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184,548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174,621</w:t>
            </w:r>
          </w:p>
        </w:tc>
        <w:tc>
          <w:tcPr>
            <w:tcW w:w="791" w:type="dxa"/>
            <w:tcBorders/>
            <w:shd w:fill="FFFFFF" w:val="clear"/>
            <w:vAlign w:val="center"/>
          </w:tcPr>
          <w:p>
            <w:pPr>
              <w:pStyle w:val="TableContents"/>
              <w:bidi w:val="0"/>
              <w:spacing w:before="0" w:after="283"/>
              <w:ind w:left="0" w:right="0" w:firstLine="600"/>
              <w:jc w:val="left"/>
              <w:rPr/>
            </w:pPr>
            <w:r>
              <w:rPr/>
              <w:t> </w:t>
            </w:r>
          </w:p>
        </w:tc>
      </w:tr>
      <w:tr>
        <w:trPr/>
        <w:tc>
          <w:tcPr>
            <w:tcW w:w="5071"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For Diluted Earnings per Share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181,772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178,231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183,448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173,711</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For Diluted FFO and Core Operating Earnings per Share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182,872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179,311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184,548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174,621</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Core Operating Earnings to Adjusted Funds from Operations:</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187,763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173,989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570,084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516,475</w:t>
            </w:r>
          </w:p>
        </w:tc>
        <w:tc>
          <w:tcPr>
            <w:tcW w:w="791" w:type="dxa"/>
            <w:tcBorders/>
            <w:shd w:fill="FFFFFF" w:val="clear"/>
            <w:vAlign w:val="center"/>
          </w:tcPr>
          <w:p>
            <w:pPr>
              <w:pStyle w:val="TableContents"/>
              <w:bidi w:val="0"/>
              <w:spacing w:before="0" w:after="283"/>
              <w:ind w:left="0" w:right="0" w:firstLine="100"/>
              <w:jc w:val="left"/>
              <w:rPr/>
            </w:pPr>
            <w:r>
              <w:rPr/>
              <w:t> </w:t>
            </w:r>
          </w:p>
        </w:tc>
      </w:tr>
      <w:tr>
        <w:trPr/>
        <w:tc>
          <w:tcPr>
            <w:tcW w:w="5071" w:type="dxa"/>
            <w:tcBorders/>
            <w:shd w:fill="FFFFFF" w:val="cle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Adjustments to reconcile to Adjusted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capital expenditures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(36,430</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(26,638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(91,168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(65,183</w:t>
            </w:r>
          </w:p>
        </w:tc>
        <w:tc>
          <w:tcPr>
            <w:tcW w:w="79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cost and derivative adjustments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5,049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Stock-based compensation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14,078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13,123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Adjusted Funds from Operations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158,216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153,240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499,263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469,464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 w:hAnsi="Tahoma"/>
          <w:color w:val="000000"/>
          <w:sz w:val="16"/>
        </w:rPr>
      </w:pPr>
      <w:r>
        <w:rPr>
          <w:rFonts w:ascii="Tahoma" w:hAnsi="Tahoma"/>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Regency's consolidated entities and its pro-rata share of unconsolidated real estate partnerships, net of pro-rata share attributable to noncontrolling interests.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rFonts w:ascii="Times New Roman" w:hAnsi="Times New Roman"/>
          <w:sz w:val="20"/>
        </w:rPr>
      </w:pPr>
      <w:r>
        <w:rPr>
          <w:rFonts w:ascii="Tahoma;sans-serif" w:hAnsi="Tahoma;sans-serif"/>
          <w:b/>
          <w:color w:val="000000"/>
          <w:sz w:val="20"/>
        </w:rPr>
        <w:t xml:space="preserve">Reconciliation of Net Income Attributable to Common Shareholders to Pro-Rata Same Property NOI - </w:t>
      </w:r>
      <w:r>
        <w:rPr>
          <w:rFonts w:ascii="Tahoma;sans-serif" w:hAnsi="Tahoma;sans-serif"/>
          <w:b/>
          <w:i/>
          <w:color w:val="000000"/>
          <w:sz w:val="20"/>
        </w:rPr>
        <w:t>Actual (in thousands)</w:t>
      </w:r>
    </w:p>
    <w:p>
      <w:pPr>
        <w:pStyle w:val="TextBody"/>
        <w:bidi w:val="0"/>
        <w:jc w:val="left"/>
        <w:rPr/>
      </w:pPr>
      <w:r>
        <w:rPr/>
        <w:t> </w:t>
      </w:r>
    </w:p>
    <w:tbl>
      <w:tblPr>
        <w:tblW w:w="8804" w:type="dxa"/>
        <w:jc w:val="left"/>
        <w:tblInd w:w="0" w:type="dxa"/>
        <w:tblLayout w:type="fixed"/>
        <w:tblCellMar>
          <w:top w:w="28" w:type="dxa"/>
          <w:left w:w="28" w:type="dxa"/>
          <w:bottom w:w="28" w:type="dxa"/>
          <w:right w:w="28" w:type="dxa"/>
        </w:tblCellMar>
      </w:tblPr>
      <w:tblGrid>
        <w:gridCol w:w="5486"/>
        <w:gridCol w:w="706"/>
        <w:gridCol w:w="644"/>
        <w:gridCol w:w="146"/>
        <w:gridCol w:w="676"/>
        <w:gridCol w:w="1146"/>
      </w:tblGrid>
      <w:tr>
        <w:trPr/>
        <w:tc>
          <w:tcPr>
            <w:tcW w:w="548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5486"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September 30, 2024 and 2023</w:t>
            </w:r>
          </w:p>
        </w:tc>
        <w:tc>
          <w:tcPr>
            <w:tcW w:w="1350"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46" w:type="dxa"/>
            <w:tcBorders/>
            <w:shd w:fill="FFFFFF" w:val="clear"/>
            <w:vAlign w:val="center"/>
          </w:tcPr>
          <w:p>
            <w:pPr>
              <w:pStyle w:val="TableContents"/>
              <w:bidi w:val="0"/>
              <w:spacing w:before="0" w:after="283"/>
              <w:jc w:val="left"/>
              <w:rPr/>
            </w:pPr>
            <w:r>
              <w:rPr/>
              <w:t> </w:t>
            </w:r>
          </w:p>
        </w:tc>
        <w:tc>
          <w:tcPr>
            <w:tcW w:w="182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r>
      <w:tr>
        <w:trPr/>
        <w:tc>
          <w:tcPr>
            <w:tcW w:w="5486"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644"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146"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r>
      <w:tr>
        <w:trPr/>
        <w:tc>
          <w:tcPr>
            <w:tcW w:w="5486"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pPr>
            <w:r>
              <w:rPr/>
              <w:t> </w:t>
            </w:r>
          </w:p>
        </w:tc>
        <w:tc>
          <w:tcPr>
            <w:tcW w:w="1146" w:type="dxa"/>
            <w:tcBorders/>
            <w:shd w:fill="FFFFFF" w:val="clear"/>
            <w:vAlign w:val="center"/>
          </w:tcPr>
          <w:p>
            <w:pPr>
              <w:pStyle w:val="TableContents"/>
              <w:bidi w:val="0"/>
              <w:spacing w:before="0" w:after="283"/>
              <w:jc w:val="center"/>
              <w:rPr/>
            </w:pPr>
            <w:r>
              <w:rPr/>
              <w:t> </w:t>
            </w:r>
          </w:p>
        </w:tc>
      </w:tr>
      <w:tr>
        <w:trPr/>
        <w:tc>
          <w:tcPr>
            <w:tcW w:w="548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$98,056</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89,076</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$303,672</w:t>
            </w:r>
          </w:p>
        </w:tc>
        <w:tc>
          <w:tcPr>
            <w:tcW w:w="1146"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273,139</w:t>
            </w:r>
          </w:p>
        </w:tc>
      </w:tr>
      <w:tr>
        <w:trPr/>
        <w:tc>
          <w:tcPr>
            <w:tcW w:w="5486"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Less:</w:t>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Management, transaction, and other fees</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(6,765)</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(7,079)</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(19,896)</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(20,223)</w:t>
            </w:r>
          </w:p>
        </w:tc>
      </w:tr>
      <w:tr>
        <w:trPr/>
        <w:tc>
          <w:tcPr>
            <w:tcW w:w="5486" w:type="dxa"/>
            <w:tcBorders/>
            <w:shd w:fill="FFFFFF" w:val="cle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Other </w:t>
            </w:r>
            <w:r>
              <w:rPr>
                <w:rFonts w:ascii="Tahoma;sans-serif" w:hAnsi="Tahoma;sans-serif"/>
                <w:color w:val="000000"/>
                <w:sz w:val="9"/>
              </w:rPr>
              <w:t>(1)</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(12,115)</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(12,016)</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(37,428)</w:t>
            </w:r>
          </w:p>
        </w:tc>
        <w:tc>
          <w:tcPr>
            <w:tcW w:w="1146" w:type="dxa"/>
            <w:tcBorders/>
            <w:shd w:fill="FFFFFF" w:val="clear"/>
            <w:vAlign w:val="center"/>
          </w:tcPr>
          <w:p>
            <w:pPr>
              <w:pStyle w:val="TableContents"/>
              <w:bidi w:val="0"/>
              <w:spacing w:before="0" w:after="283"/>
              <w:ind w:left="0" w:right="0" w:firstLine="100"/>
              <w:jc w:val="right"/>
              <w:rPr>
                <w:rFonts w:ascii="Tahoma;sans-serif" w:hAnsi="Tahoma;sans-serif"/>
                <w:color w:val="000000"/>
                <w:sz w:val="14"/>
              </w:rPr>
            </w:pPr>
            <w:r>
              <w:rPr>
                <w:rFonts w:ascii="Tahoma;sans-serif" w:hAnsi="Tahoma;sans-serif"/>
                <w:color w:val="000000"/>
                <w:sz w:val="14"/>
              </w:rPr>
              <w:t>(34,317)</w:t>
            </w:r>
          </w:p>
        </w:tc>
      </w:tr>
      <w:tr>
        <w:trPr/>
        <w:tc>
          <w:tcPr>
            <w:tcW w:w="5486" w:type="dxa"/>
            <w:tcBorders/>
            <w:shd w:fill="FFFFFF" w:val="clear"/>
            <w:vAlign w:val="center"/>
          </w:tcPr>
          <w:p>
            <w:pPr>
              <w:pStyle w:val="TableContents"/>
              <w:bidi w:val="0"/>
              <w:spacing w:before="0" w:after="283"/>
              <w:ind w:left="0" w:right="0" w:firstLine="100"/>
              <w:jc w:val="left"/>
              <w:rPr>
                <w:rFonts w:ascii="Tahoma;sans-serif" w:hAnsi="Tahoma;sans-serif"/>
                <w:color w:val="000000"/>
                <w:sz w:val="14"/>
              </w:rPr>
            </w:pPr>
            <w:r>
              <w:rPr>
                <w:rFonts w:ascii="Tahoma;sans-serif" w:hAnsi="Tahoma;sans-serif"/>
                <w:color w:val="000000"/>
                <w:sz w:val="14"/>
              </w:rPr>
              <w:t>Plus:</w:t>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100,955</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87,505</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299,508</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253,373</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General and administrative</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25,073</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20,903</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75,443</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71,248</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operating expense</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3,654</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3,533</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9,363</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4,718</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expense, net</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34,290</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39,643</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94,898</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109,192</w:t>
            </w:r>
          </w:p>
        </w:tc>
      </w:tr>
      <w:tr>
        <w:trPr/>
        <w:tc>
          <w:tcPr>
            <w:tcW w:w="5486" w:type="dxa"/>
            <w:tcBorders/>
            <w:shd w:fill="FFFFFF" w:val="cle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Equity in income of investments in real estate partnerships excluded from NOI </w:t>
            </w:r>
            <w:r>
              <w:rPr>
                <w:rFonts w:ascii="Tahoma;sans-serif" w:hAnsi="Tahoma;sans-serif"/>
                <w:color w:val="000000"/>
                <w:sz w:val="9"/>
              </w:rPr>
              <w:t>(2)</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12,492</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11,668</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39,439</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35,266</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Net income attributable to noncontrolling interests</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1,453</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7,252</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4,050</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Preferred stock dividends</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10,239</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1,644</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NOI</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261,160</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236,330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782,490</w:t>
            </w:r>
          </w:p>
        </w:tc>
        <w:tc>
          <w:tcPr>
            <w:tcW w:w="114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698,090</w:t>
            </w:r>
          </w:p>
        </w:tc>
      </w:tr>
      <w:tr>
        <w:trPr/>
        <w:tc>
          <w:tcPr>
            <w:tcW w:w="548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100"/>
              <w:jc w:val="left"/>
              <w:rPr/>
            </w:pPr>
            <w:r>
              <w:rPr/>
              <w:t> </w:t>
            </w:r>
          </w:p>
        </w:tc>
      </w:tr>
      <w:tr>
        <w:trPr/>
        <w:tc>
          <w:tcPr>
            <w:tcW w:w="5486" w:type="dxa"/>
            <w:tcBorders/>
            <w:shd w:fill="FFFFFF" w:val="cle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Less non-same property NOI </w:t>
            </w:r>
            <w:r>
              <w:rPr>
                <w:rFonts w:ascii="Tahoma;sans-serif" w:hAnsi="Tahoma;sans-serif"/>
                <w:color w:val="000000"/>
                <w:sz w:val="9"/>
              </w:rPr>
              <w:t>(3)</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(25,572)</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(10,331)</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(79,675)</w:t>
            </w:r>
          </w:p>
        </w:tc>
        <w:tc>
          <w:tcPr>
            <w:tcW w:w="114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(11,427)</w:t>
            </w:r>
          </w:p>
        </w:tc>
      </w:tr>
      <w:tr>
        <w:trPr/>
        <w:tc>
          <w:tcPr>
            <w:tcW w:w="548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$235,588</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$702,815</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686,663</w:t>
            </w:r>
          </w:p>
        </w:tc>
      </w:tr>
      <w:tr>
        <w:trPr/>
        <w:tc>
          <w:tcPr>
            <w:tcW w:w="5486" w:type="dxa"/>
            <w:tcBorders/>
            <w:shd w:fill="FFFFFF" w:val="cle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70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4.2%</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2.4%</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Termination Fees</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$234,952</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224,962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$699,621</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680,222</w:t>
            </w:r>
          </w:p>
        </w:tc>
      </w:tr>
      <w:tr>
        <w:trPr/>
        <w:tc>
          <w:tcPr>
            <w:tcW w:w="5486" w:type="dxa"/>
            <w:tcBorders/>
            <w:shd w:fill="FFFFFF" w:val="cle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70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4.4%</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2.9%</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Termination Fees or Redevelopments</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$199,650</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192,491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$594,890</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582,505</w:t>
            </w:r>
          </w:p>
        </w:tc>
      </w:tr>
      <w:tr>
        <w:trPr/>
        <w:tc>
          <w:tcPr>
            <w:tcW w:w="5486" w:type="dxa"/>
            <w:tcBorders/>
            <w:shd w:fill="FFFFFF" w:val="cle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70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3.7%</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2.1%</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Termination Fees or Collection of 2020/2021 Reserves</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$234,952</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223,913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$699,621</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676,486</w:t>
            </w:r>
          </w:p>
        </w:tc>
      </w:tr>
      <w:tr>
        <w:trPr/>
        <w:tc>
          <w:tcPr>
            <w:tcW w:w="5486" w:type="dxa"/>
            <w:tcBorders/>
            <w:shd w:fill="FFFFFF" w:val="cle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70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4.9%</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3.4%</w:t>
            </w:r>
          </w:p>
        </w:tc>
        <w:tc>
          <w:tcPr>
            <w:tcW w:w="1146" w:type="dxa"/>
            <w:tcBorders/>
            <w:shd w:fill="FFFFFF" w:val="clear"/>
            <w:vAlign w:val="center"/>
          </w:tcPr>
          <w:p>
            <w:pPr>
              <w:pStyle w:val="TableContents"/>
              <w:bidi w:val="0"/>
              <w:spacing w:before="0" w:after="283"/>
              <w:jc w:val="left"/>
              <w:rPr/>
            </w:pPr>
            <w:r>
              <w:rPr/>
              <w:t> </w:t>
            </w:r>
          </w:p>
        </w:tc>
      </w:tr>
    </w:tbl>
    <w:p>
      <w:pPr>
        <w:pStyle w:val="TextBody"/>
        <w:bidi w:val="0"/>
        <w:spacing w:before="60" w:after="283"/>
        <w:jc w:val="left"/>
        <w:rPr>
          <w:rFonts w:ascii="Tahoma" w:hAnsi="Tahoma"/>
          <w:color w:val="000000"/>
          <w:sz w:val="16"/>
        </w:rPr>
      </w:pPr>
      <w:r>
        <w:rPr>
          <w:rFonts w:ascii="Tahoma" w:hAnsi="Tahoma"/>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straight-line rental income and expense, net of reserves, above and below market rent amortization, other fees, and noncontrolling interests.</w:t>
      </w:r>
    </w:p>
    <w:p>
      <w:pPr>
        <w:pStyle w:val="TextBody"/>
        <w:bidi w:val="0"/>
        <w:spacing w:before="60" w:after="283"/>
        <w:jc w:val="left"/>
        <w:rPr>
          <w:rFonts w:ascii="Tahoma" w:hAnsi="Tahoma"/>
          <w:color w:val="000000"/>
          <w:sz w:val="16"/>
        </w:rPr>
      </w:pPr>
      <w:r>
        <w:rPr>
          <w:rFonts w:ascii="Tahoma" w:hAnsi="Tahoma"/>
          <w:color w:val="000000"/>
          <w:sz w:val="16"/>
        </w:rPr>
        <w:t>(2)</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non-NOI expenses incurred at our unconsolidated real estate partnerships, such as, but not limited to, straight-line rental income, above and below market rent amortization, depreciation and amortization, interest expense, and real estate gains and impairments.</w:t>
      </w:r>
    </w:p>
    <w:p>
      <w:pPr>
        <w:pStyle w:val="TextBody"/>
        <w:bidi w:val="0"/>
        <w:spacing w:before="60" w:after="283"/>
        <w:jc w:val="left"/>
        <w:rPr>
          <w:rFonts w:ascii="Tahoma" w:hAnsi="Tahoma"/>
          <w:color w:val="000000"/>
          <w:sz w:val="16"/>
        </w:rPr>
      </w:pPr>
      <w:r>
        <w:rPr>
          <w:rFonts w:ascii="Tahoma" w:hAnsi="Tahoma"/>
          <w:color w:val="000000"/>
          <w:sz w:val="16"/>
        </w:rPr>
        <w:t>(3)</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revenues and expenses attributable to Non-Same Property, Projects in Development, corporate activities, and noncontrolling interests.</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Same Property NOI is a key non-GAAP measure used by management in evaluating the operating performance of Regency’s properties. The Company provides a reconciliation of Net Income Attributable to Common Shareholders to pro-rata Same Property NOI.</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Reported results are preliminary and not final until the filing of the Company’s Form 10-Q with the SEC and, therefore, remain subject to adjustment.</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The Company has published forward-looking statements and additional financial information in its third quarter 2024 supplemental package that may help investors estimate earnings. A copy of the Company’s third quarter 2024 supplemental package will be available on the Company's website at </w:t>
      </w:r>
      <w:r>
        <w:rPr>
          <w:rFonts w:ascii="Tahoma;sans-serif" w:hAnsi="Tahoma;sans-serif"/>
          <w:sz w:val="20"/>
        </w:rPr>
        <w:t>investors.regencycenters.com</w:t>
      </w:r>
      <w:r>
        <w:rPr>
          <w:rFonts w:ascii="Times New Roman" w:hAnsi="Times New Roman"/>
          <w:color w:val="000000"/>
          <w:sz w:val="20"/>
        </w:rPr>
        <w:t xml:space="preserve"> </w:t>
      </w:r>
      <w:r>
        <w:rPr>
          <w:rFonts w:ascii="Tahoma;sans-serif" w:hAnsi="Tahoma;sans-serif"/>
          <w:color w:val="000000"/>
          <w:sz w:val="20"/>
        </w:rPr>
        <w:t>or by written request to: Investor Relations, Regency Centers Corporation, One Independent Drive, Suite 114, Jacksonville, Florida, 32202. The supplemental package contains more detailed financial and property results including financial statements, an outstanding debt summary, acquisition and development activity, investments in partnerships, information pertaining to securities issued other than common stock, property details, a significant tenant rent report and a lease expiration table in addition to earnings and valuation guidance assumptions. The information provided in the supplemental package is unaudited and includes non-GAAP measures, and there can be no assurance that the information will not vary from the final information in the Company’s Form 10-Q for the period ended September 30, 2024. Regency may, but assumes no obligation to, update information in the supplemental package from time to time.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240" w:after="283"/>
        <w:jc w:val="center"/>
        <w:rPr>
          <w:rFonts w:ascii="Tahoma;sans-serif" w:hAnsi="Tahoma;sans-serif"/>
          <w:color w:val="000000"/>
          <w:sz w:val="17"/>
        </w:rPr>
      </w:pPr>
      <w:r>
        <w:rPr>
          <w:rFonts w:ascii="Tahoma;sans-serif" w:hAnsi="Tahoma;sans-serif"/>
          <w:color w:val="000000"/>
          <w:sz w:val="17"/>
        </w:rPr>
        <w:t>###</w:t>
      </w:r>
    </w:p>
    <w:p>
      <w:pPr>
        <w:pStyle w:val="TextBody"/>
        <w:bidi w:val="0"/>
        <w:spacing w:before="240" w:after="283"/>
        <w:jc w:val="left"/>
        <w:rPr>
          <w:rFonts w:ascii="Tahoma;sans-serif" w:hAnsi="Tahoma;sans-serif"/>
          <w:b/>
          <w:color w:val="000000"/>
          <w:sz w:val="17"/>
        </w:rPr>
      </w:pPr>
      <w:r>
        <w:rPr>
          <w:rFonts w:ascii="Tahoma;sans-serif" w:hAnsi="Tahoma;sans-serif"/>
          <w:b/>
          <w:color w:val="000000"/>
          <w:sz w:val="17"/>
        </w:rPr>
        <w:t>Non-GAAP Disclosure</w:t>
      </w:r>
    </w:p>
    <w:p>
      <w:pPr>
        <w:pStyle w:val="TextBody"/>
        <w:bidi w:val="0"/>
        <w:jc w:val="left"/>
        <w:rPr>
          <w:rFonts w:ascii="Tahoma;sans-serif" w:hAnsi="Tahoma;sans-serif"/>
          <w:color w:val="000000"/>
          <w:sz w:val="17"/>
        </w:rPr>
      </w:pPr>
      <w:r>
        <w:rPr>
          <w:rFonts w:ascii="Tahoma;sans-serif" w:hAnsi="Tahoma;sans-serif"/>
          <w:color w:val="000000"/>
          <w:sz w:val="17"/>
        </w:rPr>
        <w:t>We believe these non-GAAP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w:t>
      </w:r>
    </w:p>
    <w:p>
      <w:pPr>
        <w:pStyle w:val="TextBody"/>
        <w:bidi w:val="0"/>
        <w:spacing w:before="180" w:after="283"/>
        <w:jc w:val="left"/>
        <w:rPr>
          <w:rFonts w:ascii="Times New Roman" w:hAnsi="Times New Roman"/>
          <w:sz w:val="20"/>
        </w:rPr>
      </w:pPr>
      <w:r>
        <w:rPr>
          <w:rFonts w:ascii="Tahoma;sans-serif" w:hAnsi="Tahoma;sans-serif"/>
          <w:color w:val="000000"/>
          <w:sz w:val="17"/>
        </w:rPr>
        <w:t>We do not consider non-GAAP measures an alternative to financial measures determined in accordance with GAAP, rather they supplement GAAP measures by providing additional information we believe to be useful to our shareholders. The principal limitation of these non-GAAP financial measures is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w:t>
      </w:r>
      <w:r>
        <w:rPr>
          <w:rFonts w:ascii="Times New Roman" w:hAnsi="Times New Roman"/>
          <w:color w:val="000000"/>
          <w:sz w:val="20"/>
        </w:rPr>
        <w:t xml:space="preserve"> </w:t>
      </w:r>
    </w:p>
    <w:p>
      <w:pPr>
        <w:pStyle w:val="TextBody"/>
        <w:bidi w:val="0"/>
        <w:spacing w:before="180" w:after="283"/>
        <w:jc w:val="left"/>
        <w:rPr>
          <w:rFonts w:ascii="Tahoma;sans-serif" w:hAnsi="Tahoma;sans-serif"/>
          <w:color w:val="000000"/>
          <w:sz w:val="17"/>
        </w:rPr>
      </w:pPr>
      <w:r>
        <w:rPr>
          <w:rFonts w:ascii="Tahoma;sans-serif" w:hAnsi="Tahoma;sans-serif"/>
          <w:color w:val="000000"/>
          <w:sz w:val="17"/>
        </w:rPr>
        <w:t>Nareit FFO is a commonly used measure of REIT performance, which the National Association of Real Estate Investment Trusts (“Nareit”) defines as net income, computed in accordance with GAAP, excluding gains on sale and impairments of real estate, net of tax, plus depreciation and amortization, and after adjustments for unconsolidated partnerships and joint ventures. Regency computes Nareit FFO for all periods presented in accordance with Nareit's definition. Since Nareit FFO excludes depreciation and amortization and gains on sales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Shareholders to Nareit FFO.</w:t>
      </w:r>
    </w:p>
    <w:p>
      <w:pPr>
        <w:pStyle w:val="TextBody"/>
        <w:bidi w:val="0"/>
        <w:spacing w:before="180" w:after="120"/>
        <w:jc w:val="left"/>
        <w:rPr>
          <w:rFonts w:ascii="Tahoma;sans-serif" w:hAnsi="Tahoma;sans-serif"/>
          <w:color w:val="000000"/>
          <w:sz w:val="17"/>
        </w:rPr>
      </w:pPr>
      <w:r>
        <w:rPr>
          <w:rFonts w:ascii="Tahoma;sans-serif" w:hAnsi="Tahoma;sans-serif"/>
          <w:color w:val="000000"/>
          <w:sz w:val="17"/>
        </w:rPr>
        <w:t>Core Operating Earnings is an additional performance measure that excludes from Nareit FFO: (i) transaction related income or expenses; (ii) gains or losses from the early extinguishment of debt; (iii) certain non-cash components of earnings derived from above and below market rent amortization, straight-line rents, and amortization of mark-to-market of debt adjustments; and (iv) other amounts as they occur. The Company provides a reconciliation of Net Income Attributable to Common Shareholders to Nareit FFO to Core Operating Earnings.</w:t>
      </w:r>
    </w:p>
    <w:p>
      <w:pPr>
        <w:pStyle w:val="TextBody"/>
        <w:bidi w:val="0"/>
        <w:jc w:val="left"/>
        <w:rPr>
          <w:rFonts w:ascii="Times New Roman" w:hAnsi="Times New Roman"/>
          <w:sz w:val="20"/>
        </w:rPr>
      </w:pPr>
      <w:r>
        <w:rPr>
          <w:rFonts w:ascii="Tahoma;sans-serif" w:hAnsi="Tahoma;sans-serif"/>
          <w:color w:val="000000"/>
          <w:sz w:val="17"/>
        </w:rPr>
        <w:t>Adjusted Funds From Operations</w:t>
      </w:r>
      <w:r>
        <w:rPr>
          <w:rFonts w:ascii="Times New Roman" w:hAnsi="Times New Roman"/>
          <w:color w:val="000000"/>
          <w:sz w:val="20"/>
        </w:rPr>
        <w:t xml:space="preserve"> </w:t>
      </w:r>
      <w:r>
        <w:rPr>
          <w:rFonts w:ascii="Tahoma;sans-serif" w:hAnsi="Tahoma;sans-serif"/>
          <w:color w:val="000000"/>
          <w:sz w:val="17"/>
        </w:rPr>
        <w:t>is an additional performance measure used by Regency that reflects cash available to fund the Company’s business needs and distribution to shareholders. AFFO is calculated by adjusting Core Operating Earnings ("COE") for (i) capital expenditures necessary to maintain and lease the Company’s portfolio of properties, (ii) debt cost and derivative adjustments and (iii) stock-based compensation. The Company provides a reconciliation of Net Income Attributable to Common Shareholders to Nareit FFO, to Core Operating Earnings, and to Adjusted Funds from Operations.</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Forward-Looking Statements</w:t>
      </w:r>
    </w:p>
    <w:p>
      <w:pPr>
        <w:pStyle w:val="TextBody"/>
        <w:bidi w:val="0"/>
        <w:jc w:val="left"/>
        <w:rPr>
          <w:rFonts w:ascii="Tahoma;sans-serif" w:hAnsi="Tahoma;sans-serif"/>
          <w:color w:val="000000"/>
          <w:sz w:val="17"/>
        </w:rPr>
      </w:pPr>
      <w:r>
        <w:rPr>
          <w:rFonts w:ascii="Tahoma;sans-serif" w:hAnsi="Tahoma;sans-serif"/>
          <w:color w:val="000000"/>
          <w:sz w:val="17"/>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2024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2023 (“2023 Form 10-K”) under Item 1A.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the Current Economic and Geopolitical Environments</w:t>
      </w:r>
    </w:p>
    <w:p>
      <w:pPr>
        <w:pStyle w:val="TextBody"/>
        <w:bidi w:val="0"/>
        <w:jc w:val="left"/>
        <w:rPr>
          <w:rFonts w:ascii="Tahoma;sans-serif" w:hAnsi="Tahoma;sans-serif"/>
          <w:color w:val="000000"/>
          <w:sz w:val="17"/>
        </w:rPr>
      </w:pPr>
      <w:r>
        <w:rPr>
          <w:rFonts w:ascii="Tahoma;sans-serif" w:hAnsi="Tahoma;sans-serif"/>
          <w:color w:val="000000"/>
          <w:sz w:val="17"/>
        </w:rPr>
        <w:t>Interest rates in the current economic environment may adversely impact our cost to borrow, real estate valuation, and stock price. Current economic challenges, including the potential for recession, may adversely impact our tenants and our business. Unfavorable developments affecting the banking and financial services industry could adversely affect our business, liquidity and financial condition, and overall results of operations. Additionally, current geopolitical challenges would impact the U.S. economy and our results of operations and financial condition.</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to Regency’s Financial Performance Related to the Company’s Acquisition of Urstadt Biddle</w:t>
      </w:r>
    </w:p>
    <w:p>
      <w:pPr>
        <w:pStyle w:val="TextBody"/>
        <w:bidi w:val="0"/>
        <w:jc w:val="left"/>
        <w:rPr>
          <w:rFonts w:ascii="Tahoma;sans-serif" w:hAnsi="Tahoma;sans-serif"/>
          <w:color w:val="000000"/>
          <w:sz w:val="17"/>
        </w:rPr>
      </w:pPr>
      <w:r>
        <w:rPr>
          <w:rFonts w:ascii="Tahoma;sans-serif" w:hAnsi="Tahoma;sans-serif"/>
          <w:color w:val="000000"/>
          <w:sz w:val="17"/>
        </w:rPr>
        <w:t>Regency may not realize the anticipated benefits and synergies from the Urstadt Biddle merger.</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Pandemics or other Health Crises</w:t>
      </w:r>
    </w:p>
    <w:p>
      <w:pPr>
        <w:pStyle w:val="TextBody"/>
        <w:bidi w:val="0"/>
        <w:jc w:val="left"/>
        <w:rPr>
          <w:rFonts w:ascii="Tahoma;sans-serif" w:hAnsi="Tahoma;sans-serif"/>
          <w:color w:val="000000"/>
          <w:sz w:val="17"/>
        </w:rPr>
      </w:pPr>
      <w:r>
        <w:rPr>
          <w:rFonts w:ascii="Tahoma;sans-serif" w:hAnsi="Tahoma;sans-serif"/>
          <w:color w:val="000000"/>
          <w:sz w:val="17"/>
        </w:rPr>
        <w:t>Pandemics or other health crises, such as the COVID-19 pandemic, may adversely affect our tenants’ financial condition, the profitability of our properties, and our access to the capital markets and could have a material adverse effect on our business, results of operations, cash flows and financial condition.</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Operating Retail-Based Shopping Centers</w:t>
      </w:r>
    </w:p>
    <w:p>
      <w:pPr>
        <w:pStyle w:val="TextBody"/>
        <w:bidi w:val="0"/>
        <w:jc w:val="left"/>
        <w:rPr>
          <w:rFonts w:ascii="Tahoma;sans-serif" w:hAnsi="Tahoma;sans-serif"/>
          <w:color w:val="000000"/>
          <w:sz w:val="17"/>
        </w:rPr>
      </w:pPr>
      <w:r>
        <w:rPr>
          <w:rFonts w:ascii="Tahoma;sans-serif" w:hAnsi="Tahoma;sans-serif"/>
          <w:color w:val="000000"/>
          <w:sz w:val="17"/>
        </w:rPr>
        <w:t>Economic and market conditions may adversely affect the retail industry and consequently reduce our revenues and cash flow and increase our operating expenses. Shifts in retail trends, sales, and delivery methods between brick-and-mortar stores, e-commerce, home delivery, and curbside pick-up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and regulations may have a material negative effect on us.</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Real Estate Investments</w:t>
      </w:r>
    </w:p>
    <w:p>
      <w:pPr>
        <w:pStyle w:val="TextBody"/>
        <w:bidi w:val="0"/>
        <w:jc w:val="left"/>
        <w:rPr>
          <w:rFonts w:ascii="Tahoma;sans-serif" w:hAnsi="Tahoma;sans-serif"/>
          <w:color w:val="000000"/>
          <w:sz w:val="17"/>
        </w:rPr>
      </w:pPr>
      <w:r>
        <w:rPr>
          <w:rFonts w:ascii="Tahoma;sans-serif" w:hAnsi="Tahoma;sans-serif"/>
          <w:color w:val="000000"/>
          <w:sz w:val="17"/>
        </w:rPr>
        <w:t>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the Environment Affecting Our Properties</w:t>
      </w:r>
    </w:p>
    <w:p>
      <w:pPr>
        <w:pStyle w:val="TextBody"/>
        <w:bidi w:val="0"/>
        <w:jc w:val="left"/>
        <w:rPr>
          <w:rFonts w:ascii="Tahoma;sans-serif" w:hAnsi="Tahoma;sans-serif"/>
          <w:color w:val="000000"/>
          <w:sz w:val="17"/>
        </w:rPr>
      </w:pPr>
      <w:r>
        <w:rPr>
          <w:rFonts w:ascii="Tahoma;sans-serif" w:hAnsi="Tahoma;sans-serif"/>
          <w:color w:val="000000"/>
          <w:sz w:val="17"/>
        </w:rPr>
        <w:t>Climate change may adversely impact our properties directly and may lead to additional compliance obligations and costs as well as additional taxes and fees. Geographic concentration of our properties makes our business more vulnerable to natural disasters, severe weather conditions and climate change. Costs of environmental remediation may adversely impact our financial performance and reduce our cash flow.</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Corporate Matters</w:t>
      </w:r>
    </w:p>
    <w:p>
      <w:pPr>
        <w:pStyle w:val="TextBody"/>
        <w:bidi w:val="0"/>
        <w:jc w:val="left"/>
        <w:rPr>
          <w:rFonts w:ascii="Times New Roman" w:hAnsi="Times New Roman"/>
          <w:sz w:val="20"/>
        </w:rPr>
      </w:pPr>
      <w:r>
        <w:rPr>
          <w:rFonts w:ascii="Tahoma;sans-serif" w:hAnsi="Tahoma;sans-serif"/>
          <w:color w:val="000000"/>
          <w:sz w:val="17"/>
        </w:rPr>
        <w:t>An increased focus on metrics and reporting relating to environmental, social, and governance (“ESG”) factors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r>
        <w:rPr>
          <w:rFonts w:ascii="Times New Roman" w:hAnsi="Times New Roman"/>
          <w:color w:val="000000"/>
          <w:sz w:val="20"/>
        </w:rPr>
        <w:t xml:space="preserve"> </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Our Partnerships and Joint Ventures</w:t>
      </w:r>
    </w:p>
    <w:p>
      <w:pPr>
        <w:pStyle w:val="TextBody"/>
        <w:bidi w:val="0"/>
        <w:jc w:val="left"/>
        <w:rPr>
          <w:rFonts w:ascii="Tahoma;sans-serif" w:hAnsi="Tahoma;sans-serif"/>
          <w:color w:val="000000"/>
          <w:sz w:val="17"/>
        </w:rPr>
      </w:pPr>
      <w:r>
        <w:rPr>
          <w:rFonts w:ascii="Tahoma;sans-serif" w:hAnsi="Tahoma;sans-serif"/>
          <w:color w:val="000000"/>
          <w:sz w:val="17"/>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Funding Strategies and Capital Structure</w:t>
      </w:r>
    </w:p>
    <w:p>
      <w:pPr>
        <w:pStyle w:val="TextBody"/>
        <w:bidi w:val="0"/>
        <w:jc w:val="left"/>
        <w:rPr>
          <w:rFonts w:ascii="Times New Roman" w:hAnsi="Times New Roman"/>
          <w:sz w:val="20"/>
        </w:rPr>
      </w:pPr>
      <w:r>
        <w:rPr>
          <w:rFonts w:ascii="Tahoma;sans-serif" w:hAnsi="Tahoma;sans-serif"/>
          <w:color w:val="000000"/>
          <w:sz w:val="17"/>
        </w:rPr>
        <w:t>Our ability to sell properties and fund acquisitions and developments may be adversely impacted by higher market capitalization rates and lower NOI at our properties which may dilute earnings.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w:t>
      </w:r>
      <w:r>
        <w:rPr>
          <w:rFonts w:ascii="Times New Roman" w:hAnsi="Times New Roman"/>
          <w:color w:val="000000"/>
          <w:sz w:val="20"/>
        </w:rPr>
        <w:t xml:space="preserve"> </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Information Management and Technology</w:t>
      </w:r>
    </w:p>
    <w:p>
      <w:pPr>
        <w:pStyle w:val="TextBody"/>
        <w:bidi w:val="0"/>
        <w:jc w:val="left"/>
        <w:rPr>
          <w:rFonts w:ascii="Tahoma;sans-serif" w:hAnsi="Tahoma;sans-serif"/>
          <w:color w:val="000000"/>
          <w:sz w:val="17"/>
        </w:rPr>
      </w:pPr>
      <w:r>
        <w:rPr>
          <w:rFonts w:ascii="Tahoma;sans-serif" w:hAnsi="Tahoma;sans-serif"/>
          <w:color w:val="000000"/>
          <w:sz w:val="17"/>
        </w:rPr>
        <w:t>The unauthorized access, use, theft or destruction of tenant or employee personal, financial, or other data or of Regency's proprietary or confidential information stored in our information systems or by third parties on our behalf could impact our reputation and brand and expose us to potential liabilities and adverse financial impact. The use of technology based on artificial intelligence presents risks relating to confidentiality, creation of inaccurate and flawed outputs and emerging regulatory risk, any or all of which may adversely affect our business and results of operations.</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the Market Price for Our Securities</w:t>
      </w:r>
    </w:p>
    <w:p>
      <w:pPr>
        <w:pStyle w:val="TextBody"/>
        <w:bidi w:val="0"/>
        <w:jc w:val="left"/>
        <w:rPr>
          <w:rFonts w:ascii="Tahoma;sans-serif" w:hAnsi="Tahoma;sans-serif"/>
          <w:color w:val="000000"/>
          <w:sz w:val="17"/>
        </w:rPr>
      </w:pPr>
      <w:r>
        <w:rPr>
          <w:rFonts w:ascii="Tahoma;sans-serif" w:hAnsi="Tahoma;sans-serif"/>
          <w:color w:val="000000"/>
          <w:sz w:val="17"/>
        </w:rPr>
        <w:t>Changes in economic and market conditions may adversely affect the market price of our securities. There is no assurance that we will continue to pay dividends at current or historical rates.</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the Company’s Qualification as a REIT</w:t>
      </w:r>
    </w:p>
    <w:p>
      <w:pPr>
        <w:pStyle w:val="TextBody"/>
        <w:bidi w:val="0"/>
        <w:jc w:val="left"/>
        <w:rPr>
          <w:rFonts w:ascii="Times New Roman" w:hAnsi="Times New Roman"/>
          <w:sz w:val="20"/>
        </w:rPr>
      </w:pPr>
      <w:r>
        <w:rPr>
          <w:rFonts w:ascii="Tahoma;sans-serif" w:hAnsi="Tahoma;sans-serif"/>
          <w:color w:val="000000"/>
          <w:sz w:val="17"/>
        </w:rPr>
        <w:t>If the Company fails to qualify as a REIT for federal income tax purposes, it would be subject to federal income tax at regular corporate rates. Dividends paid by REITs generally do not qualify for reduced tax rates. Certain foreign shareholders may be subject to U.S. federal income tax on gain recognized on a disposition of our common stock if we do not qualify as a “domestically controlled” REIT.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r>
        <w:rPr>
          <w:rFonts w:ascii="Times New Roman" w:hAnsi="Times New Roman"/>
          <w:color w:val="000000"/>
          <w:sz w:val="20"/>
        </w:rPr>
        <w:t xml:space="preserve"> </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the Company’s Common Stock</w:t>
      </w:r>
    </w:p>
    <w:p>
      <w:pPr>
        <w:pStyle w:val="TextBody"/>
        <w:bidi w:val="0"/>
        <w:jc w:val="left"/>
        <w:rPr>
          <w:rFonts w:ascii="Tahoma;sans-serif" w:hAnsi="Tahoma;sans-serif"/>
          <w:color w:val="000000"/>
          <w:sz w:val="17"/>
        </w:rPr>
      </w:pPr>
      <w:r>
        <w:rPr>
          <w:rFonts w:ascii="Tahoma;sans-serif" w:hAnsi="Tahoma;sans-serif"/>
          <w:color w:val="000000"/>
          <w:sz w:val="17"/>
        </w:rPr>
        <w:t>Restrictions on the ownership of the Company’s capital stock to preserve its REIT status may delay or prevent a change in control. The issuance of the Company's capital stock may delay or prevent a change in control. Ownership in the Company may be diluted in the future.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 w:name="reg-ex99_2.htm"/>
      <w:bookmarkStart w:id="6" w:name="ksregex99_2"/>
      <w:bookmarkEnd w:id="5"/>
      <w:bookmarkEnd w:id="6"/>
      <w:r>
        <w:rPr>
          <w:rFonts w:ascii="Times New Roman" w:hAnsi="Times New Roman"/>
          <w:b/>
          <w:color w:val="000000"/>
          <w:sz w:val="22"/>
        </w:rPr>
        <w:t>Exhibit 99.2</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981825" cy="808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81825" cy="80867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Table of Contents</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spacing w:before="20" w:after="283"/>
        <w:jc w:val="left"/>
        <w:rPr/>
      </w:pPr>
      <w:r>
        <w:rPr/>
        <w:t> </w:t>
      </w:r>
    </w:p>
    <w:tbl>
      <w:tblPr>
        <w:tblW w:w="6137" w:type="dxa"/>
        <w:jc w:val="left"/>
        <w:tblInd w:w="0" w:type="dxa"/>
        <w:tblLayout w:type="fixed"/>
        <w:tblCellMar>
          <w:top w:w="28" w:type="dxa"/>
          <w:left w:w="28" w:type="dxa"/>
          <w:bottom w:w="28" w:type="dxa"/>
          <w:right w:w="28" w:type="dxa"/>
        </w:tblCellMar>
      </w:tblPr>
      <w:tblGrid>
        <w:gridCol w:w="5806"/>
        <w:gridCol w:w="331"/>
      </w:tblGrid>
      <w:tr>
        <w:trPr/>
        <w:tc>
          <w:tcPr>
            <w:tcW w:w="58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Safe Harbor Language</w:t>
            </w:r>
          </w:p>
        </w:tc>
        <w:tc>
          <w:tcPr>
            <w:tcW w:w="331" w:type="dxa"/>
            <w:tcBorders/>
            <w:vAlign w:val="center"/>
          </w:tcPr>
          <w:p>
            <w:pPr>
              <w:pStyle w:val="TableContents"/>
              <w:bidi w:val="0"/>
              <w:spacing w:before="20" w:after="283"/>
              <w:jc w:val="right"/>
              <w:rPr/>
            </w:pPr>
            <w:hyperlink w:anchor="forwardlooking">
              <w:r>
                <w:rPr>
                  <w:rStyle w:val="InternetLink"/>
                  <w:rFonts w:ascii="Tahoma;sans-serif" w:hAnsi="Tahoma;sans-serif"/>
                  <w:color w:val="0000FF"/>
                  <w:sz w:val="17"/>
                  <w:u w:val="single"/>
                </w:rPr>
                <w:t>i</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Earnings Press Release</w:t>
            </w:r>
          </w:p>
        </w:tc>
        <w:tc>
          <w:tcPr>
            <w:tcW w:w="331" w:type="dxa"/>
            <w:tcBorders/>
            <w:vAlign w:val="center"/>
          </w:tcPr>
          <w:p>
            <w:pPr>
              <w:pStyle w:val="TableContents"/>
              <w:bidi w:val="0"/>
              <w:spacing w:before="20" w:after="283"/>
              <w:jc w:val="right"/>
              <w:rPr/>
            </w:pPr>
            <w:hyperlink w:anchor="pressrelease">
              <w:r>
                <w:rPr>
                  <w:rStyle w:val="InternetLink"/>
                  <w:rFonts w:ascii="Tahoma;sans-serif" w:hAnsi="Tahoma;sans-serif"/>
                  <w:color w:val="0000FF"/>
                  <w:sz w:val="17"/>
                  <w:u w:val="single"/>
                </w:rPr>
                <w:t>ii</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Summary Information:</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Financial Information</w:t>
            </w:r>
          </w:p>
        </w:tc>
        <w:tc>
          <w:tcPr>
            <w:tcW w:w="331" w:type="dxa"/>
            <w:tcBorders/>
            <w:vAlign w:val="center"/>
          </w:tcPr>
          <w:p>
            <w:pPr>
              <w:pStyle w:val="TableContents"/>
              <w:bidi w:val="0"/>
              <w:spacing w:before="20" w:after="283"/>
              <w:jc w:val="right"/>
              <w:rPr/>
            </w:pPr>
            <w:hyperlink w:anchor="summaryfininfo">
              <w:r>
                <w:rPr>
                  <w:rStyle w:val="InternetLink"/>
                  <w:rFonts w:ascii="Tahoma;sans-serif" w:hAnsi="Tahoma;sans-serif"/>
                  <w:color w:val="0000FF"/>
                  <w:sz w:val="17"/>
                  <w:u w:val="single"/>
                </w:rPr>
                <w:t>1</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Real Estate Information</w:t>
            </w:r>
          </w:p>
        </w:tc>
        <w:tc>
          <w:tcPr>
            <w:tcW w:w="331" w:type="dxa"/>
            <w:tcBorders/>
            <w:vAlign w:val="center"/>
          </w:tcPr>
          <w:p>
            <w:pPr>
              <w:pStyle w:val="TableContents"/>
              <w:bidi w:val="0"/>
              <w:spacing w:before="20" w:after="283"/>
              <w:jc w:val="right"/>
              <w:rPr/>
            </w:pPr>
            <w:hyperlink w:anchor="summaryreinfo">
              <w:r>
                <w:rPr>
                  <w:rStyle w:val="InternetLink"/>
                  <w:rFonts w:ascii="Tahoma;sans-serif" w:hAnsi="Tahoma;sans-serif"/>
                  <w:color w:val="0000FF"/>
                  <w:sz w:val="17"/>
                  <w:u w:val="single"/>
                </w:rPr>
                <w:t>2</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Financial Information:</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Consolidated Balance Sheets</w:t>
            </w:r>
          </w:p>
        </w:tc>
        <w:tc>
          <w:tcPr>
            <w:tcW w:w="331" w:type="dxa"/>
            <w:tcBorders/>
            <w:vAlign w:val="center"/>
          </w:tcPr>
          <w:p>
            <w:pPr>
              <w:pStyle w:val="TableContents"/>
              <w:bidi w:val="0"/>
              <w:spacing w:before="20" w:after="283"/>
              <w:jc w:val="right"/>
              <w:rPr/>
            </w:pPr>
            <w:hyperlink w:anchor="consolbs">
              <w:r>
                <w:rPr>
                  <w:rStyle w:val="InternetLink"/>
                  <w:rFonts w:ascii="Tahoma;sans-serif" w:hAnsi="Tahoma;sans-serif"/>
                  <w:color w:val="0000FF"/>
                  <w:sz w:val="17"/>
                  <w:u w:val="single"/>
                </w:rPr>
                <w:t>3</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Consolidated Statements of Operations</w:t>
            </w:r>
          </w:p>
        </w:tc>
        <w:tc>
          <w:tcPr>
            <w:tcW w:w="331" w:type="dxa"/>
            <w:tcBorders/>
            <w:vAlign w:val="center"/>
          </w:tcPr>
          <w:p>
            <w:pPr>
              <w:pStyle w:val="TableContents"/>
              <w:bidi w:val="0"/>
              <w:spacing w:before="20" w:after="283"/>
              <w:jc w:val="right"/>
              <w:rPr/>
            </w:pPr>
            <w:hyperlink w:anchor="consolops">
              <w:r>
                <w:rPr>
                  <w:rStyle w:val="InternetLink"/>
                  <w:rFonts w:ascii="Tahoma;sans-serif" w:hAnsi="Tahoma;sans-serif"/>
                  <w:color w:val="0000FF"/>
                  <w:sz w:val="17"/>
                  <w:u w:val="single"/>
                </w:rPr>
                <w:t>4</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Operations (Consolidated Only)</w:t>
            </w:r>
          </w:p>
        </w:tc>
        <w:tc>
          <w:tcPr>
            <w:tcW w:w="331" w:type="dxa"/>
            <w:tcBorders/>
            <w:vAlign w:val="center"/>
          </w:tcPr>
          <w:p>
            <w:pPr>
              <w:pStyle w:val="TableContents"/>
              <w:bidi w:val="0"/>
              <w:spacing w:before="20" w:after="283"/>
              <w:jc w:val="right"/>
              <w:rPr/>
            </w:pPr>
            <w:hyperlink w:anchor="suppdetailsops">
              <w:r>
                <w:rPr>
                  <w:rStyle w:val="InternetLink"/>
                  <w:rFonts w:ascii="Tahoma;sans-serif" w:hAnsi="Tahoma;sans-serif"/>
                  <w:color w:val="0000FF"/>
                  <w:sz w:val="17"/>
                  <w:u w:val="single"/>
                </w:rPr>
                <w:t>5</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Assets and Liabilities (Real Estate Partnerships Only)</w:t>
            </w:r>
          </w:p>
        </w:tc>
        <w:tc>
          <w:tcPr>
            <w:tcW w:w="331" w:type="dxa"/>
            <w:tcBorders/>
            <w:vAlign w:val="center"/>
          </w:tcPr>
          <w:p>
            <w:pPr>
              <w:pStyle w:val="TableContents"/>
              <w:bidi w:val="0"/>
              <w:spacing w:before="20" w:after="283"/>
              <w:jc w:val="right"/>
              <w:rPr/>
            </w:pPr>
            <w:hyperlink w:anchor="suppdetailsbsjv">
              <w:r>
                <w:rPr>
                  <w:rStyle w:val="InternetLink"/>
                  <w:rFonts w:ascii="Tahoma;sans-serif" w:hAnsi="Tahoma;sans-serif"/>
                  <w:color w:val="0000FF"/>
                  <w:sz w:val="17"/>
                  <w:u w:val="single"/>
                </w:rPr>
                <w:t>6</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Operations (Real Estate Partnerships Only)</w:t>
            </w:r>
          </w:p>
        </w:tc>
        <w:tc>
          <w:tcPr>
            <w:tcW w:w="331" w:type="dxa"/>
            <w:tcBorders/>
            <w:vAlign w:val="center"/>
          </w:tcPr>
          <w:p>
            <w:pPr>
              <w:pStyle w:val="TableContents"/>
              <w:bidi w:val="0"/>
              <w:spacing w:before="20" w:after="283"/>
              <w:jc w:val="right"/>
              <w:rPr/>
            </w:pPr>
            <w:hyperlink w:anchor="suppdetailsopsjv">
              <w:r>
                <w:rPr>
                  <w:rStyle w:val="InternetLink"/>
                  <w:rFonts w:ascii="Tahoma;sans-serif" w:hAnsi="Tahoma;sans-serif"/>
                  <w:color w:val="0000FF"/>
                  <w:sz w:val="17"/>
                  <w:u w:val="single"/>
                </w:rPr>
                <w:t>7</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Same Property NOI (Pro-Rata)</w:t>
            </w:r>
          </w:p>
        </w:tc>
        <w:tc>
          <w:tcPr>
            <w:tcW w:w="331" w:type="dxa"/>
            <w:tcBorders/>
            <w:vAlign w:val="center"/>
          </w:tcPr>
          <w:p>
            <w:pPr>
              <w:pStyle w:val="TableContents"/>
              <w:bidi w:val="0"/>
              <w:spacing w:before="20" w:after="283"/>
              <w:jc w:val="right"/>
              <w:rPr/>
            </w:pPr>
            <w:hyperlink w:anchor="spnoi">
              <w:r>
                <w:rPr>
                  <w:rStyle w:val="InternetLink"/>
                  <w:rFonts w:ascii="Tahoma;sans-serif" w:hAnsi="Tahoma;sans-serif"/>
                  <w:color w:val="0000FF"/>
                  <w:sz w:val="17"/>
                  <w:u w:val="single"/>
                </w:rPr>
                <w:t>8</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Reconciliations of Non-GAAP Financial Measures</w:t>
            </w:r>
          </w:p>
        </w:tc>
        <w:tc>
          <w:tcPr>
            <w:tcW w:w="331" w:type="dxa"/>
            <w:tcBorders/>
            <w:vAlign w:val="center"/>
          </w:tcPr>
          <w:p>
            <w:pPr>
              <w:pStyle w:val="TableContents"/>
              <w:bidi w:val="0"/>
              <w:spacing w:before="20" w:after="283"/>
              <w:jc w:val="right"/>
              <w:rPr/>
            </w:pPr>
            <w:hyperlink w:anchor="recons">
              <w:r>
                <w:rPr>
                  <w:rStyle w:val="InternetLink"/>
                  <w:rFonts w:ascii="Tahoma;sans-serif" w:hAnsi="Tahoma;sans-serif"/>
                  <w:color w:val="0000FF"/>
                  <w:sz w:val="17"/>
                  <w:u w:val="single"/>
                </w:rPr>
                <w:t>9</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Capital Expenditures and Additional Disclosures</w:t>
            </w:r>
          </w:p>
        </w:tc>
        <w:tc>
          <w:tcPr>
            <w:tcW w:w="331" w:type="dxa"/>
            <w:tcBorders/>
            <w:vAlign w:val="center"/>
          </w:tcPr>
          <w:p>
            <w:pPr>
              <w:pStyle w:val="TableContents"/>
              <w:bidi w:val="0"/>
              <w:spacing w:before="20" w:after="283"/>
              <w:jc w:val="right"/>
              <w:rPr/>
            </w:pPr>
            <w:hyperlink w:anchor="capex">
              <w:r>
                <w:rPr>
                  <w:rStyle w:val="InternetLink"/>
                  <w:rFonts w:ascii="Tahoma;sans-serif" w:hAnsi="Tahoma;sans-serif"/>
                  <w:color w:val="0000FF"/>
                  <w:sz w:val="17"/>
                  <w:u w:val="single"/>
                </w:rPr>
                <w:t>10</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Consolidated Debt</w:t>
            </w:r>
          </w:p>
        </w:tc>
        <w:tc>
          <w:tcPr>
            <w:tcW w:w="331" w:type="dxa"/>
            <w:tcBorders/>
            <w:vAlign w:val="center"/>
          </w:tcPr>
          <w:p>
            <w:pPr>
              <w:pStyle w:val="TableContents"/>
              <w:bidi w:val="0"/>
              <w:spacing w:before="20" w:after="283"/>
              <w:jc w:val="right"/>
              <w:rPr/>
            </w:pPr>
            <w:hyperlink w:anchor="consoldebt">
              <w:r>
                <w:rPr>
                  <w:rStyle w:val="InternetLink"/>
                  <w:rFonts w:ascii="Tahoma;sans-serif" w:hAnsi="Tahoma;sans-serif"/>
                  <w:color w:val="0000FF"/>
                  <w:sz w:val="17"/>
                  <w:u w:val="single"/>
                </w:rPr>
                <w:t>11</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Consolidated Debt Detail</w:t>
            </w:r>
          </w:p>
        </w:tc>
        <w:tc>
          <w:tcPr>
            <w:tcW w:w="331" w:type="dxa"/>
            <w:tcBorders/>
            <w:vAlign w:val="center"/>
          </w:tcPr>
          <w:p>
            <w:pPr>
              <w:pStyle w:val="TableContents"/>
              <w:bidi w:val="0"/>
              <w:spacing w:before="20" w:after="283"/>
              <w:jc w:val="right"/>
              <w:rPr/>
            </w:pPr>
            <w:hyperlink w:anchor="consoldebtdetail">
              <w:r>
                <w:rPr>
                  <w:rStyle w:val="InternetLink"/>
                  <w:rFonts w:ascii="Tahoma;sans-serif" w:hAnsi="Tahoma;sans-serif"/>
                  <w:color w:val="0000FF"/>
                  <w:sz w:val="17"/>
                  <w:u w:val="single"/>
                </w:rPr>
                <w:t>12</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Unsecured Debt Covenants and Leverage Ratios</w:t>
            </w:r>
          </w:p>
        </w:tc>
        <w:tc>
          <w:tcPr>
            <w:tcW w:w="331" w:type="dxa"/>
            <w:tcBorders/>
            <w:vAlign w:val="center"/>
          </w:tcPr>
          <w:p>
            <w:pPr>
              <w:pStyle w:val="TableContents"/>
              <w:bidi w:val="0"/>
              <w:spacing w:before="20" w:after="283"/>
              <w:jc w:val="right"/>
              <w:rPr/>
            </w:pPr>
            <w:hyperlink w:anchor="covenants">
              <w:r>
                <w:rPr>
                  <w:rStyle w:val="InternetLink"/>
                  <w:rFonts w:ascii="Tahoma;sans-serif" w:hAnsi="Tahoma;sans-serif"/>
                  <w:color w:val="0000FF"/>
                  <w:sz w:val="17"/>
                  <w:u w:val="single"/>
                </w:rPr>
                <w:t>13</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Unconsolidated Debt</w:t>
            </w:r>
          </w:p>
        </w:tc>
        <w:tc>
          <w:tcPr>
            <w:tcW w:w="331" w:type="dxa"/>
            <w:tcBorders/>
            <w:vAlign w:val="center"/>
          </w:tcPr>
          <w:p>
            <w:pPr>
              <w:pStyle w:val="TableContents"/>
              <w:bidi w:val="0"/>
              <w:spacing w:before="20" w:after="283"/>
              <w:jc w:val="right"/>
              <w:rPr/>
            </w:pPr>
            <w:hyperlink w:anchor="debtjv">
              <w:r>
                <w:rPr>
                  <w:rStyle w:val="InternetLink"/>
                  <w:rFonts w:ascii="Tahoma;sans-serif" w:hAnsi="Tahoma;sans-serif"/>
                  <w:color w:val="0000FF"/>
                  <w:sz w:val="17"/>
                  <w:u w:val="single"/>
                </w:rPr>
                <w:t>14</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Unconsolidated Investments</w:t>
            </w:r>
          </w:p>
        </w:tc>
        <w:tc>
          <w:tcPr>
            <w:tcW w:w="331" w:type="dxa"/>
            <w:tcBorders/>
            <w:vAlign w:val="center"/>
          </w:tcPr>
          <w:p>
            <w:pPr>
              <w:pStyle w:val="TableContents"/>
              <w:bidi w:val="0"/>
              <w:spacing w:before="20" w:after="283"/>
              <w:jc w:val="right"/>
              <w:rPr/>
            </w:pPr>
            <w:hyperlink w:anchor="investments">
              <w:r>
                <w:rPr>
                  <w:rStyle w:val="InternetLink"/>
                  <w:rFonts w:ascii="Tahoma;sans-serif" w:hAnsi="Tahoma;sans-serif"/>
                  <w:color w:val="0000FF"/>
                  <w:sz w:val="17"/>
                  <w:u w:val="single"/>
                </w:rPr>
                <w:t>15</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Investment Activity:</w:t>
            </w:r>
          </w:p>
        </w:tc>
        <w:tc>
          <w:tcPr>
            <w:tcW w:w="331" w:type="dxa"/>
            <w:tcBorders/>
            <w:vAlign w:val="center"/>
          </w:tcPr>
          <w:p>
            <w:pPr>
              <w:pStyle w:val="TableContents"/>
              <w:bidi w:val="0"/>
              <w:spacing w:before="20" w:after="283"/>
              <w:jc w:val="left"/>
              <w:rPr/>
            </w:pPr>
            <w:r>
              <w:rPr/>
              <w:t> </w:t>
            </w:r>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Property Transactions</w:t>
            </w:r>
          </w:p>
        </w:tc>
        <w:tc>
          <w:tcPr>
            <w:tcW w:w="331" w:type="dxa"/>
            <w:tcBorders/>
            <w:vAlign w:val="center"/>
          </w:tcPr>
          <w:p>
            <w:pPr>
              <w:pStyle w:val="TableContents"/>
              <w:bidi w:val="0"/>
              <w:spacing w:before="20" w:after="283"/>
              <w:jc w:val="right"/>
              <w:rPr/>
            </w:pPr>
            <w:hyperlink w:anchor="proptransactions">
              <w:r>
                <w:rPr>
                  <w:rStyle w:val="InternetLink"/>
                  <w:rFonts w:ascii="Tahoma;sans-serif" w:hAnsi="Tahoma;sans-serif"/>
                  <w:color w:val="0000FF"/>
                  <w:sz w:val="17"/>
                  <w:u w:val="single"/>
                </w:rPr>
                <w:t>16</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In-Process Developments and Redevelopments</w:t>
            </w:r>
          </w:p>
        </w:tc>
        <w:tc>
          <w:tcPr>
            <w:tcW w:w="331" w:type="dxa"/>
            <w:tcBorders/>
            <w:vAlign w:val="center"/>
          </w:tcPr>
          <w:p>
            <w:pPr>
              <w:pStyle w:val="TableContents"/>
              <w:bidi w:val="0"/>
              <w:spacing w:before="20" w:after="283"/>
              <w:jc w:val="right"/>
              <w:rPr/>
            </w:pPr>
            <w:hyperlink w:anchor="devredevinprocess">
              <w:r>
                <w:rPr>
                  <w:rStyle w:val="InternetLink"/>
                  <w:rFonts w:ascii="Tahoma;sans-serif" w:hAnsi="Tahoma;sans-serif"/>
                  <w:color w:val="0000FF"/>
                  <w:sz w:val="17"/>
                  <w:u w:val="single"/>
                </w:rPr>
                <w:t>17</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Development and Redevelopment Current Year Completions</w:t>
            </w:r>
          </w:p>
        </w:tc>
        <w:tc>
          <w:tcPr>
            <w:tcW w:w="331" w:type="dxa"/>
            <w:tcBorders/>
            <w:vAlign w:val="center"/>
          </w:tcPr>
          <w:p>
            <w:pPr>
              <w:pStyle w:val="TableContents"/>
              <w:bidi w:val="0"/>
              <w:spacing w:before="20" w:after="283"/>
              <w:jc w:val="right"/>
              <w:rPr/>
            </w:pPr>
            <w:hyperlink w:anchor="devredevcompletions">
              <w:r>
                <w:rPr>
                  <w:rStyle w:val="InternetLink"/>
                  <w:rFonts w:ascii="Tahoma;sans-serif" w:hAnsi="Tahoma;sans-serif"/>
                  <w:color w:val="0000FF"/>
                  <w:sz w:val="17"/>
                  <w:u w:val="single"/>
                </w:rPr>
                <w:t>18</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Real Estate Information:</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Leasing Statistics</w:t>
            </w:r>
          </w:p>
        </w:tc>
        <w:tc>
          <w:tcPr>
            <w:tcW w:w="331" w:type="dxa"/>
            <w:tcBorders/>
            <w:vAlign w:val="center"/>
          </w:tcPr>
          <w:p>
            <w:pPr>
              <w:pStyle w:val="TableContents"/>
              <w:bidi w:val="0"/>
              <w:spacing w:before="20" w:after="283"/>
              <w:jc w:val="right"/>
              <w:rPr/>
            </w:pPr>
            <w:hyperlink w:anchor="leasingstats">
              <w:r>
                <w:rPr>
                  <w:rStyle w:val="InternetLink"/>
                  <w:rFonts w:ascii="Tahoma;sans-serif" w:hAnsi="Tahoma;sans-serif"/>
                  <w:color w:val="0000FF"/>
                  <w:sz w:val="17"/>
                  <w:u w:val="single"/>
                </w:rPr>
                <w:t>19</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lef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New Lease Net Effective Rent and Leases Signed Not Yet Commenced</w:t>
            </w:r>
          </w:p>
        </w:tc>
        <w:tc>
          <w:tcPr>
            <w:tcW w:w="331" w:type="dxa"/>
            <w:tcBorders/>
            <w:vAlign w:val="center"/>
          </w:tcPr>
          <w:p>
            <w:pPr>
              <w:pStyle w:val="TableContents"/>
              <w:bidi w:val="0"/>
              <w:spacing w:before="20" w:after="283"/>
              <w:jc w:val="right"/>
              <w:rPr/>
            </w:pPr>
            <w:hyperlink w:anchor="neteffectiverent">
              <w:r>
                <w:rPr>
                  <w:rStyle w:val="InternetLink"/>
                  <w:rFonts w:ascii="Tahoma;sans-serif" w:hAnsi="Tahoma;sans-serif"/>
                  <w:color w:val="0000FF"/>
                  <w:sz w:val="17"/>
                  <w:u w:val="single"/>
                </w:rPr>
                <w:t>20</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lef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Annual Base Rent by State</w:t>
            </w:r>
          </w:p>
        </w:tc>
        <w:tc>
          <w:tcPr>
            <w:tcW w:w="331" w:type="dxa"/>
            <w:tcBorders/>
            <w:vAlign w:val="center"/>
          </w:tcPr>
          <w:p>
            <w:pPr>
              <w:pStyle w:val="TableContents"/>
              <w:bidi w:val="0"/>
              <w:spacing w:before="20" w:after="283"/>
              <w:jc w:val="right"/>
              <w:rPr/>
            </w:pPr>
            <w:hyperlink w:anchor="abrbystate">
              <w:r>
                <w:rPr>
                  <w:rStyle w:val="InternetLink"/>
                  <w:rFonts w:ascii="Tahoma;sans-serif" w:hAnsi="Tahoma;sans-serif"/>
                  <w:color w:val="0000FF"/>
                  <w:sz w:val="17"/>
                  <w:u w:val="single"/>
                </w:rPr>
                <w:t>21</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Annual Base Rent by CBSA</w:t>
            </w:r>
          </w:p>
        </w:tc>
        <w:tc>
          <w:tcPr>
            <w:tcW w:w="331" w:type="dxa"/>
            <w:tcBorders/>
            <w:vAlign w:val="center"/>
          </w:tcPr>
          <w:p>
            <w:pPr>
              <w:pStyle w:val="TableContents"/>
              <w:bidi w:val="0"/>
              <w:spacing w:before="20" w:after="283"/>
              <w:jc w:val="right"/>
              <w:rPr/>
            </w:pPr>
            <w:hyperlink w:anchor="abrbycbsa">
              <w:r>
                <w:rPr>
                  <w:rStyle w:val="InternetLink"/>
                  <w:rFonts w:ascii="Tahoma;sans-serif" w:hAnsi="Tahoma;sans-serif"/>
                  <w:color w:val="0000FF"/>
                  <w:sz w:val="17"/>
                  <w:u w:val="single"/>
                </w:rPr>
                <w:t>22</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Annual Base Rent by Tenant Category</w:t>
            </w:r>
          </w:p>
        </w:tc>
        <w:tc>
          <w:tcPr>
            <w:tcW w:w="331" w:type="dxa"/>
            <w:tcBorders/>
            <w:vAlign w:val="center"/>
          </w:tcPr>
          <w:p>
            <w:pPr>
              <w:pStyle w:val="TableContents"/>
              <w:bidi w:val="0"/>
              <w:spacing w:before="20" w:after="283"/>
              <w:jc w:val="right"/>
              <w:rPr/>
            </w:pPr>
            <w:hyperlink w:anchor="abrbycategory">
              <w:r>
                <w:rPr>
                  <w:rStyle w:val="InternetLink"/>
                  <w:rFonts w:ascii="Tahoma;sans-serif" w:hAnsi="Tahoma;sans-serif"/>
                  <w:color w:val="0000FF"/>
                  <w:sz w:val="17"/>
                  <w:u w:val="single"/>
                </w:rPr>
                <w:t>23</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Significant Tenant Rents</w:t>
            </w:r>
          </w:p>
        </w:tc>
        <w:tc>
          <w:tcPr>
            <w:tcW w:w="331" w:type="dxa"/>
            <w:tcBorders/>
            <w:vAlign w:val="center"/>
          </w:tcPr>
          <w:p>
            <w:pPr>
              <w:pStyle w:val="TableContents"/>
              <w:bidi w:val="0"/>
              <w:spacing w:before="20" w:after="283"/>
              <w:jc w:val="right"/>
              <w:rPr/>
            </w:pPr>
            <w:hyperlink w:anchor="sigtenants">
              <w:r>
                <w:rPr>
                  <w:rStyle w:val="InternetLink"/>
                  <w:rFonts w:ascii="Tahoma;sans-serif" w:hAnsi="Tahoma;sans-serif"/>
                  <w:color w:val="0000FF"/>
                  <w:sz w:val="17"/>
                  <w:u w:val="single"/>
                </w:rPr>
                <w:t>24</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Tenant Lease Expirations</w:t>
            </w:r>
          </w:p>
        </w:tc>
        <w:tc>
          <w:tcPr>
            <w:tcW w:w="331" w:type="dxa"/>
            <w:tcBorders/>
            <w:vAlign w:val="center"/>
          </w:tcPr>
          <w:p>
            <w:pPr>
              <w:pStyle w:val="TableContents"/>
              <w:bidi w:val="0"/>
              <w:spacing w:before="20" w:after="283"/>
              <w:jc w:val="right"/>
              <w:rPr/>
            </w:pPr>
            <w:hyperlink w:anchor="leaseexpirations">
              <w:r>
                <w:rPr>
                  <w:rStyle w:val="InternetLink"/>
                  <w:rFonts w:ascii="Tahoma;sans-serif" w:hAnsi="Tahoma;sans-serif"/>
                  <w:color w:val="0000FF"/>
                  <w:sz w:val="17"/>
                  <w:u w:val="single"/>
                </w:rPr>
                <w:t>25</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Portfolio Summary Report by State</w:t>
            </w:r>
          </w:p>
        </w:tc>
        <w:tc>
          <w:tcPr>
            <w:tcW w:w="331" w:type="dxa"/>
            <w:tcBorders/>
            <w:vAlign w:val="center"/>
          </w:tcPr>
          <w:p>
            <w:pPr>
              <w:pStyle w:val="TableContents"/>
              <w:bidi w:val="0"/>
              <w:spacing w:before="20" w:after="283"/>
              <w:jc w:val="right"/>
              <w:rPr/>
            </w:pPr>
            <w:hyperlink w:anchor="portfoliosummary">
              <w:r>
                <w:rPr>
                  <w:rStyle w:val="InternetLink"/>
                  <w:rFonts w:ascii="Tahoma;sans-serif" w:hAnsi="Tahoma;sans-serif"/>
                  <w:color w:val="0000FF"/>
                  <w:sz w:val="17"/>
                  <w:u w:val="single"/>
                </w:rPr>
                <w:t>26</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Additional Disclosures and Forward-Looking Information:</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Components of NAV</w:t>
            </w:r>
          </w:p>
        </w:tc>
        <w:tc>
          <w:tcPr>
            <w:tcW w:w="331" w:type="dxa"/>
            <w:tcBorders/>
            <w:vAlign w:val="center"/>
          </w:tcPr>
          <w:p>
            <w:pPr>
              <w:pStyle w:val="TableContents"/>
              <w:bidi w:val="0"/>
              <w:spacing w:before="20" w:after="283"/>
              <w:jc w:val="right"/>
              <w:rPr/>
            </w:pPr>
            <w:hyperlink w:anchor="nav">
              <w:r>
                <w:rPr>
                  <w:rStyle w:val="InternetLink"/>
                  <w:rFonts w:ascii="Tahoma;sans-serif" w:hAnsi="Tahoma;sans-serif"/>
                  <w:color w:val="0000FF"/>
                  <w:sz w:val="17"/>
                  <w:u w:val="single"/>
                </w:rPr>
                <w:t>38</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Earnings Guidance</w:t>
            </w:r>
          </w:p>
        </w:tc>
        <w:tc>
          <w:tcPr>
            <w:tcW w:w="331" w:type="dxa"/>
            <w:tcBorders/>
            <w:vAlign w:val="center"/>
          </w:tcPr>
          <w:p>
            <w:pPr>
              <w:pStyle w:val="TableContents"/>
              <w:bidi w:val="0"/>
              <w:spacing w:before="20" w:after="283"/>
              <w:jc w:val="right"/>
              <w:rPr/>
            </w:pPr>
            <w:hyperlink w:anchor="guidance">
              <w:r>
                <w:rPr>
                  <w:rStyle w:val="InternetLink"/>
                  <w:rFonts w:ascii="Tahoma;sans-serif" w:hAnsi="Tahoma;sans-serif"/>
                  <w:color w:val="0000FF"/>
                  <w:sz w:val="17"/>
                  <w:u w:val="single"/>
                </w:rPr>
                <w:t>39</w:t>
              </w:r>
            </w:hyperlink>
          </w:p>
        </w:tc>
      </w:tr>
      <w:tr>
        <w:trPr/>
        <w:tc>
          <w:tcPr>
            <w:tcW w:w="5806" w:type="dxa"/>
            <w:tcBorders/>
            <w:vAlign w:val="center"/>
          </w:tcPr>
          <w:p>
            <w:pPr>
              <w:pStyle w:val="TableContents"/>
              <w:bidi w:val="0"/>
              <w:spacing w:before="20" w:after="283"/>
              <w:jc w:val="left"/>
              <w:rPr/>
            </w:pPr>
            <w:r>
              <w:rPr/>
              <w:t> </w:t>
            </w:r>
          </w:p>
        </w:tc>
        <w:tc>
          <w:tcPr>
            <w:tcW w:w="331" w:type="dxa"/>
            <w:tcBorders/>
            <w:vAlign w:val="center"/>
          </w:tcPr>
          <w:p>
            <w:pPr>
              <w:pStyle w:val="TableContents"/>
              <w:bidi w:val="0"/>
              <w:spacing w:before="20" w:after="283"/>
              <w:jc w:val="right"/>
              <w:rPr/>
            </w:pPr>
            <w:r>
              <w:rPr/>
              <w:t> </w:t>
            </w:r>
          </w:p>
        </w:tc>
      </w:tr>
      <w:tr>
        <w:trPr/>
        <w:tc>
          <w:tcPr>
            <w:tcW w:w="5806" w:type="dxa"/>
            <w:tcBorders/>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Glossary of Terms</w:t>
            </w:r>
          </w:p>
        </w:tc>
        <w:tc>
          <w:tcPr>
            <w:tcW w:w="331" w:type="dxa"/>
            <w:tcBorders/>
            <w:vAlign w:val="center"/>
          </w:tcPr>
          <w:p>
            <w:pPr>
              <w:pStyle w:val="TableContents"/>
              <w:bidi w:val="0"/>
              <w:spacing w:before="20" w:after="283"/>
              <w:jc w:val="right"/>
              <w:rPr/>
            </w:pPr>
            <w:hyperlink w:anchor="glossary">
              <w:r>
                <w:rPr>
                  <w:rStyle w:val="InternetLink"/>
                  <w:rFonts w:ascii="Tahoma;sans-serif" w:hAnsi="Tahoma;sans-serif"/>
                  <w:color w:val="0000FF"/>
                  <w:sz w:val="17"/>
                  <w:u w:val="single"/>
                </w:rPr>
                <w:t>40</w:t>
              </w:r>
            </w:hyperlink>
          </w:p>
        </w:tc>
      </w:tr>
    </w:tbl>
    <w:p>
      <w:pPr>
        <w:pStyle w:val="TextBody"/>
        <w:bidi w:val="0"/>
        <w:spacing w:before="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7" w:name="forwardlooking"/>
      <w:bookmarkEnd w:id="7"/>
      <w:r>
        <w:rPr>
          <w:rFonts w:ascii="Tahoma;sans-serif" w:hAnsi="Tahoma;sans-serif"/>
          <w:b/>
          <w:color w:val="000000"/>
          <w:sz w:val="20"/>
        </w:rPr>
        <w:t>Safe Harbor Language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left"/>
        <w:rPr/>
      </w:pPr>
      <w:r>
        <w:rPr/>
        <w:t> </w:t>
      </w:r>
    </w:p>
    <w:p>
      <w:pPr>
        <w:pStyle w:val="TextBody"/>
        <w:bidi w:val="0"/>
        <w:jc w:val="left"/>
        <w:rPr>
          <w:rFonts w:ascii="Tahoma;sans-serif" w:hAnsi="Tahoma;sans-serif"/>
          <w:b/>
          <w:color w:val="000000"/>
          <w:sz w:val="13"/>
          <w:u w:val="single"/>
        </w:rPr>
      </w:pPr>
      <w:r>
        <w:rPr>
          <w:rFonts w:ascii="Tahoma;sans-serif" w:hAnsi="Tahoma;sans-serif"/>
          <w:b/>
          <w:color w:val="000000"/>
          <w:sz w:val="13"/>
          <w:u w:val="single"/>
        </w:rPr>
        <w:t>Forward-Looking Statements</w:t>
      </w:r>
    </w:p>
    <w:p>
      <w:pPr>
        <w:pStyle w:val="TextBody"/>
        <w:bidi w:val="0"/>
        <w:jc w:val="left"/>
        <w:rPr>
          <w:rFonts w:ascii="Tahoma;sans-serif" w:hAnsi="Tahoma;sans-serif"/>
          <w:color w:val="000000"/>
          <w:sz w:val="13"/>
        </w:rPr>
      </w:pPr>
      <w:r>
        <w:rPr>
          <w:rFonts w:ascii="Tahoma;sans-serif" w:hAnsi="Tahoma;sans-serif"/>
          <w:color w:val="000000"/>
          <w:sz w:val="13"/>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2024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2023 (“2023 Form 10-K”) under Item 1A.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Current Economic and Geopolitical Environments</w:t>
      </w:r>
    </w:p>
    <w:p>
      <w:pPr>
        <w:pStyle w:val="TextBody"/>
        <w:bidi w:val="0"/>
        <w:jc w:val="left"/>
        <w:rPr>
          <w:rFonts w:ascii="Tahoma;sans-serif" w:hAnsi="Tahoma;sans-serif"/>
          <w:color w:val="000000"/>
          <w:sz w:val="13"/>
        </w:rPr>
      </w:pPr>
      <w:r>
        <w:rPr>
          <w:rFonts w:ascii="Tahoma;sans-serif" w:hAnsi="Tahoma;sans-serif"/>
          <w:color w:val="000000"/>
          <w:sz w:val="13"/>
        </w:rPr>
        <w:t>Interest rates in the current economic environment may adversely impact our cost to borrow, real estate valuation, and stock price. Current economic challenges, including the potential for recession, may adversely impact our tenants and our business. Unfavorable developments affecting the banking and financial services industry could adversely affect our business, liquidity and financial condition, and overall results of operations. Additionally, current geopolitical challenges would impact the U.S. economy and our results of operations and financial condition.</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to Regency’s Financial Performance Related to the Company’s Acquisition of Urstadt Biddle</w:t>
      </w:r>
    </w:p>
    <w:p>
      <w:pPr>
        <w:pStyle w:val="TextBody"/>
        <w:bidi w:val="0"/>
        <w:jc w:val="left"/>
        <w:rPr>
          <w:rFonts w:ascii="Tahoma;sans-serif" w:hAnsi="Tahoma;sans-serif"/>
          <w:color w:val="000000"/>
          <w:sz w:val="13"/>
        </w:rPr>
      </w:pPr>
      <w:r>
        <w:rPr>
          <w:rFonts w:ascii="Tahoma;sans-serif" w:hAnsi="Tahoma;sans-serif"/>
          <w:color w:val="000000"/>
          <w:sz w:val="13"/>
        </w:rPr>
        <w:t>Regency may not realize the anticipated benefit and synergies from the Urstadt Biddle merger.</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Pandemics or other Health Crises</w:t>
      </w:r>
    </w:p>
    <w:p>
      <w:pPr>
        <w:pStyle w:val="TextBody"/>
        <w:bidi w:val="0"/>
        <w:jc w:val="left"/>
        <w:rPr>
          <w:rFonts w:ascii="Times New Roman" w:hAnsi="Times New Roman"/>
          <w:sz w:val="20"/>
        </w:rPr>
      </w:pPr>
      <w:r>
        <w:rPr>
          <w:rFonts w:ascii="Tahoma;sans-serif" w:hAnsi="Tahoma;sans-serif"/>
          <w:color w:val="000000"/>
          <w:sz w:val="13"/>
        </w:rPr>
        <w:t>Pandemics or other health crises, such as the COVID-19 pandemic, may adversely affect our tenants’ financial condition, the profitability of our properties, and our access to the capital markets and could have a material adverse effect on our business, results of operations, cash flows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Operating Retail-Based Shopping Centers</w:t>
      </w:r>
    </w:p>
    <w:p>
      <w:pPr>
        <w:pStyle w:val="TextBody"/>
        <w:bidi w:val="0"/>
        <w:jc w:val="left"/>
        <w:rPr>
          <w:rFonts w:ascii="Tahoma;sans-serif" w:hAnsi="Tahoma;sans-serif"/>
          <w:color w:val="000000"/>
          <w:sz w:val="13"/>
        </w:rPr>
      </w:pPr>
      <w:r>
        <w:rPr>
          <w:rFonts w:ascii="Tahoma;sans-serif" w:hAnsi="Tahoma;sans-serif"/>
          <w:color w:val="000000"/>
          <w:sz w:val="13"/>
        </w:rPr>
        <w:t xml:space="preserve">Economic and market conditions may adversely affect the retail industry and consequently reduce our revenues and cash flow and increase our operating expenses. Shifts in retail trends, sales, and delivery methods between brick-and-mortar stores, e-commerce, home delivery, and curbside pick-up may adversely impact our revenues, results from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and regulations may have a material negative effect on us.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Real Estate Investments</w:t>
      </w:r>
    </w:p>
    <w:p>
      <w:pPr>
        <w:pStyle w:val="TextBody"/>
        <w:bidi w:val="0"/>
        <w:jc w:val="left"/>
        <w:rPr>
          <w:rFonts w:ascii="Tahoma;sans-serif" w:hAnsi="Tahoma;sans-serif"/>
          <w:color w:val="000000"/>
          <w:sz w:val="13"/>
        </w:rPr>
      </w:pPr>
      <w:r>
        <w:rPr>
          <w:rFonts w:ascii="Tahoma;sans-serif" w:hAnsi="Tahoma;sans-serif"/>
          <w:color w:val="000000"/>
          <w:sz w:val="13"/>
        </w:rPr>
        <w:t xml:space="preserve">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Environment Affecting Our Properties</w:t>
      </w:r>
    </w:p>
    <w:p>
      <w:pPr>
        <w:pStyle w:val="TextBody"/>
        <w:bidi w:val="0"/>
        <w:jc w:val="left"/>
        <w:rPr>
          <w:rFonts w:ascii="Tahoma;sans-serif" w:hAnsi="Tahoma;sans-serif"/>
          <w:color w:val="000000"/>
          <w:sz w:val="13"/>
        </w:rPr>
      </w:pPr>
      <w:r>
        <w:rPr>
          <w:rFonts w:ascii="Tahoma;sans-serif" w:hAnsi="Tahoma;sans-serif"/>
          <w:color w:val="000000"/>
          <w:sz w:val="13"/>
        </w:rPr>
        <w:t>Climate change may adversely impact our properties directly and may lead to additional compliance obligations and costs as well as additional taxes and fees. Geographic concentration of our properties makes our business more vulnerable to natural disasters, severe weather conditions and climate change. Costs of environmental remediation may adversely impact our financial performance and reduce our cash flow.</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Corporate Matters</w:t>
      </w:r>
    </w:p>
    <w:p>
      <w:pPr>
        <w:pStyle w:val="TextBody"/>
        <w:bidi w:val="0"/>
        <w:jc w:val="left"/>
        <w:rPr>
          <w:rFonts w:ascii="Tahoma;sans-serif" w:hAnsi="Tahoma;sans-serif"/>
          <w:color w:val="000000"/>
          <w:sz w:val="13"/>
        </w:rPr>
      </w:pPr>
      <w:r>
        <w:rPr>
          <w:rFonts w:ascii="Tahoma;sans-serif" w:hAnsi="Tahoma;sans-serif"/>
          <w:color w:val="000000"/>
          <w:sz w:val="13"/>
        </w:rPr>
        <w:t>An increased focus on metrics and reporting relating to environmental, social, and governance (“ESG”) factors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Our Partnerships and Joint Ventures</w:t>
      </w:r>
    </w:p>
    <w:p>
      <w:pPr>
        <w:pStyle w:val="TextBody"/>
        <w:bidi w:val="0"/>
        <w:jc w:val="left"/>
        <w:rPr>
          <w:rFonts w:ascii="Tahoma;sans-serif" w:hAnsi="Tahoma;sans-serif"/>
          <w:color w:val="000000"/>
          <w:sz w:val="13"/>
        </w:rPr>
      </w:pPr>
      <w:r>
        <w:rPr>
          <w:rFonts w:ascii="Tahoma;sans-serif" w:hAnsi="Tahoma;sans-serif"/>
          <w:color w:val="000000"/>
          <w:sz w:val="13"/>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Funding Strategies and Capital Structure</w:t>
      </w:r>
    </w:p>
    <w:p>
      <w:pPr>
        <w:pStyle w:val="TextBody"/>
        <w:bidi w:val="0"/>
        <w:jc w:val="left"/>
        <w:rPr>
          <w:rFonts w:ascii="Tahoma;sans-serif" w:hAnsi="Tahoma;sans-serif"/>
          <w:color w:val="000000"/>
          <w:sz w:val="13"/>
        </w:rPr>
      </w:pPr>
      <w:r>
        <w:rPr>
          <w:rFonts w:ascii="Tahoma;sans-serif" w:hAnsi="Tahoma;sans-serif"/>
          <w:color w:val="000000"/>
          <w:sz w:val="13"/>
        </w:rPr>
        <w:t>Our ability to sell properties and fund acquisitions and developments may be adversely impacted by higher market capitalization rates and lower NOI at our properties which may dilute earnings.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Information Management and Technology</w:t>
      </w:r>
    </w:p>
    <w:p>
      <w:pPr>
        <w:pStyle w:val="TextBody"/>
        <w:bidi w:val="0"/>
        <w:jc w:val="left"/>
        <w:rPr>
          <w:rFonts w:ascii="Times New Roman" w:hAnsi="Times New Roman"/>
          <w:sz w:val="20"/>
        </w:rPr>
      </w:pPr>
      <w:r>
        <w:rPr>
          <w:rFonts w:ascii="Tahoma;sans-serif" w:hAnsi="Tahoma;sans-serif"/>
          <w:color w:val="000000"/>
          <w:sz w:val="13"/>
        </w:rPr>
        <w:t>The unauthorized access, use, theft or destruction of tenant or employee personal, financial, or other data or of Regency's proprietary or confidential information stored in our information systems or by third parties on our behalf could impact our reputation and brand and expose us to potential liabilities and adverse financial impact. The use of technology based on artificial intelligence presents risks relating to confidentiality, creation of inaccurate and flawed outputs and emerging regulatory risk, any or all of which may adversely affect our business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Market Price for Our Securities</w:t>
      </w:r>
    </w:p>
    <w:p>
      <w:pPr>
        <w:pStyle w:val="TextBody"/>
        <w:bidi w:val="0"/>
        <w:jc w:val="left"/>
        <w:rPr>
          <w:rFonts w:ascii="Tahoma;sans-serif" w:hAnsi="Tahoma;sans-serif"/>
          <w:color w:val="000000"/>
          <w:sz w:val="13"/>
        </w:rPr>
      </w:pPr>
      <w:r>
        <w:rPr>
          <w:rFonts w:ascii="Tahoma;sans-serif" w:hAnsi="Tahoma;sans-serif"/>
          <w:color w:val="000000"/>
          <w:sz w:val="13"/>
        </w:rPr>
        <w:t>Changes in economic and market conditions may adversely affect the market price of our securities. There is no assurance that we will continue to pay dividends at current or historical rates.</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Company’s Qualification as a REIT</w:t>
      </w:r>
    </w:p>
    <w:p>
      <w:pPr>
        <w:pStyle w:val="TextBody"/>
        <w:bidi w:val="0"/>
        <w:jc w:val="left"/>
        <w:rPr>
          <w:rFonts w:ascii="Tahoma;sans-serif" w:hAnsi="Tahoma;sans-serif"/>
          <w:color w:val="000000"/>
          <w:sz w:val="13"/>
        </w:rPr>
      </w:pPr>
      <w:r>
        <w:rPr>
          <w:rFonts w:ascii="Tahoma;sans-serif" w:hAnsi="Tahoma;sans-serif"/>
          <w:color w:val="000000"/>
          <w:sz w:val="13"/>
        </w:rPr>
        <w:t>If the Company fails to qualify as a REIT for federal income tax purposes, it would be subject to federal income tax at regular corporate rates. Dividends paid by REITs generally do not qualify for reduced tax rates. Certain foreign shareholders may be subject to U.S. federal income tax on gain recognized on a disposition of our common stock if we do not qualify as a “domestically controlled” REIT.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Company’s Common Stock</w:t>
      </w:r>
    </w:p>
    <w:p>
      <w:pPr>
        <w:pStyle w:val="TextBody"/>
        <w:bidi w:val="0"/>
        <w:jc w:val="left"/>
        <w:rPr>
          <w:rFonts w:ascii="Tahoma;sans-serif" w:hAnsi="Tahoma;sans-serif"/>
          <w:color w:val="000000"/>
          <w:sz w:val="13"/>
        </w:rPr>
      </w:pPr>
      <w:r>
        <w:rPr>
          <w:rFonts w:ascii="Tahoma;sans-serif" w:hAnsi="Tahoma;sans-serif"/>
          <w:color w:val="000000"/>
          <w:sz w:val="13"/>
        </w:rPr>
        <w:t>Restrictions on the ownership of the Company’s capital stock to preserve its REIT status may delay or prevent a change in control. The issuance of the Company's capital stock may delay or prevent a change in control. Ownership in the Company may be diluted in the future.</w:t>
      </w:r>
    </w:p>
    <w:p>
      <w:pPr>
        <w:pStyle w:val="TextBody"/>
        <w:bidi w:val="0"/>
        <w:jc w:val="right"/>
        <w:rPr/>
      </w:pPr>
      <w:r>
        <w:rPr/>
        <w:drawing>
          <wp:inline distT="0" distB="0" distL="0" distR="0">
            <wp:extent cx="476250"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left"/>
        <w:rPr/>
      </w:pPr>
      <w:r>
        <w:rPr/>
        <w:t> </w:t>
      </w:r>
    </w:p>
    <w:tbl>
      <w:tblPr>
        <w:tblW w:w="6083" w:type="dxa"/>
        <w:jc w:val="left"/>
        <w:tblInd w:w="0" w:type="dxa"/>
        <w:tblLayout w:type="fixed"/>
        <w:tblCellMar>
          <w:top w:w="28" w:type="dxa"/>
          <w:left w:w="28" w:type="dxa"/>
          <w:bottom w:w="28" w:type="dxa"/>
          <w:right w:w="28" w:type="dxa"/>
        </w:tblCellMar>
      </w:tblPr>
      <w:tblGrid>
        <w:gridCol w:w="2636"/>
        <w:gridCol w:w="146"/>
        <w:gridCol w:w="3301"/>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2636" w:type="dxa"/>
            <w:tcBorders/>
            <w:vAlign w:val="center"/>
          </w:tcPr>
          <w:p>
            <w:pPr>
              <w:pStyle w:val="TableContents"/>
              <w:bidi w:val="0"/>
              <w:spacing w:before="0" w:after="283"/>
              <w:jc w:val="left"/>
              <w:rPr/>
            </w:pPr>
            <w:r>
              <w:rPr/>
              <w:drawing>
                <wp:inline distT="0" distB="0" distL="0" distR="0">
                  <wp:extent cx="1609725" cy="628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09725" cy="628650"/>
                          </a:xfrm>
                          <a:prstGeom prst="rect">
                            <a:avLst/>
                          </a:prstGeom>
                        </pic:spPr>
                      </pic:pic>
                    </a:graphicData>
                  </a:graphic>
                </wp:inline>
              </w:drawing>
            </w:r>
          </w:p>
        </w:tc>
        <w:tc>
          <w:tcPr>
            <w:tcW w:w="146" w:type="dxa"/>
            <w:tcBorders/>
            <w:vAlign w:val="center"/>
          </w:tcPr>
          <w:p>
            <w:pPr>
              <w:pStyle w:val="TableContents"/>
              <w:bidi w:val="0"/>
              <w:spacing w:before="0" w:after="283"/>
              <w:jc w:val="left"/>
              <w:rPr/>
            </w:pPr>
            <w:r>
              <w:rPr/>
              <w:t> </w:t>
            </w:r>
          </w:p>
        </w:tc>
        <w:tc>
          <w:tcPr>
            <w:tcW w:w="3301" w:type="dxa"/>
            <w:tcBorders/>
            <w:vAlign w:val="center"/>
          </w:tcPr>
          <w:p>
            <w:pPr>
              <w:pStyle w:val="TableContents"/>
              <w:bidi w:val="0"/>
              <w:jc w:val="right"/>
              <w:rPr>
                <w:rFonts w:ascii="Tahoma;sans-serif" w:hAnsi="Tahoma;sans-serif"/>
                <w:b/>
                <w:color w:val="3A3430"/>
                <w:sz w:val="30"/>
              </w:rPr>
            </w:pPr>
            <w:r>
              <w:rPr>
                <w:rFonts w:ascii="Tahoma;sans-serif" w:hAnsi="Tahoma;sans-serif"/>
                <w:b/>
                <w:color w:val="3A3430"/>
                <w:sz w:val="30"/>
              </w:rPr>
              <w:t>NEWS RELEASE</w:t>
            </w:r>
          </w:p>
          <w:p>
            <w:pPr>
              <w:pStyle w:val="TableContents"/>
              <w:bidi w:val="0"/>
              <w:jc w:val="right"/>
              <w:rPr>
                <w:rFonts w:ascii="Tahoma;sans-serif" w:hAnsi="Tahoma;sans-serif"/>
                <w:b/>
                <w:color w:val="3A3430"/>
                <w:sz w:val="20"/>
              </w:rPr>
            </w:pPr>
            <w:r>
              <w:rPr>
                <w:rFonts w:ascii="Tahoma;sans-serif" w:hAnsi="Tahoma;sans-serif"/>
                <w:b/>
                <w:color w:val="3A3430"/>
                <w:sz w:val="20"/>
              </w:rPr>
              <w:t>For immediate release</w:t>
            </w:r>
          </w:p>
          <w:p>
            <w:pPr>
              <w:pStyle w:val="TableContents"/>
              <w:bidi w:val="0"/>
              <w:jc w:val="right"/>
              <w:rPr/>
            </w:pPr>
            <w:r>
              <w:rPr/>
              <w:t> </w:t>
            </w:r>
          </w:p>
          <w:p>
            <w:pPr>
              <w:pStyle w:val="TableContents"/>
              <w:bidi w:val="0"/>
              <w:jc w:val="right"/>
              <w:rPr>
                <w:rFonts w:ascii="Tahoma;sans-serif" w:hAnsi="Tahoma;sans-serif"/>
                <w:color w:val="3A3430"/>
                <w:sz w:val="20"/>
              </w:rPr>
            </w:pPr>
            <w:r>
              <w:rPr>
                <w:rFonts w:ascii="Tahoma;sans-serif" w:hAnsi="Tahoma;sans-serif"/>
                <w:color w:val="3A3430"/>
                <w:sz w:val="20"/>
              </w:rPr>
              <w:t>Christy McElroy</w:t>
            </w:r>
          </w:p>
          <w:p>
            <w:pPr>
              <w:pStyle w:val="TableContents"/>
              <w:bidi w:val="0"/>
              <w:jc w:val="right"/>
              <w:rPr>
                <w:rFonts w:ascii="Tahoma;sans-serif" w:hAnsi="Tahoma;sans-serif"/>
                <w:color w:val="3A3430"/>
                <w:sz w:val="20"/>
              </w:rPr>
            </w:pPr>
            <w:r>
              <w:rPr>
                <w:rFonts w:ascii="Tahoma;sans-serif" w:hAnsi="Tahoma;sans-serif"/>
                <w:color w:val="3A3430"/>
                <w:sz w:val="20"/>
              </w:rPr>
              <w:t>904 598 7616</w:t>
            </w:r>
          </w:p>
          <w:p>
            <w:pPr>
              <w:pStyle w:val="TableContents"/>
              <w:bidi w:val="0"/>
              <w:spacing w:before="0" w:after="283"/>
              <w:jc w:val="right"/>
              <w:rPr>
                <w:rFonts w:ascii="Tahoma;sans-serif" w:hAnsi="Tahoma;sans-serif"/>
                <w:color w:val="3A3430"/>
                <w:sz w:val="20"/>
              </w:rPr>
            </w:pPr>
            <w:r>
              <w:rPr>
                <w:rFonts w:ascii="Tahoma;sans-serif" w:hAnsi="Tahoma;sans-serif"/>
                <w:color w:val="3A3430"/>
                <w:sz w:val="20"/>
              </w:rPr>
              <w:t>ChristyMcElroy@regencycenters.com</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8" w:name="pressrelease1"/>
      <w:bookmarkEnd w:id="8"/>
      <w:r>
        <w:rPr>
          <w:rFonts w:ascii="Tahoma;sans-serif" w:hAnsi="Tahoma;sans-serif"/>
          <w:b/>
          <w:color w:val="000000"/>
          <w:sz w:val="20"/>
        </w:rPr>
        <w:t>Regency Centers Reports Third Quarter 2024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JACKSONVILLE, Fla. </w:t>
      </w:r>
      <w:r>
        <w:rPr>
          <w:rFonts w:ascii="Tahoma;sans-serif" w:hAnsi="Tahoma;sans-serif"/>
          <w:color w:val="000000"/>
          <w:sz w:val="20"/>
        </w:rPr>
        <w:t>(October 28, 2024) – Regency Centers Corporation (“Regency Centers”, “Regency” or the “Company”) (Nasdaq: REG) today reported financial and operating results for the period ended September 30, 2024 and provided updated 2024 earnings guidance. For the three months ended September 30, 2024 and 2023, Net Income Attributable to Common Shareholders was $0.54 per diluted share and $0.50 per diluted share, respectively.</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Third Quarter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Reported Nareit FFO of $1.07 per diluted share and Core Operating Earnings of $1.03 per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Raised 2024 Nareit FFO guidance to a range of $4.27 to $4.29 per diluted share and 2024 Core Operating Earnings guidance to a range of $4.12 to $4.14 per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The midpoint of 2024 Core Operating Earnings guidance represents more than 5% year-over-year growth, excluding the collection of receivables reserved during 2020-2021</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Increased Same Property NOI for the third quarter by 4.9% year-over-year, excluding lease termination fees and the collection of receivables reserved during 2020 and 2021</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Increased Same Property percent leased by 20 basis points sequentially and 80 basis points year-over-year to 96.1%</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 xml:space="preserve">Increased Same Property shop percent leased by 20 basis points sequentially and 50 basis points year-over-year to a new record high of 93.7% </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Executed 1.8 million square feet of comparable new and renewal leases at blended rent spreads of +9.3% on a cash basis and +20.7% on a straight-lined basis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Started more than $100 million of new development and redevelopment projects, bringing year-to-date total project starts to $220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Started two new grocery-anchored ground-up development projects, Jordan Ranch Market in Houston, Texas, and Oakley Shops at Laurel Fields in the Bay Area</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September 30, 2024, Regency's in-process development and redevelopment projects had estimated net project costs of $618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Acquired two grocery-anchored shopping centers, one subsequent to quarter end, for a total of $47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Priced a public offering of $325 million of senior unsecured notes due January 2035, with a coupon of 5.1%</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Pro-rata net debt and preferred stock to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at September 30, 2024 was 5.2x</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color w:val="000000"/>
        </w:rPr>
      </w:pPr>
      <w:r>
        <w:rPr>
          <w:color w:val="000000"/>
        </w:rPr>
        <w:t>“</w:t>
      </w:r>
      <w:r>
        <w:rPr>
          <w:rFonts w:ascii="Tahoma;sans-serif" w:hAnsi="Tahoma;sans-serif"/>
          <w:color w:val="000000"/>
          <w:sz w:val="20"/>
        </w:rPr>
        <w:t>We are proud to report another exceptional quarter, highlighted by strong operating fundamentals and meaningful value creation activity," said Lisa Palmer, President and Chief Executive Officer. "We continue to see robust tenant demand for our grocery-anchored shopping centers, allowing us to accelerate our organic growth while further increasing our investment pipelines. As a result, we are raising current year guidance, and look forward to continued success in 2025."</w:t>
      </w:r>
    </w:p>
    <w:p>
      <w:pPr>
        <w:pStyle w:val="TextBody"/>
        <w:bidi w:val="0"/>
        <w:spacing w:before="240" w:after="283"/>
        <w:jc w:val="left"/>
        <w:rPr/>
      </w:pPr>
      <w:r>
        <w:rPr/>
        <w:t> </w:t>
      </w:r>
    </w:p>
    <w:p>
      <w:pPr>
        <w:pStyle w:val="TextBody"/>
        <w:bidi w:val="0"/>
        <w:jc w:val="right"/>
        <w:rPr/>
      </w:pPr>
      <w:r>
        <w:rPr/>
        <w:drawing>
          <wp:inline distT="0" distB="0" distL="0" distR="0">
            <wp:extent cx="476250" cy="257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Financial Results</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Net Income Attributable to Common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September 30, 2024, Net Income Attributable to Common Shareholders was $98.1 million, or $0.54 per diluted share, compared to Net Income Attributable to Common Shareholders of $89.1 million, or $0.50 per diluted share, for the same period in 2023.</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Nareit FFO</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September 30, 2024, Nareit FFO was $195.1 million, or $1.07 per diluted share, compared to $182.8 million, or $1.02 per diluted share, for the same period in 2023.</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Core Operating Earnings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September 30, 2024, Core Operating Earnings was $187.8 million, or $1.03 per diluted share, compared to $174.0 million, or $0.97 per diluted share, for the same period in 2023.</w:t>
      </w:r>
    </w:p>
    <w:p>
      <w:pPr>
        <w:pStyle w:val="TextBody"/>
        <w:bidi w:val="0"/>
        <w:spacing w:before="180" w:after="283"/>
        <w:jc w:val="left"/>
        <w:rPr>
          <w:rFonts w:ascii="Tahoma;sans-serif" w:hAnsi="Tahoma;sans-serif"/>
          <w:b/>
          <w:color w:val="000000"/>
          <w:sz w:val="20"/>
        </w:rPr>
      </w:pPr>
      <w:r>
        <w:rPr>
          <w:rFonts w:ascii="Tahoma;sans-serif" w:hAnsi="Tahoma;sans-serif"/>
          <w:b/>
          <w:color w:val="000000"/>
          <w:sz w:val="20"/>
        </w:rPr>
        <w:t>Portfolio Performance</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Same Property NOI</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Third quarter 2024 Same Property Net Operating Income (“NOI”), excluding lease termination fees and the collection of receivables reserved during 2020 and 2021, increased by 4.9% compared to the same period in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base rents contributed 2.7% to Same Property NOI growth in the third quarter of 2024.</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Occupancy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September 30, 2024, Regency’s Same Property portfolio was 96.1% leased, an increase of 20 basis points sequentially, and an increase of 80 basis points compared to September 30,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anchor percent leased, which includes spaces greater than or equal to 10,000 square feet, was 97.6%, an increase of 100 basis points compared to September 30,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shop percent leased, which includes spaces less than 10,000 square feet, was 93.7%, an increase of 50 basis points compared to September 30, 2023.</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September 30, 2024, Regency’s Same Property portfolio was 92.7% commenced, an increase of 40 basis points sequentially and an increase of 10 basis points compared to September 30, 2023.</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Leasing Activity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three months ended September 30, 2024, Regency executed approximately 1.8 million square feet of comparable new and renewal leases at a blended cash rent spread of +9.3% and a blended straight-lined rent spread of +20.7%.</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trailing twelve months ended September 30, 2024, the Company executed approximately 7.9 million square feet of comparable new and renewal leases at a blended cash rent spread of +9.7% and a blended straight-lined rent spread of +19.2%.</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Capital Allocation and Balance Sheet</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Developments and Redevelopments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September 30, 2024, the Company started development and redevelopment projects with estimated net project costs of approximately $100 million, at the Company’s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quarter, the Company started two new ground-up development projects, the H-E-B anchored Jordan Ranch Market in Houston, TX, and the Safeway anchored Oakley Shops at Laurel Fields in the Bay Area.</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 xml:space="preserve">As of September 30, 2024, Regency’s in-process development and redevelopment projects had estimated net project costs of $618 million at the Company’s share, 47% of which has been incurred to date. </w:t>
      </w:r>
    </w:p>
    <w:p>
      <w:pPr>
        <w:pStyle w:val="TextBody"/>
        <w:bidi w:val="0"/>
        <w:jc w:val="right"/>
        <w:rPr/>
      </w:pPr>
      <w:r>
        <w:rPr/>
        <w:drawing>
          <wp:inline distT="0" distB="0" distL="0" distR="0">
            <wp:extent cx="476250" cy="257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Property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August 30, 2024, the Company acquired East Greenwich Square in Rhode Island for approximately $33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Subsequent to quarter end, on October 17, 2024, the Company acquired University Commons in Round Rock, a suburb of Austin, Texas, for approximately $14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August 21, 2024, the Company disposed of Fenton Marketplace, located in Flint, Michigan, for approximately $12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Subsequent to quarter end, on October 15, 2024, the Company disposed of an office building, located in Greenwich, Connecticut, for approximately $3 million, at Regency's share.</w:t>
      </w:r>
    </w:p>
    <w:p>
      <w:pPr>
        <w:pStyle w:val="TextBody"/>
        <w:bidi w:val="0"/>
        <w:spacing w:before="240" w:after="283"/>
        <w:jc w:val="left"/>
        <w:rPr>
          <w:rFonts w:ascii="Tahoma;sans-serif" w:hAnsi="Tahoma;sans-serif"/>
          <w:i/>
          <w:color w:val="000000"/>
          <w:sz w:val="20"/>
        </w:rPr>
      </w:pPr>
      <w:r>
        <w:rPr>
          <w:rFonts w:ascii="Tahoma;sans-serif" w:hAnsi="Tahoma;sans-serif"/>
          <w:i/>
          <w:color w:val="000000"/>
          <w:sz w:val="20"/>
        </w:rPr>
        <w:t>Balance Sheet</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August 12, 2024, the Company's operating partnership, Regency Centers, L.P. priced a public offering of $325 million of senior unsecured notes due 2035 (the "Notes") under its existing shelf registration filed with the Securities and Exchange Commission. The Notes will mature on January 15, 2035, and were issued at 99.813% of par value with a coupon of 5.100%. Regency used the net proceeds of the offering to reduce the outstanding balance on its line of credit.</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September 30, 2024, Regency had approximately $1.5 billion of capacity under its revolving credit facility.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As of September 30, 2024, Regency’s pro-rata net debt and preferred stock to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was 5.2x.</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2024 Guidance</w:t>
      </w:r>
    </w:p>
    <w:p>
      <w:pPr>
        <w:pStyle w:val="TextBody"/>
        <w:bidi w:val="0"/>
        <w:spacing w:before="120" w:after="120"/>
        <w:jc w:val="left"/>
        <w:rPr>
          <w:rFonts w:ascii="Times New Roman" w:hAnsi="Times New Roman"/>
          <w:sz w:val="20"/>
        </w:rPr>
      </w:pPr>
      <w:r>
        <w:rPr>
          <w:rFonts w:ascii="Tahoma;sans-serif" w:hAnsi="Tahoma;sans-serif"/>
          <w:color w:val="000000"/>
          <w:sz w:val="20"/>
        </w:rPr>
        <w:t xml:space="preserve">Regency Centers is hereby providing updated 2024 guidance, as summarized in the table below. Please refer to the Company’s third quarter 2024 ‘Earnings Presentation’ and ‘Quarterly Supplemental’ for additional detail. All materials are posted on the Company’s website at </w:t>
      </w:r>
      <w:r>
        <w:rPr>
          <w:rFonts w:ascii="Tahoma;sans-serif" w:hAnsi="Tahoma;sans-serif"/>
          <w:sz w:val="20"/>
        </w:rPr>
        <w:t>investors.regencycenters.com.</w:t>
      </w:r>
    </w:p>
    <w:tbl>
      <w:tblPr>
        <w:tblW w:w="8899" w:type="dxa"/>
        <w:jc w:val="left"/>
        <w:tblInd w:w="0" w:type="dxa"/>
        <w:tblLayout w:type="fixed"/>
        <w:tblCellMar>
          <w:top w:w="28" w:type="dxa"/>
          <w:left w:w="28" w:type="dxa"/>
          <w:bottom w:w="28" w:type="dxa"/>
          <w:right w:w="28" w:type="dxa"/>
        </w:tblCellMar>
      </w:tblPr>
      <w:tblGrid>
        <w:gridCol w:w="5431"/>
        <w:gridCol w:w="796"/>
        <w:gridCol w:w="1186"/>
        <w:gridCol w:w="1486"/>
      </w:tblGrid>
      <w:tr>
        <w:trPr/>
        <w:tc>
          <w:tcPr>
            <w:tcW w:w="543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Full Year 2024 Guidance </w:t>
            </w:r>
            <w:r>
              <w:rPr>
                <w:rFonts w:ascii="Tahoma;sans-serif" w:hAnsi="Tahoma;sans-serif"/>
                <w:color w:val="000000"/>
                <w:sz w:val="16"/>
              </w:rPr>
              <w:t>(in thousands, except per share data)</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YTD 2024</w:t>
            </w:r>
          </w:p>
        </w:tc>
        <w:tc>
          <w:tcPr>
            <w:tcW w:w="1186" w:type="dxa"/>
            <w:tcBorders>
              <w:top w:val="single" w:sz="4" w:space="0" w:color="808080"/>
              <w:bottom w:val="single" w:sz="4" w:space="0" w:color="BFBFBF"/>
              <w:right w:val="single" w:sz="4" w:space="0" w:color="808080"/>
            </w:tcBorders>
            <w:shd w:fill="808080" w:val="clear"/>
            <w:tcMar>
              <w:left w:w="0" w:type="dxa"/>
            </w:tcMar>
            <w:vAlign w:val="center"/>
          </w:tcPr>
          <w:p>
            <w:pPr>
              <w:pStyle w:val="TableContents"/>
              <w:bidi w:val="0"/>
              <w:spacing w:before="0" w:after="283"/>
              <w:jc w:val="center"/>
              <w:rPr>
                <w:rFonts w:ascii="Tahoma;sans-serif" w:hAnsi="Tahoma;sans-serif"/>
                <w:b/>
                <w:color w:val="FFFFFF"/>
                <w:sz w:val="16"/>
              </w:rPr>
            </w:pPr>
            <w:r>
              <w:rPr>
                <w:rFonts w:ascii="Tahoma;sans-serif" w:hAnsi="Tahoma;sans-serif"/>
                <w:b/>
                <w:color w:val="FFFFFF"/>
                <w:sz w:val="16"/>
              </w:rPr>
              <w:t>2024 Guidance</w:t>
            </w:r>
          </w:p>
        </w:tc>
        <w:tc>
          <w:tcPr>
            <w:tcW w:w="148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Previous Guidance</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 per diluted share</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$1.66</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$2.13 - $2.15</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$2.02 - $2.06</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 (“Nareit FFO”) per diluted share</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$3.20</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$4.27 - $4.29</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$4.21 - $4.25</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4"/>
              </w:rPr>
              <w:t>Core Operating Earnings per diluted share</w:t>
            </w:r>
            <w:r>
              <w:rPr>
                <w:rFonts w:ascii="Tahoma;sans-serif" w:hAnsi="Tahoma;sans-serif"/>
                <w:color w:val="000000"/>
                <w:sz w:val="11"/>
              </w:rPr>
              <w:t>(1)</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$3.09</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$4.12 - $4.14</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$4.06 - $4.10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Same property NOI growth without termination fees or collection of 2020/2021 reserves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3.4%</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+/- 3.50%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+2.25% to +2.75%</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Non-cash revenues</w:t>
            </w:r>
            <w:r>
              <w:rPr>
                <w:rFonts w:ascii="Tahoma;sans-serif" w:hAnsi="Tahoma;sans-serif"/>
                <w:color w:val="000000"/>
                <w:sz w:val="9"/>
              </w:rPr>
              <w:t>(2)</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$33,613</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$42,000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center"/>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G&amp;A expense, net</w:t>
            </w:r>
            <w:r>
              <w:rPr>
                <w:rFonts w:ascii="Tahoma;sans-serif" w:hAnsi="Tahoma;sans-serif"/>
                <w:color w:val="000000"/>
                <w:sz w:val="9"/>
              </w:rPr>
              <w:t>(3)</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$72,058</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+/-$95,000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$93,000-$95,000</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Interest expense, net and Preferred stock dividends</w:t>
            </w:r>
            <w:r>
              <w:rPr>
                <w:rFonts w:ascii="Tahoma;sans-serif" w:hAnsi="Tahoma;sans-serif"/>
                <w:color w:val="000000"/>
                <w:sz w:val="9"/>
              </w:rPr>
              <w:t>(4)</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$158,433</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+/-$214,000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$213,000-$215,000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Management, transaction and other fees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$19,189</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+/-$26,000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Development and Redevelopment spend</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$158,508</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+/-$215,000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Acquisitions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$78,155</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+/-$92,000</w:t>
            </w:r>
          </w:p>
        </w:tc>
        <w:tc>
          <w:tcPr>
            <w:tcW w:w="1486"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+/-$81,000</w:t>
            </w:r>
          </w:p>
        </w:tc>
      </w:tr>
      <w:tr>
        <w:trPr/>
        <w:tc>
          <w:tcPr>
            <w:tcW w:w="5431" w:type="dxa"/>
            <w:tcBorders/>
            <w:shd w:fill="FFFFFF"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6.6%</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+/- 6.5%</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+/- 6.5%</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Dispositions</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$106,500</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+/-$109,000</w:t>
            </w:r>
          </w:p>
        </w:tc>
        <w:tc>
          <w:tcPr>
            <w:tcW w:w="1486" w:type="dxa"/>
            <w:tcBorders/>
            <w:shd w:fill="F2F2F2"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+/-$125,000</w:t>
            </w:r>
          </w:p>
        </w:tc>
      </w:tr>
      <w:tr>
        <w:trPr/>
        <w:tc>
          <w:tcPr>
            <w:tcW w:w="5431" w:type="dxa"/>
            <w:tcBorders/>
            <w:shd w:fill="F2F2F2"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Share/unit repurchases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Merger-related transition expense</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$7,069</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808080"/>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431" w:type="dxa"/>
            <w:tcBorders/>
            <w:shd w:fill="FFFFFF" w:val="clear"/>
            <w:vAlign w:val="center"/>
          </w:tcPr>
          <w:p>
            <w:pPr>
              <w:pStyle w:val="TableContents"/>
              <w:bidi w:val="0"/>
              <w:spacing w:before="0" w:after="283"/>
              <w:ind w:left="0" w:right="0" w:firstLine="80"/>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18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pPr>
            <w:r>
              <w:rPr/>
              <w:t> </w:t>
            </w:r>
          </w:p>
        </w:tc>
      </w:tr>
    </w:tbl>
    <w:p>
      <w:pPr>
        <w:pStyle w:val="TextBody"/>
        <w:bidi w:val="0"/>
        <w:spacing w:before="180" w:after="283"/>
        <w:jc w:val="left"/>
        <w:rPr>
          <w:rFonts w:ascii="Tahoma;sans-serif" w:hAnsi="Tahoma;sans-serif"/>
          <w:i/>
          <w:color w:val="000000"/>
          <w:sz w:val="14"/>
        </w:rPr>
      </w:pPr>
      <w:r>
        <w:rPr>
          <w:rFonts w:ascii="Tahoma;sans-serif" w:hAnsi="Tahoma;sans-serif"/>
          <w:i/>
          <w:color w:val="000000"/>
          <w:sz w:val="14"/>
        </w:rPr>
        <w:t>Note: With the exception of per share and investment/transaction data, figures above represent 100% of Regency's consolidated entities and its pro-rata share of unconsolidated real estate partnerships.</w:t>
      </w:r>
    </w:p>
    <w:p>
      <w:pPr>
        <w:pStyle w:val="TextBody"/>
        <w:bidi w:val="0"/>
        <w:spacing w:before="120" w:after="283"/>
        <w:jc w:val="left"/>
        <w:rPr>
          <w:rFonts w:ascii="Tahoma" w:hAnsi="Tahoma"/>
          <w:i/>
          <w:color w:val="000000"/>
          <w:sz w:val="14"/>
        </w:rPr>
      </w:pPr>
      <w:r>
        <w:rPr>
          <w:rFonts w:ascii="Tahoma" w:hAnsi="Tahoma"/>
          <w:i/>
          <w:color w:val="000000"/>
          <w:sz w:val="14"/>
        </w:rPr>
        <w:t>(1)</w:t>
      </w:r>
    </w:p>
    <w:p>
      <w:pPr>
        <w:pStyle w:val="TextBody"/>
        <w:bidi w:val="0"/>
        <w:spacing w:before="120" w:after="283"/>
        <w:jc w:val="left"/>
        <w:rPr>
          <w:rFonts w:ascii="Tahoma;sans-serif" w:hAnsi="Tahoma;sans-serif"/>
          <w:i/>
          <w:color w:val="000000"/>
          <w:sz w:val="14"/>
        </w:rPr>
      </w:pPr>
      <w:r>
        <w:rPr>
          <w:rFonts w:ascii="Tahoma;sans-serif" w:hAnsi="Tahoma;sans-serif"/>
          <w:i/>
          <w:color w:val="000000"/>
          <w:sz w:val="14"/>
        </w:rPr>
        <w:t>Core Operating Earnings excludes certain non-cash items, including straight-line rents, above/below market rent amortization, debt and derivative mark-to-market amortization, as well as transaction related income/expenses and debt extinguishment charges.</w:t>
      </w:r>
    </w:p>
    <w:p>
      <w:pPr>
        <w:pStyle w:val="TextBody"/>
        <w:bidi w:val="0"/>
        <w:spacing w:before="60" w:after="283"/>
        <w:jc w:val="left"/>
        <w:rPr>
          <w:rFonts w:ascii="Tahoma" w:hAnsi="Tahoma"/>
          <w:i/>
          <w:color w:val="000000"/>
          <w:sz w:val="14"/>
        </w:rPr>
      </w:pPr>
      <w:r>
        <w:rPr>
          <w:rFonts w:ascii="Tahoma" w:hAnsi="Tahoma"/>
          <w:i/>
          <w:color w:val="000000"/>
          <w:sz w:val="14"/>
        </w:rPr>
        <w:t>(2)</w:t>
      </w:r>
    </w:p>
    <w:p>
      <w:pPr>
        <w:pStyle w:val="TextBody"/>
        <w:bidi w:val="0"/>
        <w:spacing w:before="60" w:after="283"/>
        <w:jc w:val="left"/>
        <w:rPr/>
      </w:pPr>
      <w:r>
        <w:rPr>
          <w:rFonts w:ascii="Tahoma;sans-serif" w:hAnsi="Tahoma;sans-serif"/>
          <w:b/>
          <w:i/>
          <w:color w:val="000000"/>
          <w:sz w:val="14"/>
        </w:rPr>
        <w:t>As of Q3 2024</w:t>
      </w:r>
      <w:r>
        <w:rPr>
          <w:rFonts w:ascii="Tahoma;sans-serif" w:hAnsi="Tahoma;sans-serif"/>
          <w:i/>
          <w:color w:val="000000"/>
          <w:sz w:val="14"/>
        </w:rPr>
        <w:t xml:space="preserve">, includes above and below market rent amortization and straight-line rents, and </w:t>
      </w:r>
      <w:r>
        <w:rPr>
          <w:rFonts w:ascii="Tahoma;sans-serif" w:hAnsi="Tahoma;sans-serif"/>
          <w:b/>
          <w:i/>
          <w:color w:val="000000"/>
          <w:sz w:val="14"/>
          <w:u w:val="single"/>
        </w:rPr>
        <w:t>excludes</w:t>
      </w:r>
      <w:r>
        <w:rPr>
          <w:color w:val="000000"/>
        </w:rPr>
        <w:t xml:space="preserve"> </w:t>
      </w:r>
      <w:r>
        <w:rPr>
          <w:rFonts w:ascii="Tahoma;sans-serif" w:hAnsi="Tahoma;sans-serif"/>
          <w:i/>
          <w:color w:val="000000"/>
          <w:sz w:val="14"/>
        </w:rPr>
        <w:t>debt and derivative mark to market amortization.</w:t>
      </w:r>
    </w:p>
    <w:p>
      <w:pPr>
        <w:pStyle w:val="TextBody"/>
        <w:bidi w:val="0"/>
        <w:spacing w:before="60" w:after="283"/>
        <w:jc w:val="left"/>
        <w:rPr>
          <w:rFonts w:ascii="Tahoma" w:hAnsi="Tahoma"/>
          <w:i/>
          <w:color w:val="000000"/>
          <w:sz w:val="14"/>
        </w:rPr>
      </w:pPr>
      <w:r>
        <w:rPr>
          <w:rFonts w:ascii="Tahoma" w:hAnsi="Tahoma"/>
          <w:i/>
          <w:color w:val="000000"/>
          <w:sz w:val="14"/>
        </w:rPr>
        <w:t>(3)</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Represents 'General &amp; administrative, net' before gains or losses on deferred compensation plan, as reported on supplemental pages 5 and 7 and calculated on a pro rata basis.</w:t>
      </w:r>
    </w:p>
    <w:p>
      <w:pPr>
        <w:pStyle w:val="TextBody"/>
        <w:bidi w:val="0"/>
        <w:spacing w:before="60" w:after="283"/>
        <w:jc w:val="left"/>
        <w:rPr>
          <w:rFonts w:ascii="Tahoma" w:hAnsi="Tahoma"/>
          <w:i/>
          <w:color w:val="000000"/>
          <w:sz w:val="14"/>
        </w:rPr>
      </w:pPr>
      <w:r>
        <w:rPr>
          <w:rFonts w:ascii="Tahoma" w:hAnsi="Tahoma"/>
          <w:i/>
          <w:color w:val="000000"/>
          <w:sz w:val="14"/>
        </w:rPr>
        <w:t>(4)</w:t>
      </w:r>
    </w:p>
    <w:p>
      <w:pPr>
        <w:pStyle w:val="TextBody"/>
        <w:bidi w:val="0"/>
        <w:spacing w:before="60" w:after="283"/>
        <w:jc w:val="left"/>
        <w:rPr/>
      </w:pPr>
      <w:r>
        <w:rPr>
          <w:rFonts w:ascii="Tahoma;sans-serif" w:hAnsi="Tahoma;sans-serif"/>
          <w:b/>
          <w:i/>
          <w:color w:val="000000"/>
          <w:sz w:val="14"/>
        </w:rPr>
        <w:t>As of Q3 2024</w:t>
      </w:r>
      <w:r>
        <w:rPr>
          <w:rFonts w:ascii="Tahoma;sans-serif" w:hAnsi="Tahoma;sans-serif"/>
          <w:i/>
          <w:color w:val="000000"/>
          <w:sz w:val="14"/>
        </w:rPr>
        <w:t xml:space="preserve">, </w:t>
      </w:r>
      <w:r>
        <w:rPr>
          <w:rFonts w:ascii="Tahoma;sans-serif" w:hAnsi="Tahoma;sans-serif"/>
          <w:b/>
          <w:i/>
          <w:color w:val="000000"/>
          <w:sz w:val="14"/>
          <w:u w:val="single"/>
        </w:rPr>
        <w:t>includes</w:t>
      </w:r>
      <w:r>
        <w:rPr>
          <w:color w:val="000000"/>
        </w:rPr>
        <w:t xml:space="preserve"> </w:t>
      </w:r>
      <w:r>
        <w:rPr>
          <w:rFonts w:ascii="Tahoma;sans-serif" w:hAnsi="Tahoma;sans-serif"/>
          <w:i/>
          <w:color w:val="000000"/>
          <w:sz w:val="14"/>
        </w:rPr>
        <w:t>debt and derivative mark to market amortization, and is net of interest income.</w:t>
      </w:r>
    </w:p>
    <w:p>
      <w:pPr>
        <w:pStyle w:val="TextBody"/>
        <w:bidi w:val="0"/>
        <w:jc w:val="right"/>
        <w:rPr/>
      </w:pPr>
      <w:r>
        <w:rPr/>
        <w:drawing>
          <wp:inline distT="0" distB="0" distL="0" distR="0">
            <wp:extent cx="476250" cy="257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iv</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Conference Call Information</w:t>
      </w:r>
    </w:p>
    <w:p>
      <w:pPr>
        <w:pStyle w:val="TextBody"/>
        <w:bidi w:val="0"/>
        <w:spacing w:before="120" w:after="283"/>
        <w:jc w:val="left"/>
        <w:rPr>
          <w:rFonts w:ascii="Times New Roman" w:hAnsi="Times New Roman"/>
          <w:sz w:val="20"/>
        </w:rPr>
      </w:pPr>
      <w:r>
        <w:rPr>
          <w:rFonts w:ascii="Tahoma;sans-serif" w:hAnsi="Tahoma;sans-serif"/>
          <w:color w:val="000000"/>
          <w:sz w:val="20"/>
        </w:rPr>
        <w:t>To discuss Regency’s third quarter results and provide further business updates, management will host a conference call on Tuesday, October 29</w:t>
      </w:r>
      <w:r>
        <w:rPr>
          <w:rFonts w:ascii="Tahoma;sans-serif" w:hAnsi="Tahoma;sans-serif"/>
          <w:color w:val="000000"/>
          <w:sz w:val="13"/>
        </w:rPr>
        <w:t>th</w:t>
      </w:r>
      <w:r>
        <w:rPr>
          <w:rFonts w:ascii="Times New Roman" w:hAnsi="Times New Roman"/>
          <w:color w:val="000000"/>
          <w:sz w:val="20"/>
        </w:rPr>
        <w:t xml:space="preserve"> </w:t>
      </w:r>
      <w:r>
        <w:rPr>
          <w:rFonts w:ascii="Tahoma;sans-serif" w:hAnsi="Tahoma;sans-serif"/>
          <w:color w:val="000000"/>
          <w:sz w:val="20"/>
        </w:rPr>
        <w:t>at 11:00 a.m. ET. Dial-in and webcast information is below.</w:t>
      </w:r>
    </w:p>
    <w:p>
      <w:pPr>
        <w:pStyle w:val="TextBody"/>
        <w:bidi w:val="0"/>
        <w:spacing w:before="240" w:after="283"/>
        <w:jc w:val="left"/>
        <w:rPr>
          <w:rFonts w:ascii="Tahoma;sans-serif" w:hAnsi="Tahoma;sans-serif"/>
          <w:b/>
          <w:color w:val="000000"/>
          <w:sz w:val="20"/>
          <w:u w:val="single"/>
        </w:rPr>
      </w:pPr>
      <w:r>
        <w:rPr>
          <w:rFonts w:ascii="Tahoma;sans-serif" w:hAnsi="Tahoma;sans-serif"/>
          <w:b/>
          <w:color w:val="000000"/>
          <w:sz w:val="20"/>
          <w:u w:val="single"/>
        </w:rPr>
        <w:t>Third Quarter 2024 Earnings Conference Call</w:t>
      </w:r>
    </w:p>
    <w:tbl>
      <w:tblPr>
        <w:tblW w:w="3917" w:type="dxa"/>
        <w:jc w:val="left"/>
        <w:tblInd w:w="0" w:type="dxa"/>
        <w:tblLayout w:type="fixed"/>
        <w:tblCellMar>
          <w:top w:w="28" w:type="dxa"/>
          <w:left w:w="28" w:type="dxa"/>
          <w:bottom w:w="28" w:type="dxa"/>
          <w:right w:w="28" w:type="dxa"/>
        </w:tblCellMar>
      </w:tblPr>
      <w:tblGrid>
        <w:gridCol w:w="931"/>
        <w:gridCol w:w="2986"/>
      </w:tblGrid>
      <w:tr>
        <w:trPr/>
        <w:tc>
          <w:tcPr>
            <w:tcW w:w="93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Date:</w:t>
            </w:r>
          </w:p>
        </w:tc>
        <w:tc>
          <w:tcPr>
            <w:tcW w:w="2986"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Tuesday, October 29, 2024</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Time:</w:t>
            </w:r>
          </w:p>
        </w:tc>
        <w:tc>
          <w:tcPr>
            <w:tcW w:w="2986"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11:00 a.m. ET</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Dial#:</w:t>
            </w:r>
          </w:p>
        </w:tc>
        <w:tc>
          <w:tcPr>
            <w:tcW w:w="2986"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877-407-0789 or 201-689-8562</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Webcast:</w:t>
            </w:r>
          </w:p>
        </w:tc>
        <w:tc>
          <w:tcPr>
            <w:tcW w:w="2986"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sz w:val="20"/>
              </w:rPr>
            </w:pPr>
            <w:r>
              <w:rPr>
                <w:rFonts w:ascii="Tahoma;sans-serif" w:hAnsi="Tahoma;sans-serif"/>
                <w:sz w:val="20"/>
              </w:rPr>
              <w:t>Third Quarter 2024 Webcast Link</w:t>
            </w:r>
          </w:p>
        </w:tc>
      </w:tr>
    </w:tbl>
    <w:p>
      <w:pPr>
        <w:pStyle w:val="TextBody"/>
        <w:bidi w:val="0"/>
        <w:spacing w:before="240" w:after="283"/>
        <w:jc w:val="left"/>
        <w:rPr>
          <w:rFonts w:ascii="Times New Roman" w:hAnsi="Times New Roman"/>
          <w:sz w:val="20"/>
        </w:rPr>
      </w:pPr>
      <w:r>
        <w:rPr>
          <w:rFonts w:ascii="Tahoma;sans-serif" w:hAnsi="Tahoma;sans-serif"/>
          <w:b/>
          <w:color w:val="000000"/>
          <w:sz w:val="20"/>
          <w:u w:val="single"/>
        </w:rPr>
        <w:t xml:space="preserve">Replay: </w:t>
      </w:r>
      <w:r>
        <w:rPr>
          <w:rFonts w:ascii="Tahoma;sans-serif" w:hAnsi="Tahoma;sans-serif"/>
          <w:color w:val="000000"/>
          <w:sz w:val="20"/>
        </w:rPr>
        <w:t xml:space="preserve">Webcast Archive – </w:t>
      </w:r>
      <w:r>
        <w:rPr>
          <w:rFonts w:ascii="Tahoma;sans-serif" w:hAnsi="Tahoma;sans-serif"/>
          <w:sz w:val="20"/>
        </w:rPr>
        <w:t>Investor Relations</w:t>
      </w:r>
      <w:r>
        <w:rPr>
          <w:rFonts w:ascii="Times New Roman" w:hAnsi="Times New Roman"/>
          <w:color w:val="000000"/>
          <w:sz w:val="20"/>
        </w:rPr>
        <w:t xml:space="preserve"> </w:t>
      </w:r>
      <w:r>
        <w:rPr>
          <w:rFonts w:ascii="Tahoma;sans-serif" w:hAnsi="Tahoma;sans-serif"/>
          <w:color w:val="000000"/>
          <w:sz w:val="20"/>
        </w:rPr>
        <w:t xml:space="preserve">page under </w:t>
      </w:r>
      <w:r>
        <w:rPr>
          <w:rFonts w:ascii="Tahoma;sans-serif" w:hAnsi="Tahoma;sans-serif"/>
          <w:sz w:val="20"/>
        </w:rPr>
        <w:t>Events &amp; Webcasts</w:t>
      </w:r>
    </w:p>
    <w:p>
      <w:pPr>
        <w:pStyle w:val="TextBody"/>
        <w:bidi w:val="0"/>
        <w:jc w:val="right"/>
        <w:rPr/>
      </w:pPr>
      <w:r>
        <w:rPr/>
        <w:drawing>
          <wp:inline distT="0" distB="0" distL="0" distR="0">
            <wp:extent cx="476250" cy="257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360" w:after="283"/>
        <w:jc w:val="center"/>
        <w:rPr>
          <w:rFonts w:ascii="Tahoma;sans-serif" w:hAnsi="Tahoma;sans-serif"/>
          <w:b/>
          <w:color w:val="000000"/>
          <w:sz w:val="20"/>
        </w:rPr>
      </w:pPr>
      <w:r>
        <w:rPr>
          <w:rFonts w:ascii="Tahoma;sans-serif" w:hAnsi="Tahoma;sans-serif"/>
          <w:b/>
          <w:color w:val="000000"/>
          <w:sz w:val="20"/>
        </w:rPr>
        <w:t>About Regency Centers Corporation (Nasdaq: REG)</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w:t>
      </w:r>
      <w:r>
        <w:rPr>
          <w:rFonts w:ascii="Tahoma;sans-serif" w:hAnsi="Tahoma;sans-serif"/>
          <w:sz w:val="20"/>
        </w:rPr>
        <w:t>RegencyCenters.com.</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Reconciliation of Net Income Attributable to Common Shareholders to Nareit FFO, Core Operating Earnings, and Adjusted Funds from Operations – </w:t>
      </w:r>
      <w:r>
        <w:rPr>
          <w:rFonts w:ascii="Tahoma;sans-serif" w:hAnsi="Tahoma;sans-serif"/>
          <w:b/>
          <w:i/>
          <w:color w:val="000000"/>
          <w:sz w:val="20"/>
        </w:rPr>
        <w:t>Actual (in thousands, except per share amounts)</w:t>
      </w:r>
    </w:p>
    <w:p>
      <w:pPr>
        <w:pStyle w:val="TextBody"/>
        <w:bidi w:val="0"/>
        <w:jc w:val="left"/>
        <w:rPr/>
      </w:pPr>
      <w:r>
        <w:rPr/>
        <w:t> </w:t>
      </w:r>
    </w:p>
    <w:tbl>
      <w:tblPr>
        <w:tblW w:w="9811" w:type="dxa"/>
        <w:jc w:val="left"/>
        <w:tblInd w:w="0" w:type="dxa"/>
        <w:tblLayout w:type="fixed"/>
        <w:tblCellMar>
          <w:top w:w="28" w:type="dxa"/>
          <w:left w:w="28" w:type="dxa"/>
          <w:bottom w:w="28" w:type="dxa"/>
          <w:right w:w="28" w:type="dxa"/>
        </w:tblCellMar>
      </w:tblPr>
      <w:tblGrid>
        <w:gridCol w:w="5071"/>
        <w:gridCol w:w="181"/>
        <w:gridCol w:w="601"/>
        <w:gridCol w:w="151"/>
        <w:gridCol w:w="146"/>
        <w:gridCol w:w="146"/>
        <w:gridCol w:w="601"/>
        <w:gridCol w:w="151"/>
        <w:gridCol w:w="146"/>
        <w:gridCol w:w="181"/>
        <w:gridCol w:w="601"/>
        <w:gridCol w:w="151"/>
        <w:gridCol w:w="146"/>
        <w:gridCol w:w="146"/>
        <w:gridCol w:w="601"/>
        <w:gridCol w:w="791"/>
      </w:tblGrid>
      <w:tr>
        <w:trPr/>
        <w:tc>
          <w:tcPr>
            <w:tcW w:w="50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September 30, 2024 and 2023</w:t>
            </w:r>
          </w:p>
        </w:tc>
        <w:tc>
          <w:tcPr>
            <w:tcW w:w="1826" w:type="dxa"/>
            <w:gridSpan w:val="6"/>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6" w:type="dxa"/>
            <w:gridSpan w:val="6"/>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791" w:type="dxa"/>
            <w:tcBorders/>
            <w:shd w:fill="FFFFFF" w:val="clear"/>
            <w:vAlign w:val="center"/>
          </w:tcPr>
          <w:p>
            <w:pPr>
              <w:pStyle w:val="TableContents"/>
              <w:bidi w:val="0"/>
              <w:spacing w:before="0" w:after="283"/>
              <w:jc w:val="center"/>
              <w:rPr/>
            </w:pPr>
            <w:r>
              <w:rPr/>
              <w:t> </w:t>
            </w:r>
          </w:p>
        </w:tc>
      </w:tr>
      <w:tr>
        <w:trPr/>
        <w:tc>
          <w:tcPr>
            <w:tcW w:w="5071"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791" w:type="dxa"/>
            <w:tcBorders/>
            <w:shd w:fill="FFFFFF" w:val="clear"/>
            <w:vAlign w:val="center"/>
          </w:tcPr>
          <w:p>
            <w:pPr>
              <w:pStyle w:val="TableContents"/>
              <w:bidi w:val="0"/>
              <w:spacing w:before="0" w:after="283"/>
              <w:jc w:val="center"/>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Net Income Attributable to Common Shareholders to Nareit FFO:</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98,056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89,076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303,672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273,139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Nareit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 (excluding FF&amp;E)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107,801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94,011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319,765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272,551</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Gain on sale of real estate, net of tax</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(11,365</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(33,853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(1,132</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Exchangeable operating partnership units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1,490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Nareit Funds From Operations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195,085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182,780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591,420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546,048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FFO per share (diluted)</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3.13</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182,872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179,311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184,548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174,621</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Nareit FFO to Core Operating Earnings:</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195,085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182,780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591,420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546,048</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Core Operating Earnings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Not Comparable Items</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Merger transition costs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1,511</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Loss on early extinguishment of debt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Certain Non-Cash Items</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Straight-line rent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(5,886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(3,142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(16,907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(7,315</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Uncollectible straight-line rent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(2,298</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Above/below market rent amortization, net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(5,370</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(7,919</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(17,910</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(22,138</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Debt and derivative mark-to-market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Core Operating Earnings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187,763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173,989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570,084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516,475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71"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 per share (diluted)</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0.97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2.96</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182,872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179,311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184,548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174,621</w:t>
            </w:r>
          </w:p>
        </w:tc>
        <w:tc>
          <w:tcPr>
            <w:tcW w:w="791" w:type="dxa"/>
            <w:tcBorders/>
            <w:shd w:fill="FFFFFF" w:val="clear"/>
            <w:vAlign w:val="center"/>
          </w:tcPr>
          <w:p>
            <w:pPr>
              <w:pStyle w:val="TableContents"/>
              <w:bidi w:val="0"/>
              <w:spacing w:before="0" w:after="283"/>
              <w:ind w:left="0" w:right="0" w:firstLine="600"/>
              <w:jc w:val="left"/>
              <w:rPr/>
            </w:pPr>
            <w:r>
              <w:rPr/>
              <w:t> </w:t>
            </w:r>
          </w:p>
        </w:tc>
      </w:tr>
      <w:tr>
        <w:trPr/>
        <w:tc>
          <w:tcPr>
            <w:tcW w:w="5071"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For Diluted Earnings per Share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181,772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178,231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183,448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173,711</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For Diluted FFO and Core Operating Earnings per Share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182,872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179,311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184,548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174,621</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Core Operating Earnings to Adjusted Funds from Operations:</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187,763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173,989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570,084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516,475</w:t>
            </w:r>
          </w:p>
        </w:tc>
        <w:tc>
          <w:tcPr>
            <w:tcW w:w="791" w:type="dxa"/>
            <w:tcBorders/>
            <w:shd w:fill="FFFFFF" w:val="clear"/>
            <w:vAlign w:val="center"/>
          </w:tcPr>
          <w:p>
            <w:pPr>
              <w:pStyle w:val="TableContents"/>
              <w:bidi w:val="0"/>
              <w:spacing w:before="0" w:after="283"/>
              <w:ind w:left="0" w:right="0" w:firstLine="100"/>
              <w:jc w:val="left"/>
              <w:rPr/>
            </w:pPr>
            <w:r>
              <w:rPr/>
              <w:t> </w:t>
            </w:r>
          </w:p>
        </w:tc>
      </w:tr>
      <w:tr>
        <w:trPr/>
        <w:tc>
          <w:tcPr>
            <w:tcW w:w="5071" w:type="dxa"/>
            <w:tcBorders/>
            <w:shd w:fill="FFFFFF" w:val="cle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Adjustments to reconcile to Adjusted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capital expenditures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(36,430</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(26,638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(91,168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(65,183</w:t>
            </w:r>
          </w:p>
        </w:tc>
        <w:tc>
          <w:tcPr>
            <w:tcW w:w="79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cost and derivative adjustments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5,049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0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Stock-based compensation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14,078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13,123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Adjusted Funds from Operations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158,216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153,240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499,263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469,464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 w:hAnsi="Tahoma"/>
          <w:color w:val="000000"/>
          <w:sz w:val="16"/>
        </w:rPr>
      </w:pPr>
      <w:r>
        <w:rPr>
          <w:rFonts w:ascii="Tahoma" w:hAnsi="Tahoma"/>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Regency's consolidated entities and its pro-rata share of unconsolidated real estate partnerships, net of pro-rata share attributable to noncontrolling interests.</w:t>
      </w:r>
    </w:p>
    <w:p>
      <w:pPr>
        <w:pStyle w:val="TextBody"/>
        <w:bidi w:val="0"/>
        <w:jc w:val="left"/>
        <w:rPr/>
      </w:pPr>
      <w:r>
        <w:rPr/>
        <w:t> </w:t>
      </w:r>
    </w:p>
    <w:p>
      <w:pPr>
        <w:pStyle w:val="TextBody"/>
        <w:bidi w:val="0"/>
        <w:jc w:val="right"/>
        <w:rPr/>
      </w:pPr>
      <w:r>
        <w:rPr/>
        <w:drawing>
          <wp:inline distT="0" distB="0" distL="0" distR="0">
            <wp:extent cx="476250" cy="257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left"/>
        <w:rPr>
          <w:rFonts w:ascii="Times New Roman" w:hAnsi="Times New Roman"/>
          <w:sz w:val="20"/>
        </w:rPr>
      </w:pPr>
      <w:r>
        <w:rPr>
          <w:rFonts w:ascii="Tahoma;sans-serif" w:hAnsi="Tahoma;sans-serif"/>
          <w:b/>
          <w:color w:val="000000"/>
          <w:sz w:val="20"/>
        </w:rPr>
        <w:t xml:space="preserve">Reconciliation of Net Income Attributable to Common Shareholders to Pro-Rata Same Property NOI - </w:t>
      </w:r>
      <w:r>
        <w:rPr>
          <w:rFonts w:ascii="Tahoma;sans-serif" w:hAnsi="Tahoma;sans-serif"/>
          <w:b/>
          <w:i/>
          <w:color w:val="000000"/>
          <w:sz w:val="20"/>
        </w:rPr>
        <w:t>Actual (in thousands)</w:t>
      </w:r>
    </w:p>
    <w:p>
      <w:pPr>
        <w:pStyle w:val="TextBody"/>
        <w:bidi w:val="0"/>
        <w:jc w:val="left"/>
        <w:rPr/>
      </w:pPr>
      <w:r>
        <w:rPr/>
        <w:t> </w:t>
      </w:r>
    </w:p>
    <w:tbl>
      <w:tblPr>
        <w:tblW w:w="8804" w:type="dxa"/>
        <w:jc w:val="left"/>
        <w:tblInd w:w="0" w:type="dxa"/>
        <w:tblLayout w:type="fixed"/>
        <w:tblCellMar>
          <w:top w:w="28" w:type="dxa"/>
          <w:left w:w="28" w:type="dxa"/>
          <w:bottom w:w="28" w:type="dxa"/>
          <w:right w:w="28" w:type="dxa"/>
        </w:tblCellMar>
      </w:tblPr>
      <w:tblGrid>
        <w:gridCol w:w="5486"/>
        <w:gridCol w:w="706"/>
        <w:gridCol w:w="644"/>
        <w:gridCol w:w="146"/>
        <w:gridCol w:w="676"/>
        <w:gridCol w:w="1146"/>
      </w:tblGrid>
      <w:tr>
        <w:trPr/>
        <w:tc>
          <w:tcPr>
            <w:tcW w:w="548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5486"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September 30, 2024 and 2023</w:t>
            </w:r>
          </w:p>
        </w:tc>
        <w:tc>
          <w:tcPr>
            <w:tcW w:w="1350"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46" w:type="dxa"/>
            <w:tcBorders/>
            <w:shd w:fill="FFFFFF" w:val="clear"/>
            <w:vAlign w:val="center"/>
          </w:tcPr>
          <w:p>
            <w:pPr>
              <w:pStyle w:val="TableContents"/>
              <w:bidi w:val="0"/>
              <w:spacing w:before="0" w:after="283"/>
              <w:jc w:val="left"/>
              <w:rPr/>
            </w:pPr>
            <w:r>
              <w:rPr/>
              <w:t> </w:t>
            </w:r>
          </w:p>
        </w:tc>
        <w:tc>
          <w:tcPr>
            <w:tcW w:w="182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r>
      <w:tr>
        <w:trPr/>
        <w:tc>
          <w:tcPr>
            <w:tcW w:w="5486"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644"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146"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r>
      <w:tr>
        <w:trPr/>
        <w:tc>
          <w:tcPr>
            <w:tcW w:w="5486"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pPr>
            <w:r>
              <w:rPr/>
              <w:t> </w:t>
            </w:r>
          </w:p>
        </w:tc>
        <w:tc>
          <w:tcPr>
            <w:tcW w:w="1146" w:type="dxa"/>
            <w:tcBorders/>
            <w:shd w:fill="FFFFFF" w:val="clear"/>
            <w:vAlign w:val="center"/>
          </w:tcPr>
          <w:p>
            <w:pPr>
              <w:pStyle w:val="TableContents"/>
              <w:bidi w:val="0"/>
              <w:spacing w:before="0" w:after="283"/>
              <w:jc w:val="center"/>
              <w:rPr/>
            </w:pPr>
            <w:r>
              <w:rPr/>
              <w:t> </w:t>
            </w:r>
          </w:p>
        </w:tc>
      </w:tr>
      <w:tr>
        <w:trPr/>
        <w:tc>
          <w:tcPr>
            <w:tcW w:w="548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$98,056</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89,076</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$303,672</w:t>
            </w:r>
          </w:p>
        </w:tc>
        <w:tc>
          <w:tcPr>
            <w:tcW w:w="1146"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273,139</w:t>
            </w:r>
          </w:p>
        </w:tc>
      </w:tr>
      <w:tr>
        <w:trPr/>
        <w:tc>
          <w:tcPr>
            <w:tcW w:w="5486"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Less:</w:t>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Management, transaction, and other fees</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(6,765)</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(7,079)</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(19,896)</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(20,223)</w:t>
            </w:r>
          </w:p>
        </w:tc>
      </w:tr>
      <w:tr>
        <w:trPr/>
        <w:tc>
          <w:tcPr>
            <w:tcW w:w="5486" w:type="dxa"/>
            <w:tcBorders/>
            <w:shd w:fill="FFFFFF" w:val="cle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Other </w:t>
            </w:r>
            <w:r>
              <w:rPr>
                <w:rFonts w:ascii="Tahoma;sans-serif" w:hAnsi="Tahoma;sans-serif"/>
                <w:color w:val="000000"/>
                <w:sz w:val="9"/>
              </w:rPr>
              <w:t>(1)</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(12,115)</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(12,016)</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(37,428)</w:t>
            </w:r>
          </w:p>
        </w:tc>
        <w:tc>
          <w:tcPr>
            <w:tcW w:w="1146" w:type="dxa"/>
            <w:tcBorders/>
            <w:shd w:fill="FFFFFF" w:val="clear"/>
            <w:vAlign w:val="center"/>
          </w:tcPr>
          <w:p>
            <w:pPr>
              <w:pStyle w:val="TableContents"/>
              <w:bidi w:val="0"/>
              <w:spacing w:before="0" w:after="283"/>
              <w:ind w:left="0" w:right="0" w:firstLine="100"/>
              <w:jc w:val="right"/>
              <w:rPr>
                <w:rFonts w:ascii="Tahoma;sans-serif" w:hAnsi="Tahoma;sans-serif"/>
                <w:color w:val="000000"/>
                <w:sz w:val="14"/>
              </w:rPr>
            </w:pPr>
            <w:r>
              <w:rPr>
                <w:rFonts w:ascii="Tahoma;sans-serif" w:hAnsi="Tahoma;sans-serif"/>
                <w:color w:val="000000"/>
                <w:sz w:val="14"/>
              </w:rPr>
              <w:t>(34,317)</w:t>
            </w:r>
          </w:p>
        </w:tc>
      </w:tr>
      <w:tr>
        <w:trPr/>
        <w:tc>
          <w:tcPr>
            <w:tcW w:w="5486" w:type="dxa"/>
            <w:tcBorders/>
            <w:shd w:fill="FFFFFF" w:val="clear"/>
            <w:vAlign w:val="center"/>
          </w:tcPr>
          <w:p>
            <w:pPr>
              <w:pStyle w:val="TableContents"/>
              <w:bidi w:val="0"/>
              <w:spacing w:before="0" w:after="283"/>
              <w:ind w:left="0" w:right="0" w:firstLine="100"/>
              <w:jc w:val="left"/>
              <w:rPr>
                <w:rFonts w:ascii="Tahoma;sans-serif" w:hAnsi="Tahoma;sans-serif"/>
                <w:color w:val="000000"/>
                <w:sz w:val="14"/>
              </w:rPr>
            </w:pPr>
            <w:r>
              <w:rPr>
                <w:rFonts w:ascii="Tahoma;sans-serif" w:hAnsi="Tahoma;sans-serif"/>
                <w:color w:val="000000"/>
                <w:sz w:val="14"/>
              </w:rPr>
              <w:t>Plus:</w:t>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100,955</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87,505</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299,508</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253,373</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General and administrative</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25,073</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20,903</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75,443</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71,248</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operating expense</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3,654</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3,533</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9,363</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4,718</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expense, net</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34,290</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39,643</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94,898</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109,192</w:t>
            </w:r>
          </w:p>
        </w:tc>
      </w:tr>
      <w:tr>
        <w:trPr/>
        <w:tc>
          <w:tcPr>
            <w:tcW w:w="5486" w:type="dxa"/>
            <w:tcBorders/>
            <w:shd w:fill="FFFFFF" w:val="cle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Equity in income of investments in real estate partnerships excluded from NOI </w:t>
            </w:r>
            <w:r>
              <w:rPr>
                <w:rFonts w:ascii="Tahoma;sans-serif" w:hAnsi="Tahoma;sans-serif"/>
                <w:color w:val="000000"/>
                <w:sz w:val="9"/>
              </w:rPr>
              <w:t>(2)</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12,492</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11,668</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39,439</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35,266</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Net income attributable to noncontrolling interests</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1,453</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7,252</w:t>
            </w:r>
          </w:p>
        </w:tc>
        <w:tc>
          <w:tcPr>
            <w:tcW w:w="114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4,050</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Preferred stock dividends</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10,239</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1,644</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NOI</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261,160</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236,330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782,490</w:t>
            </w:r>
          </w:p>
        </w:tc>
        <w:tc>
          <w:tcPr>
            <w:tcW w:w="114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698,090</w:t>
            </w:r>
          </w:p>
        </w:tc>
      </w:tr>
      <w:tr>
        <w:trPr/>
        <w:tc>
          <w:tcPr>
            <w:tcW w:w="548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100"/>
              <w:jc w:val="left"/>
              <w:rPr/>
            </w:pPr>
            <w:r>
              <w:rPr/>
              <w:t> </w:t>
            </w:r>
          </w:p>
        </w:tc>
      </w:tr>
      <w:tr>
        <w:trPr/>
        <w:tc>
          <w:tcPr>
            <w:tcW w:w="5486" w:type="dxa"/>
            <w:tcBorders/>
            <w:shd w:fill="FFFFFF" w:val="cle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Less non-same property NOI </w:t>
            </w:r>
            <w:r>
              <w:rPr>
                <w:rFonts w:ascii="Tahoma;sans-serif" w:hAnsi="Tahoma;sans-serif"/>
                <w:color w:val="000000"/>
                <w:sz w:val="9"/>
              </w:rPr>
              <w:t>(3)</w:t>
            </w:r>
          </w:p>
        </w:tc>
        <w:tc>
          <w:tcPr>
            <w:tcW w:w="70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(25,572)</w:t>
            </w:r>
          </w:p>
        </w:tc>
        <w:tc>
          <w:tcPr>
            <w:tcW w:w="644"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(10,331)</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(79,675)</w:t>
            </w:r>
          </w:p>
        </w:tc>
        <w:tc>
          <w:tcPr>
            <w:tcW w:w="114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(11,427)</w:t>
            </w:r>
          </w:p>
        </w:tc>
      </w:tr>
      <w:tr>
        <w:trPr/>
        <w:tc>
          <w:tcPr>
            <w:tcW w:w="548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$235,588</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$702,815</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686,663</w:t>
            </w:r>
          </w:p>
        </w:tc>
      </w:tr>
      <w:tr>
        <w:trPr/>
        <w:tc>
          <w:tcPr>
            <w:tcW w:w="5486" w:type="dxa"/>
            <w:tcBorders/>
            <w:shd w:fill="FFFFFF" w:val="cle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70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4.2%</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2.4%</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Termination Fees</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$234,952</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224,962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$699,621</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680,222</w:t>
            </w:r>
          </w:p>
        </w:tc>
      </w:tr>
      <w:tr>
        <w:trPr/>
        <w:tc>
          <w:tcPr>
            <w:tcW w:w="5486" w:type="dxa"/>
            <w:tcBorders/>
            <w:shd w:fill="FFFFFF" w:val="cle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70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4.4%</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2.9%</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Termination Fees or Redevelopments</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$199,650</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192,491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$594,890</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582,505</w:t>
            </w:r>
          </w:p>
        </w:tc>
      </w:tr>
      <w:tr>
        <w:trPr/>
        <w:tc>
          <w:tcPr>
            <w:tcW w:w="5486" w:type="dxa"/>
            <w:tcBorders/>
            <w:shd w:fill="FFFFFF" w:val="cle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70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3.7%</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2.1%</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400"/>
              <w:jc w:val="left"/>
              <w:rPr/>
            </w:pPr>
            <w:r>
              <w:rPr/>
              <w:t> </w:t>
            </w:r>
          </w:p>
        </w:tc>
      </w:tr>
      <w:tr>
        <w:trPr/>
        <w:tc>
          <w:tcPr>
            <w:tcW w:w="5486"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Termination Fees or Collection of 2020/2021 Reserves</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$234,952</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223,913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$699,621</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676,486</w:t>
            </w:r>
          </w:p>
        </w:tc>
      </w:tr>
      <w:tr>
        <w:trPr/>
        <w:tc>
          <w:tcPr>
            <w:tcW w:w="5486" w:type="dxa"/>
            <w:tcBorders/>
            <w:shd w:fill="FFFFFF" w:val="cle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70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4.9%</w:t>
            </w:r>
          </w:p>
        </w:tc>
        <w:tc>
          <w:tcPr>
            <w:tcW w:w="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3.4%</w:t>
            </w:r>
          </w:p>
        </w:tc>
        <w:tc>
          <w:tcPr>
            <w:tcW w:w="1146" w:type="dxa"/>
            <w:tcBorders/>
            <w:shd w:fill="FFFFFF" w:val="clear"/>
            <w:vAlign w:val="center"/>
          </w:tcPr>
          <w:p>
            <w:pPr>
              <w:pStyle w:val="TableContents"/>
              <w:bidi w:val="0"/>
              <w:spacing w:before="0" w:after="283"/>
              <w:jc w:val="left"/>
              <w:rPr/>
            </w:pPr>
            <w:r>
              <w:rPr/>
              <w:t> </w:t>
            </w:r>
          </w:p>
        </w:tc>
      </w:tr>
    </w:tbl>
    <w:p>
      <w:pPr>
        <w:pStyle w:val="TextBody"/>
        <w:bidi w:val="0"/>
        <w:spacing w:before="60" w:after="283"/>
        <w:jc w:val="left"/>
        <w:rPr>
          <w:rFonts w:ascii="Tahoma" w:hAnsi="Tahoma"/>
          <w:color w:val="000000"/>
          <w:sz w:val="16"/>
        </w:rPr>
      </w:pPr>
      <w:r>
        <w:rPr>
          <w:rFonts w:ascii="Tahoma" w:hAnsi="Tahoma"/>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straight-line rental income and expense, net of reserves, above and below market rent amortization, other fees, and noncontrolling interests.</w:t>
      </w:r>
    </w:p>
    <w:p>
      <w:pPr>
        <w:pStyle w:val="TextBody"/>
        <w:bidi w:val="0"/>
        <w:spacing w:before="60" w:after="283"/>
        <w:jc w:val="left"/>
        <w:rPr>
          <w:rFonts w:ascii="Tahoma" w:hAnsi="Tahoma"/>
          <w:color w:val="000000"/>
          <w:sz w:val="16"/>
        </w:rPr>
      </w:pPr>
      <w:r>
        <w:rPr>
          <w:rFonts w:ascii="Tahoma" w:hAnsi="Tahoma"/>
          <w:color w:val="000000"/>
          <w:sz w:val="16"/>
        </w:rPr>
        <w:t>(2)</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non-NOI expenses incurred at our unconsolidated real estate partnerships, such as, but not limited to, straight-line rental income, above and below market rent amortization, depreciation and amortization, interest expense, and real estate gains and impairments.</w:t>
      </w:r>
    </w:p>
    <w:p>
      <w:pPr>
        <w:pStyle w:val="TextBody"/>
        <w:bidi w:val="0"/>
        <w:spacing w:before="60" w:after="283"/>
        <w:jc w:val="left"/>
        <w:rPr>
          <w:rFonts w:ascii="Tahoma" w:hAnsi="Tahoma"/>
          <w:color w:val="000000"/>
          <w:sz w:val="16"/>
        </w:rPr>
      </w:pPr>
      <w:r>
        <w:rPr>
          <w:rFonts w:ascii="Tahoma" w:hAnsi="Tahoma"/>
          <w:color w:val="000000"/>
          <w:sz w:val="16"/>
        </w:rPr>
        <w:t>(3)</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revenues and expenses attributable to Non-Same Property, Projects in Development, corporate activities, and noncontrolling interests.</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Same Property NOI is a key non-GAAP measure used by management in evaluating the operating performance of Regency’s properties. The Company provides a reconciliation of Net Income Attributable to Common Shareholders to pro-rata Same Property NOI.</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Reported results are preliminary and not final until the filing of the Company’s Form 10-Q with the SEC and, therefore, remain subject to adjustment.</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The Company has published forward-looking statements and additional financial information in its third quarter 2024 supplemental package that may help investors estimate earnings. A copy of the Company’s third quarter 2024 supplemental package will be available on the Company's website at </w:t>
      </w:r>
      <w:r>
        <w:rPr>
          <w:rFonts w:ascii="Tahoma;sans-serif" w:hAnsi="Tahoma;sans-serif"/>
          <w:sz w:val="20"/>
        </w:rPr>
        <w:t>investors.regencycenters.com</w:t>
      </w:r>
      <w:r>
        <w:rPr>
          <w:rFonts w:ascii="Times New Roman" w:hAnsi="Times New Roman"/>
          <w:color w:val="000000"/>
          <w:sz w:val="20"/>
        </w:rPr>
        <w:t xml:space="preserve"> </w:t>
      </w:r>
      <w:r>
        <w:rPr>
          <w:rFonts w:ascii="Tahoma;sans-serif" w:hAnsi="Tahoma;sans-serif"/>
          <w:color w:val="000000"/>
          <w:sz w:val="20"/>
        </w:rPr>
        <w:t>or by written request to: Investor Relations, Regency Centers Corporation, One Independent Drive, Suite 114, Jacksonville, Florida, 32202. The supplemental package contains more detailed financial and property results including financial statements, an outstanding debt summary, acquisition and development activity, investments in partnerships, information pertaining to securities issued other than common stock, property details, a significant tenant rent report and a lease expiration table in addition to earnings and valuation guidance assumptions. The information provided in the supplemental package is unaudited and includes non-GAAP measures, and there can be no assurance that the information will not vary from the final information in the Company’s Form 10-Q for the period ended September 30, 2024. Regency may, but assumes no obligation to, update information in the supplemental package from time to time.</w:t>
      </w:r>
    </w:p>
    <w:p>
      <w:pPr>
        <w:pStyle w:val="TextBody"/>
        <w:bidi w:val="0"/>
        <w:jc w:val="right"/>
        <w:rPr/>
      </w:pPr>
      <w:r>
        <w:rPr/>
        <w:drawing>
          <wp:inline distT="0" distB="0" distL="0" distR="0">
            <wp:extent cx="476250" cy="257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240" w:after="283"/>
        <w:jc w:val="center"/>
        <w:rPr>
          <w:rFonts w:ascii="Tahoma;sans-serif" w:hAnsi="Tahoma;sans-serif"/>
          <w:color w:val="000000"/>
          <w:sz w:val="17"/>
        </w:rPr>
      </w:pPr>
      <w:r>
        <w:rPr>
          <w:rFonts w:ascii="Tahoma;sans-serif" w:hAnsi="Tahoma;sans-serif"/>
          <w:color w:val="000000"/>
          <w:sz w:val="17"/>
        </w:rPr>
        <w:t>###</w:t>
      </w:r>
    </w:p>
    <w:p>
      <w:pPr>
        <w:pStyle w:val="TextBody"/>
        <w:bidi w:val="0"/>
        <w:spacing w:before="240" w:after="283"/>
        <w:jc w:val="left"/>
        <w:rPr>
          <w:rFonts w:ascii="Tahoma;sans-serif" w:hAnsi="Tahoma;sans-serif"/>
          <w:b/>
          <w:color w:val="000000"/>
          <w:sz w:val="17"/>
        </w:rPr>
      </w:pPr>
      <w:r>
        <w:rPr>
          <w:rFonts w:ascii="Tahoma;sans-serif" w:hAnsi="Tahoma;sans-serif"/>
          <w:b/>
          <w:color w:val="000000"/>
          <w:sz w:val="17"/>
        </w:rPr>
        <w:t>Non-GAAP Disclosure</w:t>
      </w:r>
    </w:p>
    <w:p>
      <w:pPr>
        <w:pStyle w:val="TextBody"/>
        <w:bidi w:val="0"/>
        <w:jc w:val="left"/>
        <w:rPr>
          <w:rFonts w:ascii="Tahoma;sans-serif" w:hAnsi="Tahoma;sans-serif"/>
          <w:color w:val="000000"/>
          <w:sz w:val="17"/>
        </w:rPr>
      </w:pPr>
      <w:r>
        <w:rPr>
          <w:rFonts w:ascii="Tahoma;sans-serif" w:hAnsi="Tahoma;sans-serif"/>
          <w:color w:val="000000"/>
          <w:sz w:val="17"/>
        </w:rPr>
        <w:t>We believe these non-GAAP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w:t>
      </w:r>
    </w:p>
    <w:p>
      <w:pPr>
        <w:pStyle w:val="TextBody"/>
        <w:bidi w:val="0"/>
        <w:spacing w:before="180" w:after="283"/>
        <w:jc w:val="left"/>
        <w:rPr>
          <w:rFonts w:ascii="Times New Roman" w:hAnsi="Times New Roman"/>
          <w:sz w:val="20"/>
        </w:rPr>
      </w:pPr>
      <w:r>
        <w:rPr>
          <w:rFonts w:ascii="Tahoma;sans-serif" w:hAnsi="Tahoma;sans-serif"/>
          <w:color w:val="000000"/>
          <w:sz w:val="17"/>
        </w:rPr>
        <w:t>We do not consider non-GAAP measures an alternative to financial measures determined in accordance with GAAP, rather they supplement GAAP measures by providing additional information we believe to be useful to our shareholders. The principal limitation of these non-GAAP financial measures is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w:t>
      </w:r>
      <w:r>
        <w:rPr>
          <w:rFonts w:ascii="Times New Roman" w:hAnsi="Times New Roman"/>
          <w:color w:val="000000"/>
          <w:sz w:val="20"/>
        </w:rPr>
        <w:t xml:space="preserve"> </w:t>
      </w:r>
    </w:p>
    <w:p>
      <w:pPr>
        <w:pStyle w:val="TextBody"/>
        <w:bidi w:val="0"/>
        <w:spacing w:before="180" w:after="283"/>
        <w:jc w:val="left"/>
        <w:rPr>
          <w:rFonts w:ascii="Tahoma;sans-serif" w:hAnsi="Tahoma;sans-serif"/>
          <w:color w:val="000000"/>
          <w:sz w:val="17"/>
        </w:rPr>
      </w:pPr>
      <w:r>
        <w:rPr>
          <w:rFonts w:ascii="Tahoma;sans-serif" w:hAnsi="Tahoma;sans-serif"/>
          <w:color w:val="000000"/>
          <w:sz w:val="17"/>
        </w:rPr>
        <w:t>Nareit FFO is a commonly used measure of REIT performance, which the National Association of Real Estate Investment Trusts (“Nareit”) defines as net income, computed in accordance with GAAP, excluding gains on sale and impairments of real estate, net of tax, plus depreciation and amortization, and after adjustments for unconsolidated partnerships and joint ventures. Regency computes Nareit FFO for all periods presented in accordance with Nareit's definition. Since Nareit FFO excludes depreciation and amortization and gains on sales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Shareholders to Nareit FFO.</w:t>
      </w:r>
    </w:p>
    <w:p>
      <w:pPr>
        <w:pStyle w:val="TextBody"/>
        <w:bidi w:val="0"/>
        <w:spacing w:before="180" w:after="120"/>
        <w:jc w:val="left"/>
        <w:rPr>
          <w:rFonts w:ascii="Tahoma;sans-serif" w:hAnsi="Tahoma;sans-serif"/>
          <w:color w:val="000000"/>
          <w:sz w:val="17"/>
        </w:rPr>
      </w:pPr>
      <w:r>
        <w:rPr>
          <w:rFonts w:ascii="Tahoma;sans-serif" w:hAnsi="Tahoma;sans-serif"/>
          <w:color w:val="000000"/>
          <w:sz w:val="17"/>
        </w:rPr>
        <w:t>Core Operating Earnings is an additional performance measure that excludes from Nareit FFO: (i) transaction related income or expenses; (ii) gains or losses from the early extinguishment of debt; (iii) certain non-cash components of earnings derived from above and below market rent amortization, straight-line rents, and amortization of mark-to-market of debt adjustments; and (iv) other amounts as they occur. The Company provides a reconciliation of Net Income Attributable to Common Shareholders to Nareit FFO to Core Operating Earnings.</w:t>
      </w:r>
    </w:p>
    <w:p>
      <w:pPr>
        <w:pStyle w:val="TextBody"/>
        <w:bidi w:val="0"/>
        <w:jc w:val="left"/>
        <w:rPr>
          <w:rFonts w:ascii="Times New Roman" w:hAnsi="Times New Roman"/>
          <w:sz w:val="20"/>
        </w:rPr>
      </w:pPr>
      <w:r>
        <w:rPr>
          <w:rFonts w:ascii="Tahoma;sans-serif" w:hAnsi="Tahoma;sans-serif"/>
          <w:color w:val="000000"/>
          <w:sz w:val="17"/>
        </w:rPr>
        <w:t>Adjusted Funds From Operations</w:t>
      </w:r>
      <w:r>
        <w:rPr>
          <w:rFonts w:ascii="Times New Roman" w:hAnsi="Times New Roman"/>
          <w:color w:val="000000"/>
          <w:sz w:val="20"/>
        </w:rPr>
        <w:t xml:space="preserve"> </w:t>
      </w:r>
      <w:r>
        <w:rPr>
          <w:rFonts w:ascii="Tahoma;sans-serif" w:hAnsi="Tahoma;sans-serif"/>
          <w:color w:val="000000"/>
          <w:sz w:val="17"/>
        </w:rPr>
        <w:t>is an additional performance measure used by Regency that reflects cash available to fund the Company’s business needs and distribution to shareholders. AFFO is calculated by adjusting Core Operating Earnings ("COE") for (i) capital expenditures necessary to maintain and lease the Company’s portfolio of properties, (ii) debt cost and derivative adjustments and (iii) stock-based compensation. The Company provides a reconciliation of Net Income Attributable to Common Shareholders to Nareit FFO, to Core Operating Earnings, and to Adjusted Funds from Operations.</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Forward-Looking Statements</w:t>
      </w:r>
    </w:p>
    <w:p>
      <w:pPr>
        <w:pStyle w:val="TextBody"/>
        <w:bidi w:val="0"/>
        <w:jc w:val="left"/>
        <w:rPr>
          <w:rFonts w:ascii="Tahoma;sans-serif" w:hAnsi="Tahoma;sans-serif"/>
          <w:color w:val="000000"/>
          <w:sz w:val="17"/>
        </w:rPr>
      </w:pPr>
      <w:r>
        <w:rPr>
          <w:rFonts w:ascii="Tahoma;sans-serif" w:hAnsi="Tahoma;sans-serif"/>
          <w:color w:val="000000"/>
          <w:sz w:val="17"/>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2024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2023 (“2023 Form 10-K”) under Item 1A.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the Current Economic and Geopolitical Environments</w:t>
      </w:r>
    </w:p>
    <w:p>
      <w:pPr>
        <w:pStyle w:val="TextBody"/>
        <w:bidi w:val="0"/>
        <w:jc w:val="left"/>
        <w:rPr>
          <w:rFonts w:ascii="Tahoma;sans-serif" w:hAnsi="Tahoma;sans-serif"/>
          <w:color w:val="000000"/>
          <w:sz w:val="17"/>
        </w:rPr>
      </w:pPr>
      <w:r>
        <w:rPr>
          <w:rFonts w:ascii="Tahoma;sans-serif" w:hAnsi="Tahoma;sans-serif"/>
          <w:color w:val="000000"/>
          <w:sz w:val="17"/>
        </w:rPr>
        <w:t>Interest rates in the current economic environment may adversely impact our cost to borrow, real estate valuation, and stock price. Current economic challenges, including the potential for recession, may adversely impact our tenants and our business. Unfavorable developments affecting the banking and financial services industry could adversely affect our business, liquidity and financial condition, and overall results of operations. Additionally, current geopolitical challenges would impact the U.S. economy and our results of operations and financial condition.</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to Regency’s Financial Performance Related to the Company’s Acquisition of Urstadt Biddle</w:t>
      </w:r>
    </w:p>
    <w:p>
      <w:pPr>
        <w:pStyle w:val="TextBody"/>
        <w:bidi w:val="0"/>
        <w:jc w:val="left"/>
        <w:rPr>
          <w:rFonts w:ascii="Tahoma;sans-serif" w:hAnsi="Tahoma;sans-serif"/>
          <w:color w:val="000000"/>
          <w:sz w:val="17"/>
        </w:rPr>
      </w:pPr>
      <w:r>
        <w:rPr>
          <w:rFonts w:ascii="Tahoma;sans-serif" w:hAnsi="Tahoma;sans-serif"/>
          <w:color w:val="000000"/>
          <w:sz w:val="17"/>
        </w:rPr>
        <w:t>Regency may not realize the anticipated benefits and synergies from the Urstadt Biddle merger.</w:t>
      </w:r>
    </w:p>
    <w:p>
      <w:pPr>
        <w:pStyle w:val="TextBody"/>
        <w:bidi w:val="0"/>
        <w:jc w:val="right"/>
        <w:rPr/>
      </w:pPr>
      <w:r>
        <w:rPr/>
        <w:drawing>
          <wp:inline distT="0" distB="0" distL="0" distR="0">
            <wp:extent cx="476250" cy="257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viii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Pandemics or other Health Crises</w:t>
      </w:r>
    </w:p>
    <w:p>
      <w:pPr>
        <w:pStyle w:val="TextBody"/>
        <w:bidi w:val="0"/>
        <w:jc w:val="left"/>
        <w:rPr>
          <w:rFonts w:ascii="Tahoma;sans-serif" w:hAnsi="Tahoma;sans-serif"/>
          <w:color w:val="000000"/>
          <w:sz w:val="17"/>
        </w:rPr>
      </w:pPr>
      <w:r>
        <w:rPr>
          <w:rFonts w:ascii="Tahoma;sans-serif" w:hAnsi="Tahoma;sans-serif"/>
          <w:color w:val="000000"/>
          <w:sz w:val="17"/>
        </w:rPr>
        <w:t>Pandemics or other health crises, such as the COVID-19 pandemic, may adversely affect our tenants’ financial condition, the profitability of our properties, and our access to the capital markets and could have a material adverse effect on our business, results of operations, cash flows and financial condition.</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Operating Retail-Based Shopping Centers</w:t>
      </w:r>
    </w:p>
    <w:p>
      <w:pPr>
        <w:pStyle w:val="TextBody"/>
        <w:bidi w:val="0"/>
        <w:jc w:val="left"/>
        <w:rPr>
          <w:rFonts w:ascii="Tahoma;sans-serif" w:hAnsi="Tahoma;sans-serif"/>
          <w:color w:val="000000"/>
          <w:sz w:val="17"/>
        </w:rPr>
      </w:pPr>
      <w:r>
        <w:rPr>
          <w:rFonts w:ascii="Tahoma;sans-serif" w:hAnsi="Tahoma;sans-serif"/>
          <w:color w:val="000000"/>
          <w:sz w:val="17"/>
        </w:rPr>
        <w:t>Economic and market conditions may adversely affect the retail industry and consequently reduce our revenues and cash flow and increase our operating expenses. Shifts in retail trends, sales, and delivery methods between brick-and-mortar stores, e-commerce, home delivery, and curbside pick-up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and regulations may have a material negative effect on us.</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Real Estate Investments</w:t>
      </w:r>
    </w:p>
    <w:p>
      <w:pPr>
        <w:pStyle w:val="TextBody"/>
        <w:bidi w:val="0"/>
        <w:jc w:val="left"/>
        <w:rPr>
          <w:rFonts w:ascii="Tahoma;sans-serif" w:hAnsi="Tahoma;sans-serif"/>
          <w:color w:val="000000"/>
          <w:sz w:val="17"/>
        </w:rPr>
      </w:pPr>
      <w:r>
        <w:rPr>
          <w:rFonts w:ascii="Tahoma;sans-serif" w:hAnsi="Tahoma;sans-serif"/>
          <w:color w:val="000000"/>
          <w:sz w:val="17"/>
        </w:rPr>
        <w:t>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the Environment Affecting Our Properties</w:t>
      </w:r>
    </w:p>
    <w:p>
      <w:pPr>
        <w:pStyle w:val="TextBody"/>
        <w:bidi w:val="0"/>
        <w:jc w:val="left"/>
        <w:rPr>
          <w:rFonts w:ascii="Tahoma;sans-serif" w:hAnsi="Tahoma;sans-serif"/>
          <w:color w:val="000000"/>
          <w:sz w:val="17"/>
        </w:rPr>
      </w:pPr>
      <w:r>
        <w:rPr>
          <w:rFonts w:ascii="Tahoma;sans-serif" w:hAnsi="Tahoma;sans-serif"/>
          <w:color w:val="000000"/>
          <w:sz w:val="17"/>
        </w:rPr>
        <w:t>Climate change may adversely impact our properties directly and may lead to additional compliance obligations and costs as well as additional taxes and fees. Geographic concentration of our properties makes our business more vulnerable to natural disasters, severe weather conditions and climate change. Costs of environmental remediation may adversely impact our financial performance and reduce our cash flow.</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Corporate Matters</w:t>
      </w:r>
    </w:p>
    <w:p>
      <w:pPr>
        <w:pStyle w:val="TextBody"/>
        <w:bidi w:val="0"/>
        <w:jc w:val="left"/>
        <w:rPr>
          <w:rFonts w:ascii="Times New Roman" w:hAnsi="Times New Roman"/>
          <w:sz w:val="20"/>
        </w:rPr>
      </w:pPr>
      <w:r>
        <w:rPr>
          <w:rFonts w:ascii="Tahoma;sans-serif" w:hAnsi="Tahoma;sans-serif"/>
          <w:color w:val="000000"/>
          <w:sz w:val="17"/>
        </w:rPr>
        <w:t>An increased focus on metrics and reporting relating to environmental, social, and governance (“ESG”) factors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r>
        <w:rPr>
          <w:rFonts w:ascii="Times New Roman" w:hAnsi="Times New Roman"/>
          <w:color w:val="000000"/>
          <w:sz w:val="20"/>
        </w:rPr>
        <w:t xml:space="preserve"> </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Our Partnerships and Joint Ventures</w:t>
      </w:r>
    </w:p>
    <w:p>
      <w:pPr>
        <w:pStyle w:val="TextBody"/>
        <w:bidi w:val="0"/>
        <w:jc w:val="left"/>
        <w:rPr>
          <w:rFonts w:ascii="Tahoma;sans-serif" w:hAnsi="Tahoma;sans-serif"/>
          <w:color w:val="000000"/>
          <w:sz w:val="17"/>
        </w:rPr>
      </w:pPr>
      <w:r>
        <w:rPr>
          <w:rFonts w:ascii="Tahoma;sans-serif" w:hAnsi="Tahoma;sans-serif"/>
          <w:color w:val="000000"/>
          <w:sz w:val="17"/>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Funding Strategies and Capital Structure</w:t>
      </w:r>
    </w:p>
    <w:p>
      <w:pPr>
        <w:pStyle w:val="TextBody"/>
        <w:bidi w:val="0"/>
        <w:jc w:val="left"/>
        <w:rPr>
          <w:rFonts w:ascii="Times New Roman" w:hAnsi="Times New Roman"/>
          <w:sz w:val="20"/>
        </w:rPr>
      </w:pPr>
      <w:r>
        <w:rPr>
          <w:rFonts w:ascii="Tahoma;sans-serif" w:hAnsi="Tahoma;sans-serif"/>
          <w:color w:val="000000"/>
          <w:sz w:val="17"/>
        </w:rPr>
        <w:t>Our ability to sell properties and fund acquisitions and developments may be adversely impacted by higher market capitalization rates and lower NOI at our properties which may dilute earnings.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w:t>
      </w:r>
      <w:r>
        <w:rPr>
          <w:rFonts w:ascii="Times New Roman" w:hAnsi="Times New Roman"/>
          <w:color w:val="000000"/>
          <w:sz w:val="20"/>
        </w:rPr>
        <w:t xml:space="preserve"> </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Information Management and Technology</w:t>
      </w:r>
    </w:p>
    <w:p>
      <w:pPr>
        <w:pStyle w:val="TextBody"/>
        <w:bidi w:val="0"/>
        <w:jc w:val="left"/>
        <w:rPr>
          <w:rFonts w:ascii="Tahoma;sans-serif" w:hAnsi="Tahoma;sans-serif"/>
          <w:color w:val="000000"/>
          <w:sz w:val="17"/>
        </w:rPr>
      </w:pPr>
      <w:r>
        <w:rPr>
          <w:rFonts w:ascii="Tahoma;sans-serif" w:hAnsi="Tahoma;sans-serif"/>
          <w:color w:val="000000"/>
          <w:sz w:val="17"/>
        </w:rPr>
        <w:t>The unauthorized access, use, theft or destruction of tenant or employee personal, financial, or other data or of Regency's proprietary or confidential information stored in our information systems or by third parties on our behalf could impact our reputation and brand and expose us to potential liabilities and adverse financial impact. The use of technology based on artificial intelligence presents risks relating to confidentiality, creation of inaccurate and flawed outputs and emerging regulatory risk, any or all of which may adversely affect our business and results of operations.</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the Market Price for Our Securities</w:t>
      </w:r>
    </w:p>
    <w:p>
      <w:pPr>
        <w:pStyle w:val="TextBody"/>
        <w:bidi w:val="0"/>
        <w:jc w:val="left"/>
        <w:rPr>
          <w:rFonts w:ascii="Tahoma;sans-serif" w:hAnsi="Tahoma;sans-serif"/>
          <w:color w:val="000000"/>
          <w:sz w:val="17"/>
        </w:rPr>
      </w:pPr>
      <w:r>
        <w:rPr>
          <w:rFonts w:ascii="Tahoma;sans-serif" w:hAnsi="Tahoma;sans-serif"/>
          <w:color w:val="000000"/>
          <w:sz w:val="17"/>
        </w:rPr>
        <w:t>Changes in economic and market conditions may adversely affect the market price of our securities. There is no assurance that we will continue to pay dividends at current or historical rates.</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the Company’s Qualification as a REIT</w:t>
      </w:r>
    </w:p>
    <w:p>
      <w:pPr>
        <w:pStyle w:val="TextBody"/>
        <w:bidi w:val="0"/>
        <w:jc w:val="left"/>
        <w:rPr>
          <w:rFonts w:ascii="Times New Roman" w:hAnsi="Times New Roman"/>
          <w:sz w:val="20"/>
        </w:rPr>
      </w:pPr>
      <w:r>
        <w:rPr>
          <w:rFonts w:ascii="Tahoma;sans-serif" w:hAnsi="Tahoma;sans-serif"/>
          <w:color w:val="000000"/>
          <w:sz w:val="17"/>
        </w:rPr>
        <w:t>If the Company fails to qualify as a REIT for federal income tax purposes, it would be subject to federal income tax at regular corporate rates. Dividends paid by REITs generally do not qualify for reduced tax rates. Certain foreign shareholders may be subject to U.S. federal income tax on gain recognized on a disposition of our common stock if we do not qualify as a “domestically controlled” REIT.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r>
        <w:rPr>
          <w:rFonts w:ascii="Times New Roman" w:hAnsi="Times New Roman"/>
          <w:color w:val="000000"/>
          <w:sz w:val="20"/>
        </w:rPr>
        <w:t xml:space="preserve"> </w:t>
      </w:r>
    </w:p>
    <w:p>
      <w:pPr>
        <w:pStyle w:val="TextBody"/>
        <w:bidi w:val="0"/>
        <w:spacing w:before="180" w:after="283"/>
        <w:jc w:val="left"/>
        <w:rPr>
          <w:rFonts w:ascii="Tahoma;sans-serif" w:hAnsi="Tahoma;sans-serif"/>
          <w:b/>
          <w:color w:val="000000"/>
          <w:sz w:val="17"/>
        </w:rPr>
      </w:pPr>
      <w:r>
        <w:rPr>
          <w:rFonts w:ascii="Tahoma;sans-serif" w:hAnsi="Tahoma;sans-serif"/>
          <w:b/>
          <w:color w:val="000000"/>
          <w:sz w:val="17"/>
        </w:rPr>
        <w:t>Risk Factors Related to the Company’s Common Stock</w:t>
      </w:r>
    </w:p>
    <w:p>
      <w:pPr>
        <w:pStyle w:val="TextBody"/>
        <w:bidi w:val="0"/>
        <w:jc w:val="left"/>
        <w:rPr>
          <w:rFonts w:ascii="Tahoma;sans-serif" w:hAnsi="Tahoma;sans-serif"/>
          <w:color w:val="000000"/>
          <w:sz w:val="17"/>
        </w:rPr>
      </w:pPr>
      <w:r>
        <w:rPr>
          <w:rFonts w:ascii="Tahoma;sans-serif" w:hAnsi="Tahoma;sans-serif"/>
          <w:color w:val="000000"/>
          <w:sz w:val="17"/>
        </w:rPr>
        <w:t>Restrictions on the ownership of the Company’s capital stock to preserve its REIT status may delay or prevent a change in control. The issuance of the Company's capital stock may delay or prevent a change in control. Ownership in the Company may be diluted in the future.</w:t>
      </w:r>
    </w:p>
    <w:p>
      <w:pPr>
        <w:pStyle w:val="TextBody"/>
        <w:bidi w:val="0"/>
        <w:jc w:val="right"/>
        <w:rPr/>
      </w:pPr>
      <w:r>
        <w:rPr/>
        <w:drawing>
          <wp:inline distT="0" distB="0" distL="0" distR="0">
            <wp:extent cx="476250" cy="257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ix</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9" w:name="summaryfininfo"/>
      <w:bookmarkEnd w:id="9"/>
      <w:r>
        <w:rPr>
          <w:rFonts w:ascii="Tahoma;sans-serif" w:hAnsi="Tahoma;sans-serif"/>
          <w:b/>
          <w:color w:val="000000"/>
          <w:sz w:val="20"/>
        </w:rPr>
        <w:t>Summary Financial Information</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(in thousands, except per share data)</w:t>
      </w:r>
    </w:p>
    <w:p>
      <w:pPr>
        <w:pStyle w:val="TextBody"/>
        <w:bidi w:val="0"/>
        <w:jc w:val="both"/>
        <w:rPr/>
      </w:pPr>
      <w:r>
        <w:rPr/>
        <w:t> </w:t>
      </w:r>
    </w:p>
    <w:tbl>
      <w:tblPr>
        <w:tblW w:w="8670" w:type="dxa"/>
        <w:jc w:val="left"/>
        <w:tblInd w:w="0" w:type="dxa"/>
        <w:tblLayout w:type="fixed"/>
        <w:tblCellMar>
          <w:top w:w="28" w:type="dxa"/>
          <w:left w:w="28" w:type="dxa"/>
          <w:bottom w:w="28" w:type="dxa"/>
          <w:right w:w="28" w:type="dxa"/>
        </w:tblCellMar>
      </w:tblPr>
      <w:tblGrid>
        <w:gridCol w:w="5721"/>
        <w:gridCol w:w="676"/>
        <w:gridCol w:w="676"/>
        <w:gridCol w:w="676"/>
        <w:gridCol w:w="921"/>
      </w:tblGrid>
      <w:tr>
        <w:trPr/>
        <w:tc>
          <w:tcPr>
            <w:tcW w:w="57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5721" w:type="dxa"/>
            <w:tcBorders/>
            <w:shd w:fill="FFFFFF" w:val="clear"/>
            <w:vAlign w:val="center"/>
          </w:tcPr>
          <w:p>
            <w:pPr>
              <w:pStyle w:val="TableContents"/>
              <w:bidi w:val="0"/>
              <w:spacing w:before="0" w:after="283"/>
              <w:jc w:val="center"/>
              <w:rPr/>
            </w:pPr>
            <w:r>
              <w:rPr/>
              <w:t> </w:t>
            </w:r>
          </w:p>
        </w:tc>
        <w:tc>
          <w:tcPr>
            <w:tcW w:w="135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9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r>
      <w:tr>
        <w:trPr/>
        <w:tc>
          <w:tcPr>
            <w:tcW w:w="5721" w:type="dxa"/>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921"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r>
      <w:tr>
        <w:trPr/>
        <w:tc>
          <w:tcPr>
            <w:tcW w:w="5721" w:type="dxa"/>
            <w:tcBorders/>
            <w:shd w:fill="FFFFFF" w:val="cle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Financial Results</w:t>
            </w:r>
          </w:p>
        </w:tc>
        <w:tc>
          <w:tcPr>
            <w:tcW w:w="676"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676"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676" w:type="dxa"/>
            <w:tcBorders/>
            <w:shd w:fill="FFFFFF" w:val="clear"/>
            <w:vAlign w:val="center"/>
          </w:tcPr>
          <w:p>
            <w:pPr>
              <w:pStyle w:val="TableContents"/>
              <w:bidi w:val="0"/>
              <w:spacing w:before="0" w:after="283"/>
              <w:jc w:val="center"/>
              <w:rPr/>
            </w:pPr>
            <w:r>
              <w:rPr/>
              <w:t> </w:t>
            </w:r>
          </w:p>
        </w:tc>
        <w:tc>
          <w:tcPr>
            <w:tcW w:w="921" w:type="dxa"/>
            <w:tcBorders/>
            <w:shd w:fill="FFFFFF" w:val="clear"/>
            <w:vAlign w:val="center"/>
          </w:tcPr>
          <w:p>
            <w:pPr>
              <w:pStyle w:val="TableContents"/>
              <w:bidi w:val="0"/>
              <w:spacing w:before="0" w:after="283"/>
              <w:jc w:val="center"/>
              <w:rPr/>
            </w:pPr>
            <w:r>
              <w:rPr/>
              <w:t> </w:t>
            </w:r>
          </w:p>
        </w:tc>
      </w:tr>
      <w:tr>
        <w:trPr/>
        <w:tc>
          <w:tcPr>
            <w:tcW w:w="572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jc w:val="center"/>
              <w:rPr/>
            </w:pPr>
            <w:r>
              <w:rPr/>
              <w:t> </w:t>
            </w:r>
          </w:p>
        </w:tc>
        <w:tc>
          <w:tcPr>
            <w:tcW w:w="921" w:type="dxa"/>
            <w:tcBorders/>
            <w:shd w:fill="FFFFFF" w:val="clear"/>
            <w:vAlign w:val="center"/>
          </w:tcPr>
          <w:p>
            <w:pPr>
              <w:pStyle w:val="TableContents"/>
              <w:bidi w:val="0"/>
              <w:spacing w:before="0" w:after="283"/>
              <w:ind w:left="0" w:right="0" w:firstLine="200"/>
              <w:jc w:val="center"/>
              <w:rPr/>
            </w:pPr>
            <w:r>
              <w:rPr/>
              <w:t> </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Net income attributable to common shareholders (page 4)</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$98,056</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$89,076</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$303,672</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$273,139</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Net income per diluted share</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$0.54</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$0.50</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$1.66</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$1.57</w:t>
            </w:r>
          </w:p>
        </w:tc>
      </w:tr>
      <w:tr>
        <w:trPr/>
        <w:tc>
          <w:tcPr>
            <w:tcW w:w="572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Nareit Funds From Operations (Nareit FFO) (page 9)</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$195,085</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$182,780</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$591,420</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$546,048</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Nareit FFO per diluted share</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$3.20</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$3.13</w:t>
            </w:r>
          </w:p>
        </w:tc>
      </w:tr>
      <w:tr>
        <w:trPr/>
        <w:tc>
          <w:tcPr>
            <w:tcW w:w="572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Core Operating Earnings (page 9)</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$187,763</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$173,989</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$570,084</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$516,475</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Core Operating Earnings per diluted share</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$0.97</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$3.09</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$2.96</w:t>
            </w:r>
          </w:p>
        </w:tc>
      </w:tr>
      <w:tr>
        <w:trPr/>
        <w:tc>
          <w:tcPr>
            <w:tcW w:w="572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Same Property NOI without termination fees (page 8)</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$234,952</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$224,962</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$699,621</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$680,222</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 growth</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572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Same Property NOI without termination fees or collection of 2020/2021 reserves (page 8)</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$234,952</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$223,913</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$699,621</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$676,486</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 growth</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572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EBITDAre (page 10)</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$246,846</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$221,452</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$742,902</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$652,033</w:t>
            </w:r>
          </w:p>
        </w:tc>
      </w:tr>
      <w:tr>
        <w:trPr/>
        <w:tc>
          <w:tcPr>
            <w:tcW w:w="572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Dividends declared per common share and unit</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$0.67</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$0.65</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$2.01</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$1.95</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Payout ratio of Core Operating Earnings per share (diluted)</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65.0%</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67.0%</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65.0%</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65.9%</w:t>
            </w:r>
          </w:p>
        </w:tc>
      </w:tr>
      <w:tr>
        <w:trPr/>
        <w:tc>
          <w:tcPr>
            <w:tcW w:w="5721" w:type="dxa"/>
            <w:tcBorders/>
            <w:shd w:fill="FFFFFF" w:val="clear"/>
            <w:vAlign w:val="center"/>
          </w:tcPr>
          <w:p>
            <w:pPr>
              <w:pStyle w:val="TableContents"/>
              <w:bidi w:val="0"/>
              <w:spacing w:before="0" w:after="283"/>
              <w:ind w:left="0" w:right="0" w:firstLine="200"/>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5721" w:type="dxa"/>
            <w:tcBorders/>
            <w:shd w:fill="FFFFFF" w:val="clear"/>
            <w:vAlign w:val="center"/>
          </w:tcPr>
          <w:p>
            <w:pPr>
              <w:pStyle w:val="TableContents"/>
              <w:bidi w:val="0"/>
              <w:spacing w:before="0" w:after="283"/>
              <w:ind w:left="0" w:right="0" w:firstLine="200"/>
              <w:jc w:val="lef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921" w:type="dxa"/>
            <w:tcBorders/>
            <w:shd w:fill="FFFFFF" w:val="clear"/>
            <w:vAlign w:val="center"/>
          </w:tcPr>
          <w:p>
            <w:pPr>
              <w:pStyle w:val="TableContents"/>
              <w:bidi w:val="0"/>
              <w:spacing w:before="0" w:after="283"/>
              <w:jc w:val="right"/>
              <w:rPr/>
            </w:pPr>
            <w:r>
              <w:rPr/>
              <w:t> </w:t>
            </w:r>
          </w:p>
        </w:tc>
      </w:tr>
      <w:tr>
        <w:trPr/>
        <w:tc>
          <w:tcPr>
            <w:tcW w:w="5721" w:type="dxa"/>
            <w:tcBorders/>
            <w:shd w:fill="FFFFFF" w:val="cle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Diluted share and unit count</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921" w:type="dxa"/>
            <w:tcBorders/>
            <w:shd w:fill="FFFFFF" w:val="clear"/>
            <w:vAlign w:val="center"/>
          </w:tcPr>
          <w:p>
            <w:pPr>
              <w:pStyle w:val="TableContents"/>
              <w:bidi w:val="0"/>
              <w:spacing w:before="0" w:after="283"/>
              <w:jc w:val="right"/>
              <w:rPr/>
            </w:pPr>
            <w:r>
              <w:rPr/>
              <w:t> </w:t>
            </w:r>
          </w:p>
        </w:tc>
      </w:tr>
      <w:tr>
        <w:trPr/>
        <w:tc>
          <w:tcPr>
            <w:tcW w:w="572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Weighted average shares (diluted) - Net income</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181,772</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178,231</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183,448</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173,711</w:t>
            </w:r>
          </w:p>
        </w:tc>
      </w:tr>
      <w:tr>
        <w:trPr/>
        <w:tc>
          <w:tcPr>
            <w:tcW w:w="572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Weighted average shares and units (diluted) - Nareit FFO and Core Operating Earnings</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182,872</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179,311</w:t>
            </w:r>
          </w:p>
        </w:tc>
        <w:tc>
          <w:tcPr>
            <w:tcW w:w="67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184,548</w:t>
            </w:r>
          </w:p>
        </w:tc>
        <w:tc>
          <w:tcPr>
            <w:tcW w:w="9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174,621</w:t>
            </w:r>
          </w:p>
        </w:tc>
      </w:tr>
    </w:tbl>
    <w:p>
      <w:pPr>
        <w:pStyle w:val="TextBody"/>
        <w:bidi w:val="0"/>
        <w:jc w:val="both"/>
        <w:rPr>
          <w:rFonts w:ascii="Tahoma;sans-serif" w:hAnsi="Tahoma;sans-serif"/>
          <w:color w:val="000000"/>
          <w:sz w:val="20"/>
        </w:rPr>
      </w:pPr>
      <w:r>
        <w:rPr>
          <w:rFonts w:ascii="Tahoma;sans-serif" w:hAnsi="Tahoma;sans-serif"/>
          <w:color w:val="000000"/>
          <w:sz w:val="20"/>
        </w:rPr>
        <w:t>__________________________________________________________________________________________________</w:t>
      </w:r>
    </w:p>
    <w:p>
      <w:pPr>
        <w:pStyle w:val="TextBody"/>
        <w:bidi w:val="0"/>
        <w:jc w:val="both"/>
        <w:rPr/>
      </w:pPr>
      <w:r>
        <w:rPr/>
        <w:t> </w:t>
      </w:r>
    </w:p>
    <w:tbl>
      <w:tblPr>
        <w:tblW w:w="7580" w:type="dxa"/>
        <w:jc w:val="left"/>
        <w:tblInd w:w="0" w:type="dxa"/>
        <w:tblLayout w:type="fixed"/>
        <w:tblCellMar>
          <w:top w:w="28" w:type="dxa"/>
          <w:left w:w="28" w:type="dxa"/>
          <w:bottom w:w="28" w:type="dxa"/>
          <w:right w:w="28" w:type="dxa"/>
        </w:tblCellMar>
      </w:tblPr>
      <w:tblGrid>
        <w:gridCol w:w="4001"/>
        <w:gridCol w:w="871"/>
        <w:gridCol w:w="871"/>
        <w:gridCol w:w="871"/>
        <w:gridCol w:w="966"/>
      </w:tblGrid>
      <w:tr>
        <w:trPr/>
        <w:tc>
          <w:tcPr>
            <w:tcW w:w="400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4001"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c>
          <w:tcPr>
            <w:tcW w:w="871" w:type="dxa"/>
            <w:tcBorders/>
            <w:shd w:fill="FFFFFF" w:val="cle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c>
          <w:tcPr>
            <w:tcW w:w="871" w:type="dxa"/>
            <w:tcBorders/>
            <w:shd w:fill="FFFFFF" w:val="cle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c>
          <w:tcPr>
            <w:tcW w:w="966" w:type="dxa"/>
            <w:tcBorders/>
            <w:shd w:fill="FFFFFF" w:val="cle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r>
      <w:tr>
        <w:trPr/>
        <w:tc>
          <w:tcPr>
            <w:tcW w:w="4001"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9/30/2024</w:t>
            </w:r>
          </w:p>
        </w:tc>
        <w:tc>
          <w:tcPr>
            <w:tcW w:w="871"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12/31/2023</w:t>
            </w:r>
          </w:p>
        </w:tc>
        <w:tc>
          <w:tcPr>
            <w:tcW w:w="871"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12/31/2022</w:t>
            </w:r>
          </w:p>
        </w:tc>
        <w:tc>
          <w:tcPr>
            <w:tcW w:w="966" w:type="dxa"/>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12/31/2021</w:t>
            </w:r>
          </w:p>
        </w:tc>
      </w:tr>
      <w:tr>
        <w:trPr/>
        <w:tc>
          <w:tcPr>
            <w:tcW w:w="4001" w:type="dxa"/>
            <w:tcBorders/>
            <w:shd w:fill="FFFFFF" w:val="cle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Capital Information</w:t>
            </w:r>
          </w:p>
        </w:tc>
        <w:tc>
          <w:tcPr>
            <w:tcW w:w="87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pPr>
            <w:r>
              <w:rPr/>
              <w:t> </w:t>
            </w:r>
          </w:p>
        </w:tc>
        <w:tc>
          <w:tcPr>
            <w:tcW w:w="966" w:type="dxa"/>
            <w:tcBorders/>
            <w:shd w:fill="FFFFFF" w:val="clear"/>
            <w:vAlign w:val="center"/>
          </w:tcPr>
          <w:p>
            <w:pPr>
              <w:pStyle w:val="TableContents"/>
              <w:bidi w:val="0"/>
              <w:spacing w:before="0" w:after="283"/>
              <w:jc w:val="center"/>
              <w:rPr/>
            </w:pPr>
            <w:r>
              <w:rPr/>
              <w:t> </w:t>
            </w:r>
          </w:p>
        </w:tc>
      </w:tr>
      <w:tr>
        <w:trPr/>
        <w:tc>
          <w:tcPr>
            <w:tcW w:w="4001"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pPr>
            <w:r>
              <w:rPr/>
              <w:t> </w:t>
            </w:r>
          </w:p>
        </w:tc>
        <w:tc>
          <w:tcPr>
            <w:tcW w:w="966" w:type="dxa"/>
            <w:tcBorders/>
            <w:shd w:fill="FFFFFF" w:val="clear"/>
            <w:vAlign w:val="center"/>
          </w:tcPr>
          <w:p>
            <w:pPr>
              <w:pStyle w:val="TableContents"/>
              <w:bidi w:val="0"/>
              <w:spacing w:before="0" w:after="283"/>
              <w:jc w:val="center"/>
              <w:rPr/>
            </w:pPr>
            <w:r>
              <w:rPr/>
              <w:t> </w:t>
            </w:r>
          </w:p>
        </w:tc>
      </w:tr>
      <w:tr>
        <w:trPr/>
        <w:tc>
          <w:tcPr>
            <w:tcW w:w="400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Market price per common share</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$72.23</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$67.00</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$62.50</w:t>
            </w:r>
          </w:p>
        </w:tc>
        <w:tc>
          <w:tcPr>
            <w:tcW w:w="96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$75.35</w:t>
            </w:r>
          </w:p>
        </w:tc>
      </w:tr>
      <w:tr>
        <w:trPr/>
        <w:tc>
          <w:tcPr>
            <w:tcW w:w="4001"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966" w:type="dxa"/>
            <w:tcBorders/>
            <w:shd w:fill="FFFFFF" w:val="clear"/>
            <w:vAlign w:val="center"/>
          </w:tcPr>
          <w:p>
            <w:pPr>
              <w:pStyle w:val="TableContents"/>
              <w:bidi w:val="0"/>
              <w:spacing w:before="0" w:after="283"/>
              <w:jc w:val="right"/>
              <w:rPr/>
            </w:pPr>
            <w:r>
              <w:rPr/>
              <w:t> </w:t>
            </w:r>
          </w:p>
        </w:tc>
      </w:tr>
      <w:tr>
        <w:trPr/>
        <w:tc>
          <w:tcPr>
            <w:tcW w:w="400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Common shares outstanding</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181,503</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184,581</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171,125</w:t>
            </w:r>
          </w:p>
        </w:tc>
        <w:tc>
          <w:tcPr>
            <w:tcW w:w="96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171,213</w:t>
            </w:r>
          </w:p>
        </w:tc>
      </w:tr>
      <w:tr>
        <w:trPr/>
        <w:tc>
          <w:tcPr>
            <w:tcW w:w="400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Exchangeable units held by noncontrolling interests</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1,097</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1,107</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741</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760</w:t>
            </w:r>
          </w:p>
        </w:tc>
      </w:tr>
      <w:tr>
        <w:trPr/>
        <w:tc>
          <w:tcPr>
            <w:tcW w:w="400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Common shares and equivalents issued and outstanding</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182,600</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185,688</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171,866</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171,973</w:t>
            </w:r>
          </w:p>
        </w:tc>
      </w:tr>
      <w:tr>
        <w:trPr/>
        <w:tc>
          <w:tcPr>
            <w:tcW w:w="400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Market equity value of common shares and equivalents</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$13,189,142</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$12,441,131</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$10,741,627</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$12,958,170</w:t>
            </w:r>
          </w:p>
        </w:tc>
      </w:tr>
      <w:tr>
        <w:trPr/>
        <w:tc>
          <w:tcPr>
            <w:tcW w:w="4001"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966" w:type="dxa"/>
            <w:tcBorders/>
            <w:shd w:fill="FFFFFF" w:val="clear"/>
            <w:vAlign w:val="center"/>
          </w:tcPr>
          <w:p>
            <w:pPr>
              <w:pStyle w:val="TableContents"/>
              <w:bidi w:val="0"/>
              <w:spacing w:before="0" w:after="283"/>
              <w:jc w:val="right"/>
              <w:rPr/>
            </w:pPr>
            <w:r>
              <w:rPr/>
              <w:t> </w:t>
            </w:r>
          </w:p>
        </w:tc>
      </w:tr>
      <w:tr>
        <w:trPr/>
        <w:tc>
          <w:tcPr>
            <w:tcW w:w="400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Preferred stock</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$225,000</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$225,000</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w:t>
            </w:r>
          </w:p>
        </w:tc>
        <w:tc>
          <w:tcPr>
            <w:tcW w:w="96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w:t>
            </w:r>
          </w:p>
        </w:tc>
      </w:tr>
      <w:tr>
        <w:trPr/>
        <w:tc>
          <w:tcPr>
            <w:tcW w:w="400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Outstanding debt</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4,966,828</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4,688,805</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4,225,014</w:t>
            </w:r>
          </w:p>
        </w:tc>
        <w:tc>
          <w:tcPr>
            <w:tcW w:w="966"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4,235,735</w:t>
            </w:r>
          </w:p>
        </w:tc>
      </w:tr>
      <w:tr>
        <w:trPr/>
        <w:tc>
          <w:tcPr>
            <w:tcW w:w="400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Less: cash</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(114,831)</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(91,354)</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(68,776)</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(95,027)</w:t>
            </w:r>
          </w:p>
        </w:tc>
      </w:tr>
      <w:tr>
        <w:trPr/>
        <w:tc>
          <w:tcPr>
            <w:tcW w:w="400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 stock</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$5,076,997</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$4,822,451</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$4,156,238</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$4,140,708</w:t>
            </w:r>
          </w:p>
        </w:tc>
      </w:tr>
      <w:tr>
        <w:trPr/>
        <w:tc>
          <w:tcPr>
            <w:tcW w:w="4001"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966" w:type="dxa"/>
            <w:tcBorders/>
            <w:shd w:fill="FFFFFF" w:val="clear"/>
            <w:vAlign w:val="center"/>
          </w:tcPr>
          <w:p>
            <w:pPr>
              <w:pStyle w:val="TableContents"/>
              <w:bidi w:val="0"/>
              <w:spacing w:before="0" w:after="283"/>
              <w:jc w:val="right"/>
              <w:rPr/>
            </w:pPr>
            <w:r>
              <w:rPr/>
              <w:t> </w:t>
            </w:r>
          </w:p>
        </w:tc>
      </w:tr>
      <w:tr>
        <w:trPr/>
        <w:tc>
          <w:tcPr>
            <w:tcW w:w="400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market capitalization</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$18,266,139</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$17,263,582</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$14,897,865</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$17,098,878</w:t>
            </w:r>
          </w:p>
        </w:tc>
      </w:tr>
      <w:tr>
        <w:trPr/>
        <w:tc>
          <w:tcPr>
            <w:tcW w:w="4001"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966" w:type="dxa"/>
            <w:tcBorders/>
            <w:shd w:fill="FFFFFF" w:val="clear"/>
            <w:vAlign w:val="center"/>
          </w:tcPr>
          <w:p>
            <w:pPr>
              <w:pStyle w:val="TableContents"/>
              <w:bidi w:val="0"/>
              <w:spacing w:before="0" w:after="283"/>
              <w:jc w:val="right"/>
              <w:rPr/>
            </w:pPr>
            <w:r>
              <w:rPr/>
              <w:t> </w:t>
            </w:r>
          </w:p>
        </w:tc>
      </w:tr>
      <w:tr>
        <w:trPr/>
        <w:tc>
          <w:tcPr>
            <w:tcW w:w="4001"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pPr>
            <w:r>
              <w:rPr/>
              <w:t> </w:t>
            </w:r>
          </w:p>
        </w:tc>
        <w:tc>
          <w:tcPr>
            <w:tcW w:w="966" w:type="dxa"/>
            <w:tcBorders/>
            <w:shd w:fill="FFFFFF" w:val="clear"/>
            <w:vAlign w:val="center"/>
          </w:tcPr>
          <w:p>
            <w:pPr>
              <w:pStyle w:val="TableContents"/>
              <w:bidi w:val="0"/>
              <w:spacing w:before="0" w:after="283"/>
              <w:jc w:val="right"/>
              <w:rPr/>
            </w:pPr>
            <w:r>
              <w:rPr/>
              <w:t> </w:t>
            </w:r>
          </w:p>
        </w:tc>
      </w:tr>
      <w:tr>
        <w:trPr/>
        <w:tc>
          <w:tcPr>
            <w:tcW w:w="4001" w:type="dxa"/>
            <w:tcBorders/>
            <w:shd w:fill="FFFFFF" w:val="cle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u w:val="single"/>
              </w:rPr>
              <w:t>Debt metrics (pro-rata; trailing 12 months "TTM")</w:t>
            </w:r>
            <w:r>
              <w:rPr>
                <w:rFonts w:ascii="Tahoma;sans-serif" w:hAnsi="Tahoma;sans-serif"/>
                <w:b/>
                <w:color w:val="000000"/>
                <w:sz w:val="9"/>
              </w:rPr>
              <w:t>(1)</w:t>
            </w:r>
          </w:p>
        </w:tc>
        <w:tc>
          <w:tcPr>
            <w:tcW w:w="871"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r>
      <w:tr>
        <w:trPr/>
        <w:tc>
          <w:tcPr>
            <w:tcW w:w="4001"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r>
      <w:tr>
        <w:trPr/>
        <w:tc>
          <w:tcPr>
            <w:tcW w:w="400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Preferreds-to-Operating EBITDAre</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5.2x</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5.4x</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5.0x</w:t>
            </w:r>
          </w:p>
        </w:tc>
        <w:tc>
          <w:tcPr>
            <w:tcW w:w="96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5.1x</w:t>
            </w:r>
          </w:p>
        </w:tc>
      </w:tr>
      <w:tr>
        <w:trPr/>
        <w:tc>
          <w:tcPr>
            <w:tcW w:w="4001" w:type="dxa"/>
            <w:tcBorders/>
            <w:shd w:fill="FFFFFF" w:val="clear"/>
            <w:vAlign w:val="center"/>
          </w:tcPr>
          <w:p>
            <w:pPr>
              <w:pStyle w:val="TableContents"/>
              <w:bidi w:val="0"/>
              <w:spacing w:before="0" w:after="283"/>
              <w:ind w:left="0" w:right="0" w:firstLine="400"/>
              <w:jc w:val="left"/>
              <w:rPr>
                <w:rFonts w:ascii="Tahoma;sans-serif" w:hAnsi="Tahoma;sans-serif"/>
                <w:i/>
                <w:color w:val="000000"/>
                <w:sz w:val="14"/>
              </w:rPr>
            </w:pPr>
            <w:r>
              <w:rPr>
                <w:rFonts w:ascii="Tahoma;sans-serif" w:hAnsi="Tahoma;sans-serif"/>
                <w:i/>
                <w:color w:val="000000"/>
                <w:sz w:val="14"/>
              </w:rPr>
              <w:t>Net Debt and Preferreds-to-Operating EBITDAre, adjusted</w:t>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5.1x</w:t>
            </w:r>
          </w:p>
        </w:tc>
        <w:tc>
          <w:tcPr>
            <w:tcW w:w="871" w:type="dxa"/>
            <w:tcBorders/>
            <w:shd w:fill="FFFFFF" w:val="clear"/>
            <w:vAlign w:val="center"/>
          </w:tcPr>
          <w:p>
            <w:pPr>
              <w:pStyle w:val="TableContents"/>
              <w:bidi w:val="0"/>
              <w:spacing w:before="0" w:after="283"/>
              <w:jc w:val="right"/>
              <w:rPr/>
            </w:pPr>
            <w:r>
              <w:rPr/>
              <w:t> </w:t>
            </w:r>
          </w:p>
        </w:tc>
        <w:tc>
          <w:tcPr>
            <w:tcW w:w="966" w:type="dxa"/>
            <w:tcBorders/>
            <w:shd w:fill="FFFFFF" w:val="clear"/>
            <w:vAlign w:val="center"/>
          </w:tcPr>
          <w:p>
            <w:pPr>
              <w:pStyle w:val="TableContents"/>
              <w:bidi w:val="0"/>
              <w:spacing w:before="0" w:after="283"/>
              <w:jc w:val="right"/>
              <w:rPr/>
            </w:pPr>
            <w:r>
              <w:rPr/>
              <w:t> </w:t>
            </w:r>
          </w:p>
        </w:tc>
      </w:tr>
      <w:tr>
        <w:trPr/>
        <w:tc>
          <w:tcPr>
            <w:tcW w:w="4001"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r>
      <w:tr>
        <w:trPr/>
        <w:tc>
          <w:tcPr>
            <w:tcW w:w="400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Fixed charge coverage</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4.4x</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4.7x</w:t>
            </w:r>
          </w:p>
        </w:tc>
        <w:tc>
          <w:tcPr>
            <w:tcW w:w="8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4.7x</w:t>
            </w:r>
          </w:p>
        </w:tc>
        <w:tc>
          <w:tcPr>
            <w:tcW w:w="966" w:type="dxa"/>
            <w:tcBorders/>
            <w:shd w:fill="FFFFFF" w:val="cle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4.5x</w:t>
            </w:r>
          </w:p>
        </w:tc>
      </w:tr>
      <w:tr>
        <w:trPr/>
        <w:tc>
          <w:tcPr>
            <w:tcW w:w="4001" w:type="dxa"/>
            <w:tcBorders/>
            <w:shd w:fill="FFFFFF" w:val="clear"/>
            <w:vAlign w:val="center"/>
          </w:tcPr>
          <w:p>
            <w:pPr>
              <w:pStyle w:val="TableContents"/>
              <w:bidi w:val="0"/>
              <w:spacing w:before="0" w:after="283"/>
              <w:ind w:left="0" w:right="0" w:firstLine="400"/>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 w:after="283"/>
        <w:jc w:val="left"/>
        <w:rPr>
          <w:rFonts w:ascii="Tahoma" w:hAnsi="Tahoma"/>
          <w:color w:val="000000"/>
          <w:sz w:val="14"/>
        </w:rPr>
      </w:pPr>
      <w:r>
        <w:rPr>
          <w:rFonts w:ascii="Tahoma" w:hAnsi="Tahoma"/>
          <w:color w:val="000000"/>
          <w:sz w:val="14"/>
        </w:rPr>
        <w:t>(1)</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 light of the merger with UBP on August 18, 2023, adjusted debt metric calculations include legacy Regency results for the trailing 12 months and the annualized contribution from UBP post merger.</w:t>
      </w:r>
    </w:p>
    <w:p>
      <w:pPr>
        <w:pStyle w:val="TextBody"/>
        <w:bidi w:val="0"/>
        <w:jc w:val="right"/>
        <w:rPr/>
      </w:pPr>
      <w:r>
        <w:rPr/>
        <w:drawing>
          <wp:inline distT="0" distB="0" distL="0" distR="0">
            <wp:extent cx="476250" cy="2571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0" w:name="summaryreinfo"/>
      <w:bookmarkEnd w:id="10"/>
      <w:r>
        <w:rPr>
          <w:rFonts w:ascii="Tahoma;sans-serif" w:hAnsi="Tahoma;sans-serif"/>
          <w:b/>
          <w:color w:val="000000"/>
          <w:sz w:val="20"/>
        </w:rPr>
        <w:t>Summary Real Estate Information</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(GLA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24"/>
        <w:gridCol w:w="705"/>
        <w:gridCol w:w="705"/>
        <w:gridCol w:w="705"/>
        <w:gridCol w:w="774"/>
        <w:gridCol w:w="992"/>
      </w:tblGrid>
      <w:tr>
        <w:trPr/>
        <w:tc>
          <w:tcPr>
            <w:tcW w:w="632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6324" w:type="dxa"/>
            <w:tcBorders/>
            <w:shd w:fill="FFFFFF" w:val="clear"/>
            <w:vAlign w:val="center"/>
          </w:tcPr>
          <w:p>
            <w:pPr>
              <w:pStyle w:val="TableContents"/>
              <w:bidi w:val="0"/>
              <w:spacing w:before="0" w:after="283"/>
              <w:jc w:val="left"/>
              <w:rPr>
                <w:rFonts w:ascii="Tahoma;sans-serif" w:hAnsi="Tahoma;sans-serif"/>
                <w:b/>
                <w:color w:val="000000"/>
                <w:sz w:val="13"/>
                <w:u w:val="single"/>
              </w:rPr>
            </w:pPr>
            <w:r>
              <w:rPr>
                <w:rFonts w:ascii="Tahoma;sans-serif" w:hAnsi="Tahoma;sans-serif"/>
                <w:b/>
                <w:color w:val="000000"/>
                <w:sz w:val="13"/>
                <w:u w:val="single"/>
              </w:rPr>
              <w:t>Consolidated and 100% of Real Estate Partnerships</w:t>
            </w:r>
          </w:p>
        </w:tc>
        <w:tc>
          <w:tcPr>
            <w:tcW w:w="705" w:type="dxa"/>
            <w:tcBorders/>
            <w:shd w:fill="FFFFFF" w:val="cle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9/30/2024</w:t>
            </w:r>
          </w:p>
        </w:tc>
        <w:tc>
          <w:tcPr>
            <w:tcW w:w="705" w:type="dxa"/>
            <w:tcBorders/>
            <w:shd w:fill="FFFFFF" w:val="cle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6/30/2024</w:t>
            </w:r>
          </w:p>
        </w:tc>
        <w:tc>
          <w:tcPr>
            <w:tcW w:w="705" w:type="dxa"/>
            <w:tcBorders/>
            <w:shd w:fill="FFFFFF" w:val="cle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3/31/2024</w:t>
            </w:r>
          </w:p>
        </w:tc>
        <w:tc>
          <w:tcPr>
            <w:tcW w:w="774" w:type="dxa"/>
            <w:tcBorders/>
            <w:shd w:fill="FFFFFF" w:val="cle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12/31/2023</w:t>
            </w:r>
          </w:p>
        </w:tc>
        <w:tc>
          <w:tcPr>
            <w:tcW w:w="992" w:type="dxa"/>
            <w:tcBorders/>
            <w:shd w:fill="FFFFFF" w:val="cle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9/30/2023</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481</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482</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482</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481</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retail operating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472</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473</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474</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473</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same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397</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398</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400</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394</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395</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properties in redevelopment</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11</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Number of properties in development</w:t>
            </w:r>
            <w:r>
              <w:rPr>
                <w:rFonts w:ascii="Tahoma;sans-serif" w:hAnsi="Tahoma;sans-serif"/>
                <w:color w:val="000000"/>
                <w:sz w:val="9"/>
              </w:rPr>
              <w:t>(1)</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w:t>
            </w:r>
          </w:p>
        </w:tc>
      </w:tr>
      <w:tr>
        <w:trPr/>
        <w:tc>
          <w:tcPr>
            <w:tcW w:w="6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sz w:val="4"/>
                <w:szCs w:val="4"/>
              </w:rPr>
            </w:pPr>
            <w:r>
              <w:rPr>
                <w:sz w:val="4"/>
                <w:szCs w:val="4"/>
              </w:rPr>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Gross Leasable Area (GLA) - All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57,172</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56,880</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57,013</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56,831</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56,735</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including retailer-owned stores - All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60,919</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60,627</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60,760</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60,578</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60,482</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Retail operating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56,364</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55,960</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56,091</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56,062</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55,970</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Same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50,272</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50,383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50,597</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49,754</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49,860</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Properties in redevelopment</w:t>
            </w:r>
            <w:r>
              <w:rPr>
                <w:rFonts w:ascii="Tahoma;sans-serif" w:hAnsi="Tahoma;sans-serif"/>
                <w:color w:val="000000"/>
                <w:sz w:val="9"/>
              </w:rPr>
              <w:t>(2)</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2,306</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2,003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2,003</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1,954</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1,741</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Properties in development</w:t>
            </w:r>
            <w:r>
              <w:rPr>
                <w:rFonts w:ascii="Tahoma;sans-serif" w:hAnsi="Tahoma;sans-serif"/>
                <w:color w:val="000000"/>
                <w:sz w:val="9"/>
              </w:rPr>
              <w:t>(1)</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750</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863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865</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712</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707</w:t>
            </w:r>
          </w:p>
        </w:tc>
      </w:tr>
      <w:tr>
        <w:trPr/>
        <w:tc>
          <w:tcPr>
            <w:tcW w:w="6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sz w:val="4"/>
                <w:szCs w:val="4"/>
              </w:rPr>
            </w:pPr>
            <w:r>
              <w:rPr>
                <w:sz w:val="4"/>
                <w:szCs w:val="4"/>
              </w:rPr>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b/>
                <w:color w:val="000000"/>
                <w:sz w:val="13"/>
                <w:u w:val="single"/>
              </w:rPr>
            </w:pPr>
            <w:r>
              <w:rPr>
                <w:rFonts w:ascii="Tahoma;sans-serif" w:hAnsi="Tahoma;sans-serif"/>
                <w:b/>
                <w:color w:val="000000"/>
                <w:sz w:val="13"/>
                <w:u w:val="single"/>
              </w:rPr>
              <w:t>Consolidated and Pro-Rata Share of Real Estate Partnerships</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All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48,842</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48,600</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48,732</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48,550</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48,372</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including retailer-owned stores - All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52,589</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52,346</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52,479</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52,297</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52,119</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Retail operating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48,112</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47,757</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47,887</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47,859</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47,686</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Same properties</w:t>
            </w:r>
            <w:r>
              <w:rPr>
                <w:rFonts w:ascii="Tahoma;sans-serif" w:hAnsi="Tahoma;sans-serif"/>
                <w:color w:val="000000"/>
                <w:sz w:val="9"/>
              </w:rPr>
              <w:t>(3)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42,560</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42,575</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42,562</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42,439</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42,436</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ind w:left="0" w:right="0" w:firstLine="800"/>
              <w:jc w:val="center"/>
              <w:rPr/>
            </w:pPr>
            <w:r>
              <w:rPr/>
              <w:t> </w:t>
            </w:r>
          </w:p>
        </w:tc>
      </w:tr>
      <w:tr>
        <w:trPr/>
        <w:tc>
          <w:tcPr>
            <w:tcW w:w="6324" w:type="dxa"/>
            <w:tcBorders/>
            <w:shd w:fill="FFFFFF" w:val="cle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Spaces ≥ 10,000 sf</w:t>
            </w:r>
            <w:r>
              <w:rPr>
                <w:rFonts w:ascii="Tahoma;sans-serif" w:hAnsi="Tahoma;sans-serif"/>
                <w:color w:val="000000"/>
                <w:sz w:val="9"/>
              </w:rPr>
              <w:t>(3)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26,439</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26,424</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26,420</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26,357</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26,363</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ind w:left="0" w:right="0" w:firstLine="800"/>
              <w:jc w:val="center"/>
              <w:rPr/>
            </w:pPr>
            <w:r>
              <w:rPr/>
              <w:t> </w:t>
            </w:r>
          </w:p>
        </w:tc>
      </w:tr>
      <w:tr>
        <w:trPr/>
        <w:tc>
          <w:tcPr>
            <w:tcW w:w="6324" w:type="dxa"/>
            <w:tcBorders/>
            <w:shd w:fill="FFFFFF" w:val="cle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Spaces &lt; 10,000 sf</w:t>
            </w:r>
            <w:r>
              <w:rPr>
                <w:rFonts w:ascii="Tahoma;sans-serif" w:hAnsi="Tahoma;sans-serif"/>
                <w:color w:val="000000"/>
                <w:sz w:val="9"/>
              </w:rPr>
              <w:t>(3)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16,121</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16,151</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16,142</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16,082</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16,074</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Properties in redevelopment</w:t>
            </w:r>
            <w:r>
              <w:rPr>
                <w:rFonts w:ascii="Tahoma;sans-serif" w:hAnsi="Tahoma;sans-serif"/>
                <w:color w:val="000000"/>
                <w:sz w:val="9"/>
              </w:rPr>
              <w:t>(2)</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2,258</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1,955</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1,955</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1,906</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1,694</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Properties in development</w:t>
            </w:r>
            <w:r>
              <w:rPr>
                <w:rFonts w:ascii="Tahoma;sans-serif" w:hAnsi="Tahoma;sans-serif"/>
                <w:color w:val="000000"/>
                <w:sz w:val="9"/>
              </w:rPr>
              <w:t>(1)</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672</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785</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788</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634</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629</w:t>
            </w:r>
          </w:p>
        </w:tc>
      </w:tr>
      <w:tr>
        <w:trPr/>
        <w:tc>
          <w:tcPr>
            <w:tcW w:w="6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 leased - All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95.6%</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95.0%</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95.0%</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95.1%</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94.6%</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 leased - Retail operating properties</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95.9%</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95.4%</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95.4%</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95.3%</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94.9%</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 leased - Same properties</w:t>
            </w:r>
            <w:r>
              <w:rPr>
                <w:rFonts w:ascii="Tahoma;sans-serif" w:hAnsi="Tahoma;sans-serif"/>
                <w:color w:val="000000"/>
                <w:sz w:val="9"/>
              </w:rPr>
              <w:t>(3)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96.1%</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95.9%</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95.9%</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95.7%</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95.3%</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ind w:left="0" w:right="0" w:firstLine="800"/>
              <w:jc w:val="center"/>
              <w:rPr/>
            </w:pPr>
            <w:r>
              <w:rPr/>
              <w:t> </w:t>
            </w:r>
          </w:p>
        </w:tc>
      </w:tr>
      <w:tr>
        <w:trPr/>
        <w:tc>
          <w:tcPr>
            <w:tcW w:w="6324" w:type="dxa"/>
            <w:tcBorders/>
            <w:shd w:fill="FFFFFF" w:val="cle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Spaces ≥ 10,000 sf</w:t>
            </w:r>
            <w:r>
              <w:rPr>
                <w:rFonts w:ascii="Tahoma;sans-serif" w:hAnsi="Tahoma;sans-serif"/>
                <w:color w:val="000000"/>
                <w:sz w:val="9"/>
              </w:rPr>
              <w:t>(3)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97.6%</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97.2%</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97.0%</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96.6%</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ind w:left="0" w:right="0" w:firstLine="800"/>
              <w:jc w:val="center"/>
              <w:rPr/>
            </w:pPr>
            <w:r>
              <w:rPr/>
              <w:t> </w:t>
            </w:r>
          </w:p>
        </w:tc>
      </w:tr>
      <w:tr>
        <w:trPr/>
        <w:tc>
          <w:tcPr>
            <w:tcW w:w="6324" w:type="dxa"/>
            <w:tcBorders/>
            <w:shd w:fill="FFFFFF" w:val="cle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Spaces &lt; 10,000 sf</w:t>
            </w:r>
            <w:r>
              <w:rPr>
                <w:rFonts w:ascii="Tahoma;sans-serif" w:hAnsi="Tahoma;sans-serif"/>
                <w:color w:val="000000"/>
                <w:sz w:val="9"/>
              </w:rPr>
              <w:t>(3)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93.7%</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93.5%</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93.6%</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93.5%</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93.2%</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 commenced - Same properties</w:t>
            </w:r>
            <w:r>
              <w:rPr>
                <w:rFonts w:ascii="Tahoma;sans-serif" w:hAnsi="Tahoma;sans-serif"/>
                <w:color w:val="000000"/>
                <w:sz w:val="9"/>
              </w:rPr>
              <w:t>(3)(4)</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92.7%</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92.3%</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92.2%</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92.9%</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92.6%</w:t>
            </w:r>
          </w:p>
        </w:tc>
      </w:tr>
      <w:tr>
        <w:trPr/>
        <w:tc>
          <w:tcPr>
            <w:tcW w:w="6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sz w:val="4"/>
                <w:szCs w:val="4"/>
              </w:rPr>
            </w:pPr>
            <w:r>
              <w:rPr>
                <w:sz w:val="4"/>
                <w:szCs w:val="4"/>
              </w:rPr>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Same property NOI Growth without Termination Fees - YTD (see page 8)</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2.1%</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1.4%</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1.7%</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2.0%</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Same property NOI Growth without Termination Fees or Redevelopments - YTD (see page 8)</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2.1%</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1.5%</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1.1%</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0.9%</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1.2%</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Same property NOI Growth without Termination Fees or Collection of 2020/2021 Reserves - YTD (see page 8)</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3.4%</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2.7%</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2.1%</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3.6%</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4.3%</w:t>
            </w:r>
          </w:p>
        </w:tc>
      </w:tr>
      <w:tr>
        <w:trPr/>
        <w:tc>
          <w:tcPr>
            <w:tcW w:w="6324"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05" w:type="dxa"/>
            <w:tcBorders/>
            <w:shd w:fill="FFFFFF" w:val="clear"/>
            <w:vAlign w:val="center"/>
          </w:tcPr>
          <w:p>
            <w:pPr>
              <w:pStyle w:val="TableContents"/>
              <w:bidi w:val="0"/>
              <w:spacing w:before="0" w:after="283"/>
              <w:jc w:val="center"/>
              <w:rPr/>
            </w:pPr>
            <w:r>
              <w:rPr/>
              <w:t> </w:t>
            </w:r>
          </w:p>
        </w:tc>
        <w:tc>
          <w:tcPr>
            <w:tcW w:w="774" w:type="dxa"/>
            <w:tcBorders/>
            <w:shd w:fill="FFFFFF" w:val="clear"/>
            <w:vAlign w:val="center"/>
          </w:tcPr>
          <w:p>
            <w:pPr>
              <w:pStyle w:val="TableContents"/>
              <w:bidi w:val="0"/>
              <w:spacing w:before="0" w:after="283"/>
              <w:jc w:val="center"/>
              <w:rPr/>
            </w:pPr>
            <w:r>
              <w:rPr/>
              <w:t> </w:t>
            </w:r>
          </w:p>
        </w:tc>
        <w:tc>
          <w:tcPr>
            <w:tcW w:w="992" w:type="dxa"/>
            <w:tcBorders/>
            <w:shd w:fill="FFFFFF" w:val="clear"/>
            <w:vAlign w:val="center"/>
          </w:tcPr>
          <w:p>
            <w:pPr>
              <w:pStyle w:val="TableContents"/>
              <w:bidi w:val="0"/>
              <w:spacing w:before="0" w:after="283"/>
              <w:jc w:val="center"/>
              <w:rPr/>
            </w:pPr>
            <w:r>
              <w:rPr/>
              <w:t> </w:t>
            </w:r>
          </w:p>
        </w:tc>
      </w:tr>
      <w:tr>
        <w:trPr/>
        <w:tc>
          <w:tcPr>
            <w:tcW w:w="6324" w:type="dxa"/>
            <w:tcBorders/>
            <w:shd w:fill="FFFFFF" w:val="cle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Rent spreads - Trailing 12 months</w:t>
            </w:r>
            <w:r>
              <w:rPr>
                <w:rFonts w:ascii="Tahoma;sans-serif" w:hAnsi="Tahoma;sans-serif"/>
                <w:color w:val="000000"/>
                <w:sz w:val="9"/>
              </w:rPr>
              <w:t>(5)</w:t>
            </w:r>
            <w:r>
              <w:rPr>
                <w:rFonts w:ascii="Times New Roman" w:hAnsi="Times New Roman"/>
                <w:color w:val="000000"/>
                <w:sz w:val="13"/>
              </w:rPr>
              <w:t> </w:t>
            </w:r>
            <w:r>
              <w:rPr>
                <w:rFonts w:ascii="Tahoma;sans-serif" w:hAnsi="Tahoma;sans-serif"/>
                <w:color w:val="000000"/>
                <w:sz w:val="13"/>
              </w:rPr>
              <w:t>(see page 19)</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w:t>
            </w:r>
          </w:p>
        </w:tc>
        <w:tc>
          <w:tcPr>
            <w:tcW w:w="705"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10.3%</w:t>
            </w:r>
          </w:p>
        </w:tc>
        <w:tc>
          <w:tcPr>
            <w:tcW w:w="774"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10.0%</w:t>
            </w:r>
          </w:p>
        </w:tc>
        <w:tc>
          <w:tcPr>
            <w:tcW w:w="992" w:type="dxa"/>
            <w:tcBorders/>
            <w:shd w:fill="FFFFFF" w:val="cle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8.7%</w:t>
            </w:r>
          </w:p>
        </w:tc>
      </w:tr>
      <w:tr>
        <w:trPr/>
        <w:tc>
          <w:tcPr>
            <w:tcW w:w="6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ahoma" w:hAnsi="Tahoma"/>
          <w:color w:val="000000"/>
          <w:sz w:val="14"/>
        </w:rPr>
      </w:pPr>
      <w:r>
        <w:rPr>
          <w:rFonts w:ascii="Tahoma" w:hAnsi="Tahoma"/>
          <w:color w:val="000000"/>
          <w:sz w:val="14"/>
        </w:rPr>
        <w:t>(1)</w:t>
      </w:r>
    </w:p>
    <w:p>
      <w:pPr>
        <w:pStyle w:val="TextBody"/>
        <w:bidi w:val="0"/>
        <w:spacing w:before="240" w:after="283"/>
        <w:jc w:val="left"/>
        <w:rPr>
          <w:rFonts w:ascii="Tahoma;sans-serif" w:hAnsi="Tahoma;sans-serif"/>
          <w:color w:val="000000"/>
          <w:sz w:val="14"/>
        </w:rPr>
      </w:pPr>
      <w:r>
        <w:rPr>
          <w:rFonts w:ascii="Tahoma;sans-serif" w:hAnsi="Tahoma;sans-serif"/>
          <w:color w:val="000000"/>
          <w:sz w:val="14"/>
        </w:rPr>
        <w:t xml:space="preserve">Includes current ground-up developments. </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Represents entire center GLA rather than redevelopment portion only. Included in Same Property pool unless noted otherwise.</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Prior periods adjusted for current same property pool.</w:t>
      </w:r>
    </w:p>
    <w:p>
      <w:pPr>
        <w:pStyle w:val="TextBody"/>
        <w:bidi w:val="0"/>
        <w:spacing w:before="20" w:after="283"/>
        <w:jc w:val="left"/>
        <w:rPr>
          <w:rFonts w:ascii="Tahoma" w:hAnsi="Tahoma"/>
          <w:color w:val="000000"/>
          <w:sz w:val="14"/>
        </w:rPr>
      </w:pPr>
      <w:r>
        <w:rPr>
          <w:rFonts w:ascii="Tahoma" w:hAnsi="Tahoma"/>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Excludes leases that are signed but have not yet commenced.</w:t>
      </w:r>
    </w:p>
    <w:p>
      <w:pPr>
        <w:pStyle w:val="TextBody"/>
        <w:bidi w:val="0"/>
        <w:spacing w:before="20" w:after="60"/>
        <w:jc w:val="left"/>
        <w:rPr>
          <w:rFonts w:ascii="Tahoma" w:hAnsi="Tahoma"/>
          <w:color w:val="000000"/>
          <w:sz w:val="14"/>
        </w:rPr>
      </w:pPr>
      <w:r>
        <w:rPr>
          <w:rFonts w:ascii="Tahoma" w:hAnsi="Tahoma"/>
          <w:color w:val="000000"/>
          <w:sz w:val="14"/>
        </w:rPr>
        <w:t>(5)</w:t>
      </w:r>
    </w:p>
    <w:p>
      <w:pPr>
        <w:pStyle w:val="TextBody"/>
        <w:bidi w:val="0"/>
        <w:spacing w:before="20" w:after="60"/>
        <w:jc w:val="left"/>
        <w:rPr>
          <w:rFonts w:ascii="Tahoma;sans-serif" w:hAnsi="Tahoma;sans-serif"/>
          <w:color w:val="000000"/>
          <w:sz w:val="14"/>
        </w:rPr>
      </w:pPr>
      <w:r>
        <w:rPr>
          <w:rFonts w:ascii="Tahoma;sans-serif" w:hAnsi="Tahoma;sans-serif"/>
          <w:color w:val="000000"/>
          <w:sz w:val="14"/>
        </w:rPr>
        <w:t>Retail operating properties only. Rent spreads are calculated on a comparable-space, cash basis for new and renewal leases executed.</w:t>
      </w:r>
    </w:p>
    <w:p>
      <w:pPr>
        <w:pStyle w:val="TextBody"/>
        <w:bidi w:val="0"/>
        <w:spacing w:before="20" w:after="283"/>
        <w:jc w:val="left"/>
        <w:rPr>
          <w:rFonts w:ascii="Times New Roman" w:hAnsi="Times New Roman"/>
          <w:sz w:val="20"/>
        </w:rPr>
      </w:pPr>
      <w:r>
        <w:rPr>
          <w:rFonts w:ascii="Tahoma;sans-serif" w:hAnsi="Tahoma;sans-serif"/>
          <w:color w:val="000000"/>
          <w:sz w:val="14"/>
        </w:rPr>
        <w:t>Amounts may not foot due to rounding.</w:t>
      </w:r>
      <w:r>
        <w:rPr>
          <w:rFonts w:ascii="Times New Roman" w:hAnsi="Times New Roman"/>
          <w:color w:val="000000"/>
          <w:sz w:val="20"/>
        </w:rPr>
        <w:t xml:space="preserve"> </w:t>
      </w:r>
    </w:p>
    <w:p>
      <w:pPr>
        <w:pStyle w:val="TextBody"/>
        <w:bidi w:val="0"/>
        <w:jc w:val="right"/>
        <w:rPr/>
      </w:pPr>
      <w:r>
        <w:rPr/>
        <w:drawing>
          <wp:inline distT="0" distB="0" distL="0" distR="0">
            <wp:extent cx="476250" cy="2571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2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1" w:name="consolbs"/>
      <w:bookmarkEnd w:id="11"/>
      <w:r>
        <w:rPr>
          <w:rFonts w:ascii="Tahoma;sans-serif" w:hAnsi="Tahoma;sans-serif"/>
          <w:b/>
          <w:color w:val="000000"/>
          <w:sz w:val="20"/>
        </w:rPr>
        <w:t>Consolidated Balance Sheets</w:t>
      </w:r>
    </w:p>
    <w:p>
      <w:pPr>
        <w:pStyle w:val="TextBody"/>
        <w:bidi w:val="0"/>
        <w:jc w:val="center"/>
        <w:rPr>
          <w:rFonts w:ascii="Tahoma;sans-serif" w:hAnsi="Tahoma;sans-serif"/>
          <w:color w:val="000000"/>
          <w:sz w:val="20"/>
        </w:rPr>
      </w:pPr>
      <w:r>
        <w:rPr>
          <w:rFonts w:ascii="Tahoma;sans-serif" w:hAnsi="Tahoma;sans-serif"/>
          <w:color w:val="000000"/>
          <w:sz w:val="20"/>
        </w:rPr>
        <w:t>September 30, 2024 and December 31, 2023</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8379" w:type="dxa"/>
        <w:jc w:val="left"/>
        <w:tblInd w:w="0" w:type="dxa"/>
        <w:tblLayout w:type="fixed"/>
        <w:tblCellMar>
          <w:top w:w="28" w:type="dxa"/>
          <w:left w:w="28" w:type="dxa"/>
          <w:bottom w:w="28" w:type="dxa"/>
          <w:right w:w="28" w:type="dxa"/>
        </w:tblCellMar>
      </w:tblPr>
      <w:tblGrid>
        <w:gridCol w:w="4556"/>
        <w:gridCol w:w="146"/>
        <w:gridCol w:w="196"/>
        <w:gridCol w:w="916"/>
        <w:gridCol w:w="166"/>
        <w:gridCol w:w="146"/>
        <w:gridCol w:w="146"/>
        <w:gridCol w:w="916"/>
        <w:gridCol w:w="1191"/>
      </w:tblGrid>
      <w:tr>
        <w:trPr/>
        <w:tc>
          <w:tcPr>
            <w:tcW w:w="4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4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2023</w:t>
            </w:r>
          </w:p>
        </w:tc>
        <w:tc>
          <w:tcPr>
            <w:tcW w:w="1191" w:type="dxa"/>
            <w:tcBorders/>
            <w:shd w:fill="FFFFFF" w:val="clear"/>
            <w:vAlign w:val="center"/>
          </w:tcPr>
          <w:p>
            <w:pPr>
              <w:pStyle w:val="TableContents"/>
              <w:bidi w:val="0"/>
              <w:spacing w:before="0" w:after="283"/>
              <w:jc w:val="center"/>
              <w:rPr/>
            </w:pPr>
            <w:r>
              <w:rPr/>
              <w:t> </w:t>
            </w:r>
          </w:p>
        </w:tc>
      </w:tr>
      <w:tr>
        <w:trPr/>
        <w:tc>
          <w:tcPr>
            <w:tcW w:w="4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191" w:type="dxa"/>
            <w:tcBorders/>
            <w:shd w:fill="FFFFFF" w:val="clear"/>
            <w:vAlign w:val="center"/>
          </w:tcPr>
          <w:p>
            <w:pPr>
              <w:pStyle w:val="TableContents"/>
              <w:bidi w:val="0"/>
              <w:spacing w:before="0" w:after="283"/>
              <w:jc w:val="center"/>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Assets:</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real estate investments:</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ind w:left="0" w:right="0" w:firstLine="200"/>
              <w:jc w:val="lef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Real estate assets at cost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13,620,602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13,454,391</w:t>
            </w:r>
          </w:p>
        </w:tc>
        <w:tc>
          <w:tcPr>
            <w:tcW w:w="1191" w:type="dxa"/>
            <w:tcBorders/>
            <w:shd w:fill="FFFFFF" w:val="clear"/>
            <w:vAlign w:val="center"/>
          </w:tcPr>
          <w:p>
            <w:pPr>
              <w:pStyle w:val="TableContents"/>
              <w:bidi w:val="0"/>
              <w:spacing w:before="0" w:after="283"/>
              <w:ind w:left="0" w:right="0" w:firstLine="200"/>
              <w:jc w:val="lef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2,894,010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2,691,386</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Real estate assets,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10,726,592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10,763,005</w:t>
            </w:r>
          </w:p>
        </w:tc>
        <w:tc>
          <w:tcPr>
            <w:tcW w:w="1191" w:type="dxa"/>
            <w:tcBorders/>
            <w:shd w:fill="FFFFFF" w:val="clear"/>
            <w:vAlign w:val="center"/>
          </w:tcPr>
          <w:p>
            <w:pPr>
              <w:pStyle w:val="TableContents"/>
              <w:bidi w:val="0"/>
              <w:spacing w:before="0" w:after="283"/>
              <w:ind w:left="0" w:right="0" w:firstLine="200"/>
              <w:jc w:val="lef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Investments in sales-type lease,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8,705</w:t>
            </w:r>
          </w:p>
        </w:tc>
        <w:tc>
          <w:tcPr>
            <w:tcW w:w="1191" w:type="dxa"/>
            <w:tcBorders/>
            <w:shd w:fill="FFFFFF" w:val="clear"/>
            <w:vAlign w:val="center"/>
          </w:tcPr>
          <w:p>
            <w:pPr>
              <w:pStyle w:val="TableContents"/>
              <w:bidi w:val="0"/>
              <w:spacing w:before="0" w:after="283"/>
              <w:ind w:left="0" w:right="0" w:firstLine="200"/>
              <w:jc w:val="lef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Investments in real estate partnerships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387,413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370,605</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Net real estate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11,130,061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11,142,315</w:t>
            </w:r>
          </w:p>
        </w:tc>
        <w:tc>
          <w:tcPr>
            <w:tcW w:w="1191" w:type="dxa"/>
            <w:tcBorders/>
            <w:shd w:fill="FFFFFF" w:val="clear"/>
            <w:vAlign w:val="center"/>
          </w:tcPr>
          <w:p>
            <w:pPr>
              <w:pStyle w:val="TableContents"/>
              <w:bidi w:val="0"/>
              <w:spacing w:before="0" w:after="283"/>
              <w:ind w:left="0" w:right="0" w:firstLine="160"/>
              <w:jc w:val="left"/>
              <w:rPr/>
            </w:pPr>
            <w:r>
              <w:rPr/>
              <w:t> </w:t>
            </w:r>
          </w:p>
        </w:tc>
      </w:tr>
      <w:tr>
        <w:trPr/>
        <w:tc>
          <w:tcPr>
            <w:tcW w:w="455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jc w:val="righ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Properties held for sale,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18,878</w:t>
            </w:r>
          </w:p>
        </w:tc>
        <w:tc>
          <w:tcPr>
            <w:tcW w:w="1191" w:type="dxa"/>
            <w:tcBorders/>
            <w:shd w:fill="FFFFFF" w:val="cle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114,831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91,354</w:t>
            </w:r>
          </w:p>
        </w:tc>
        <w:tc>
          <w:tcPr>
            <w:tcW w:w="1191" w:type="dxa"/>
            <w:tcBorders/>
            <w:shd w:fill="FFFFFF" w:val="cle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jc w:val="righ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Tenant receivables,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26,887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34,814</w:t>
            </w:r>
          </w:p>
        </w:tc>
        <w:tc>
          <w:tcPr>
            <w:tcW w:w="1191" w:type="dxa"/>
            <w:tcBorders/>
            <w:shd w:fill="FFFFFF" w:val="cle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Straight-line rent receivables,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152,319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138,589</w:t>
            </w:r>
          </w:p>
        </w:tc>
        <w:tc>
          <w:tcPr>
            <w:tcW w:w="1191" w:type="dxa"/>
            <w:tcBorders/>
            <w:shd w:fill="FFFFFF" w:val="cle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receivables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32,759</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 and other receivables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240,114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206,162</w:t>
            </w:r>
          </w:p>
        </w:tc>
        <w:tc>
          <w:tcPr>
            <w:tcW w:w="1191" w:type="dxa"/>
            <w:tcBorders/>
            <w:shd w:fill="FFFFFF" w:val="cle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jc w:val="righ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Deferred leasing costs,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78,206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73,398</w:t>
            </w:r>
          </w:p>
        </w:tc>
        <w:tc>
          <w:tcPr>
            <w:tcW w:w="1191" w:type="dxa"/>
            <w:tcBorders/>
            <w:shd w:fill="FFFFFF" w:val="cle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Acquired lease intangible assets,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242,529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283,375</w:t>
            </w:r>
          </w:p>
        </w:tc>
        <w:tc>
          <w:tcPr>
            <w:tcW w:w="1191" w:type="dxa"/>
            <w:tcBorders/>
            <w:shd w:fill="FFFFFF" w:val="cle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Right of use assets,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323,660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328,002</w:t>
            </w:r>
          </w:p>
        </w:tc>
        <w:tc>
          <w:tcPr>
            <w:tcW w:w="1191" w:type="dxa"/>
            <w:tcBorders/>
            <w:shd w:fill="FFFFFF" w:val="cle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297,178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283,429</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600"/>
              <w:jc w:val="right"/>
              <w:rPr/>
            </w:pPr>
            <w:r>
              <w:rPr/>
              <w:t> </w:t>
            </w:r>
          </w:p>
        </w:tc>
      </w:tr>
      <w:tr>
        <w:trPr/>
        <w:tc>
          <w:tcPr>
            <w:tcW w:w="4556" w:type="dxa"/>
            <w:tcBorders/>
            <w:shd w:fill="FFFFFF" w:val="cle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12,426,579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12,426,913</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556" w:type="dxa"/>
            <w:tcBorders/>
            <w:shd w:fill="FFFFFF" w:val="clear"/>
            <w:vAlign w:val="center"/>
          </w:tcPr>
          <w:p>
            <w:pPr>
              <w:pStyle w:val="TableContents"/>
              <w:bidi w:val="0"/>
              <w:spacing w:before="0" w:after="283"/>
              <w:ind w:left="0" w:right="0" w:firstLine="48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480"/>
              <w:jc w:val="right"/>
              <w:rPr/>
            </w:pPr>
            <w:r>
              <w:rPr/>
              <w:t> </w:t>
            </w:r>
          </w:p>
        </w:tc>
      </w:tr>
      <w:tr>
        <w:trPr/>
        <w:tc>
          <w:tcPr>
            <w:tcW w:w="4556" w:type="dxa"/>
            <w:tcBorders/>
            <w:shd w:fill="FFFFFF" w:val="clear"/>
            <w:vAlign w:val="center"/>
          </w:tcPr>
          <w:p>
            <w:pPr>
              <w:pStyle w:val="TableContents"/>
              <w:bidi w:val="0"/>
              <w:spacing w:before="0" w:after="283"/>
              <w:ind w:left="0" w:right="0" w:firstLine="48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jc w:val="righ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Liabilities and Equity:</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Liabilities:</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ind w:left="0" w:right="0" w:firstLine="200"/>
              <w:jc w:val="lef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Notes payable,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4,365,007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4,001,949</w:t>
            </w:r>
          </w:p>
        </w:tc>
        <w:tc>
          <w:tcPr>
            <w:tcW w:w="1191" w:type="dxa"/>
            <w:tcBorders/>
            <w:shd w:fill="FFFFFF" w:val="clear"/>
            <w:vAlign w:val="center"/>
          </w:tcPr>
          <w:p>
            <w:pPr>
              <w:pStyle w:val="TableContents"/>
              <w:bidi w:val="0"/>
              <w:spacing w:before="0" w:after="283"/>
              <w:ind w:left="0" w:right="0" w:firstLine="200"/>
              <w:jc w:val="lef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Unsecured credit facility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152,000</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Total notes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4,395,007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4,153,949</w:t>
            </w:r>
          </w:p>
        </w:tc>
        <w:tc>
          <w:tcPr>
            <w:tcW w:w="1191" w:type="dxa"/>
            <w:tcBorders/>
            <w:shd w:fill="FFFFFF" w:val="clear"/>
            <w:vAlign w:val="center"/>
          </w:tcPr>
          <w:p>
            <w:pPr>
              <w:pStyle w:val="TableContents"/>
              <w:bidi w:val="0"/>
              <w:spacing w:before="0" w:after="283"/>
              <w:ind w:left="0" w:right="0" w:firstLine="240"/>
              <w:jc w:val="left"/>
              <w:rPr/>
            </w:pPr>
            <w:r>
              <w:rPr/>
              <w:t> </w:t>
            </w:r>
          </w:p>
        </w:tc>
      </w:tr>
      <w:tr>
        <w:trPr/>
        <w:tc>
          <w:tcPr>
            <w:tcW w:w="4556" w:type="dxa"/>
            <w:tcBorders/>
            <w:shd w:fill="FFFFFF" w:val="clear"/>
            <w:vAlign w:val="center"/>
          </w:tcPr>
          <w:p>
            <w:pPr>
              <w:pStyle w:val="TableContents"/>
              <w:bidi w:val="0"/>
              <w:spacing w:before="0" w:after="283"/>
              <w:ind w:left="0" w:right="0" w:firstLine="24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200"/>
              <w:jc w:val="righ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Accounts payable and other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389,055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358,612</w:t>
            </w:r>
          </w:p>
        </w:tc>
        <w:tc>
          <w:tcPr>
            <w:tcW w:w="1191" w:type="dxa"/>
            <w:tcBorders/>
            <w:shd w:fill="FFFFFF" w:val="clear"/>
            <w:vAlign w:val="center"/>
          </w:tcPr>
          <w:p>
            <w:pPr>
              <w:pStyle w:val="TableContents"/>
              <w:bidi w:val="0"/>
              <w:spacing w:before="0" w:after="283"/>
              <w:ind w:left="0" w:right="0" w:firstLine="200"/>
              <w:jc w:val="lef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Acquired lease intangible liabilities,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372,627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398,302</w:t>
            </w:r>
          </w:p>
        </w:tc>
        <w:tc>
          <w:tcPr>
            <w:tcW w:w="1191" w:type="dxa"/>
            <w:tcBorders/>
            <w:shd w:fill="FFFFFF" w:val="clear"/>
            <w:vAlign w:val="center"/>
          </w:tcPr>
          <w:p>
            <w:pPr>
              <w:pStyle w:val="TableContents"/>
              <w:bidi w:val="0"/>
              <w:spacing w:before="0" w:after="283"/>
              <w:ind w:left="0" w:right="0" w:firstLine="200"/>
              <w:jc w:val="lef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245,107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246,063</w:t>
            </w:r>
          </w:p>
        </w:tc>
        <w:tc>
          <w:tcPr>
            <w:tcW w:w="1191" w:type="dxa"/>
            <w:tcBorders/>
            <w:shd w:fill="FFFFFF" w:val="clear"/>
            <w:vAlign w:val="center"/>
          </w:tcPr>
          <w:p>
            <w:pPr>
              <w:pStyle w:val="TableContents"/>
              <w:bidi w:val="0"/>
              <w:spacing w:before="0" w:after="283"/>
              <w:ind w:left="0" w:right="0" w:firstLine="200"/>
              <w:jc w:val="lef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Tenants' security, escrow deposits, and prepaid rent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80,586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78,052</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5,482,382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5,234,978</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556"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jc w:val="right"/>
              <w:rPr/>
            </w:pPr>
            <w:r>
              <w:rPr/>
              <w:t> </w:t>
            </w:r>
          </w:p>
        </w:tc>
      </w:tr>
      <w:tr>
        <w:trPr/>
        <w:tc>
          <w:tcPr>
            <w:tcW w:w="455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200"/>
              <w:jc w:val="righ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Shareholders' Equity:</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400"/>
              <w:jc w:val="right"/>
              <w:rPr/>
            </w:pPr>
            <w:r>
              <w:rPr/>
              <w:t> </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Preferred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225,000</w:t>
            </w:r>
          </w:p>
        </w:tc>
        <w:tc>
          <w:tcPr>
            <w:tcW w:w="1191" w:type="dxa"/>
            <w:tcBorders/>
            <w:shd w:fill="FFFFFF" w:val="clear"/>
            <w:vAlign w:val="center"/>
          </w:tcPr>
          <w:p>
            <w:pPr>
              <w:pStyle w:val="TableContents"/>
              <w:bidi w:val="0"/>
              <w:spacing w:before="0" w:after="283"/>
              <w:ind w:left="0" w:right="0" w:firstLine="400"/>
              <w:jc w:val="left"/>
              <w:rPr/>
            </w:pPr>
            <w:r>
              <w:rPr/>
              <w:t> </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1,846</w:t>
            </w:r>
          </w:p>
        </w:tc>
        <w:tc>
          <w:tcPr>
            <w:tcW w:w="1191" w:type="dxa"/>
            <w:tcBorders/>
            <w:shd w:fill="FFFFFF" w:val="clear"/>
            <w:vAlign w:val="center"/>
          </w:tcPr>
          <w:p>
            <w:pPr>
              <w:pStyle w:val="TableContents"/>
              <w:bidi w:val="0"/>
              <w:spacing w:before="0" w:after="283"/>
              <w:ind w:left="0" w:right="0" w:firstLine="400"/>
              <w:jc w:val="left"/>
              <w:rPr/>
            </w:pPr>
            <w:r>
              <w:rPr/>
              <w:t> </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Treasury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(27,638</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(25,488</w:t>
            </w:r>
          </w:p>
        </w:tc>
        <w:tc>
          <w:tcPr>
            <w:tcW w:w="11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Additional paid in 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8,509,021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8,704,240</w:t>
            </w:r>
          </w:p>
        </w:tc>
        <w:tc>
          <w:tcPr>
            <w:tcW w:w="1191" w:type="dxa"/>
            <w:tcBorders/>
            <w:shd w:fill="FFFFFF" w:val="clear"/>
            <w:vAlign w:val="center"/>
          </w:tcPr>
          <w:p>
            <w:pPr>
              <w:pStyle w:val="TableContents"/>
              <w:bidi w:val="0"/>
              <w:spacing w:before="0" w:after="283"/>
              <w:ind w:left="0" w:right="0" w:firstLine="400"/>
              <w:jc w:val="left"/>
              <w:rPr/>
            </w:pPr>
            <w:r>
              <w:rPr/>
              <w:t> </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(5,374</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(1,308</w:t>
            </w:r>
          </w:p>
        </w:tc>
        <w:tc>
          <w:tcPr>
            <w:tcW w:w="11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Distributions in excess of net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(1,935,358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(1,871,603</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w:t>
            </w:r>
          </w:p>
        </w:tc>
      </w:tr>
      <w:tr>
        <w:trPr/>
        <w:tc>
          <w:tcPr>
            <w:tcW w:w="4556" w:type="dxa"/>
            <w:tcBorders/>
            <w:shd w:fill="FFFFFF" w:val="cle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shareholders'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6,767,466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7,032,687</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200"/>
              <w:jc w:val="right"/>
              <w:rPr/>
            </w:pPr>
            <w:r>
              <w:rPr/>
              <w:t> </w:t>
            </w:r>
          </w:p>
        </w:tc>
      </w:tr>
      <w:tr>
        <w:trPr/>
        <w:tc>
          <w:tcPr>
            <w:tcW w:w="455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Noncontrolling Interests:</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400"/>
              <w:jc w:val="right"/>
              <w:rPr/>
            </w:pPr>
            <w:r>
              <w:rPr/>
              <w:t> </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Exchangeable operating partnership units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42,195</w:t>
            </w:r>
          </w:p>
        </w:tc>
        <w:tc>
          <w:tcPr>
            <w:tcW w:w="1191" w:type="dxa"/>
            <w:tcBorders/>
            <w:shd w:fill="FFFFFF" w:val="clear"/>
            <w:vAlign w:val="center"/>
          </w:tcPr>
          <w:p>
            <w:pPr>
              <w:pStyle w:val="TableContents"/>
              <w:bidi w:val="0"/>
              <w:spacing w:before="0" w:after="283"/>
              <w:ind w:left="0" w:right="0" w:firstLine="400"/>
              <w:jc w:val="left"/>
              <w:rPr/>
            </w:pPr>
            <w:r>
              <w:rPr/>
              <w:t> </w:t>
            </w:r>
          </w:p>
        </w:tc>
      </w:tr>
      <w:tr>
        <w:trPr/>
        <w:tc>
          <w:tcPr>
            <w:tcW w:w="4556"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Limited partners' interests in consolidated partnerships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135,841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117,053</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56" w:type="dxa"/>
            <w:tcBorders/>
            <w:shd w:fill="FFFFFF" w:val="cle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noncontrolling interests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176,731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159,248</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56" w:type="dxa"/>
            <w:tcBorders/>
            <w:shd w:fill="FFFFFF" w:val="clear"/>
            <w:vAlign w:val="center"/>
          </w:tcPr>
          <w:p>
            <w:pPr>
              <w:pStyle w:val="TableContents"/>
              <w:bidi w:val="0"/>
              <w:spacing w:before="0" w:after="283"/>
              <w:ind w:left="0" w:right="0" w:firstLine="800"/>
              <w:jc w:val="left"/>
              <w:rPr>
                <w:rFonts w:ascii="Tahoma;sans-serif" w:hAnsi="Tahoma;sans-serif"/>
                <w:color w:val="000000"/>
                <w:sz w:val="16"/>
              </w:rPr>
            </w:pPr>
            <w:r>
              <w:rPr>
                <w:rFonts w:ascii="Tahoma;sans-serif" w:hAnsi="Tahoma;sans-serif"/>
                <w:color w:val="000000"/>
                <w:sz w:val="16"/>
              </w:rPr>
              <w:t>Total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6,944,197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7,191,935</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556"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191" w:type="dxa"/>
            <w:tcBorders/>
            <w:shd w:fill="FFFFFF" w:val="clear"/>
            <w:vAlign w:val="center"/>
          </w:tcPr>
          <w:p>
            <w:pPr>
              <w:pStyle w:val="TableContents"/>
              <w:bidi w:val="0"/>
              <w:spacing w:before="0" w:after="283"/>
              <w:ind w:left="0" w:right="0" w:firstLine="1000"/>
              <w:jc w:val="right"/>
              <w:rPr/>
            </w:pPr>
            <w:r>
              <w:rPr/>
              <w:t> </w:t>
            </w:r>
          </w:p>
        </w:tc>
      </w:tr>
      <w:tr>
        <w:trPr/>
        <w:tc>
          <w:tcPr>
            <w:tcW w:w="4556" w:type="dxa"/>
            <w:tcBorders/>
            <w:shd w:fill="FFFFFF" w:val="clear"/>
            <w:vAlign w:val="center"/>
          </w:tcPr>
          <w:p>
            <w:pPr>
              <w:pStyle w:val="TableContents"/>
              <w:bidi w:val="0"/>
              <w:spacing w:before="0" w:after="283"/>
              <w:ind w:left="0" w:right="0" w:firstLine="1000"/>
              <w:jc w:val="left"/>
              <w:rPr>
                <w:rFonts w:ascii="Tahoma;sans-serif" w:hAnsi="Tahoma;sans-serif"/>
                <w:color w:val="000000"/>
                <w:sz w:val="16"/>
              </w:rPr>
            </w:pPr>
            <w:r>
              <w:rPr>
                <w:rFonts w:ascii="Tahoma;sans-serif" w:hAnsi="Tahoma;sans-serif"/>
                <w:color w:val="000000"/>
                <w:sz w:val="16"/>
              </w:rPr>
              <w:t>Total liabilities and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12,426,579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12,426,913</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These consolidated balance sheets should be read in conjunction with the Company's most recent Form 10-Q and Form 10-K filed with the Securities and Exchange Commission.</w:t>
      </w:r>
    </w:p>
    <w:p>
      <w:pPr>
        <w:pStyle w:val="TextBody"/>
        <w:bidi w:val="0"/>
        <w:jc w:val="right"/>
        <w:rPr/>
      </w:pPr>
      <w:r>
        <w:rPr/>
        <w:drawing>
          <wp:inline distT="0" distB="0" distL="0" distR="0">
            <wp:extent cx="476250" cy="2571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2" w:name="consolops"/>
      <w:bookmarkEnd w:id="12"/>
      <w:r>
        <w:rPr>
          <w:rFonts w:ascii="Tahoma;sans-serif" w:hAnsi="Tahoma;sans-serif"/>
          <w:b/>
          <w:color w:val="000000"/>
          <w:sz w:val="20"/>
        </w:rPr>
        <w:t>Consolidated Statements of Operations</w:t>
      </w:r>
    </w:p>
    <w:p>
      <w:pPr>
        <w:pStyle w:val="TextBody"/>
        <w:bidi w:val="0"/>
        <w:jc w:val="center"/>
        <w:rPr>
          <w:rFonts w:ascii="Tahoma;sans-serif" w:hAnsi="Tahoma;sans-serif"/>
          <w:color w:val="000000"/>
          <w:sz w:val="20"/>
        </w:rPr>
      </w:pPr>
      <w:r>
        <w:rPr>
          <w:rFonts w:ascii="Tahoma;sans-serif" w:hAnsi="Tahoma;sans-serif"/>
          <w:color w:val="000000"/>
          <w:sz w:val="20"/>
        </w:rPr>
        <w:t>For the Periods Ended September 30, 2024 and 2023</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rFonts w:ascii="Tahoma;sans-serif" w:hAnsi="Tahoma;sans-serif"/>
          <w:color w:val="000000"/>
          <w:sz w:val="20"/>
        </w:rPr>
      </w:pPr>
      <w:r>
        <w:rPr>
          <w:rFonts w:ascii="Tahoma;sans-serif" w:hAnsi="Tahoma;sans-serif"/>
          <w:color w:val="000000"/>
          <w:sz w:val="20"/>
        </w:rPr>
        <w:t>(unaudited)</w:t>
      </w:r>
    </w:p>
    <w:p>
      <w:pPr>
        <w:pStyle w:val="TextBody"/>
        <w:bidi w:val="0"/>
        <w:jc w:val="left"/>
        <w:rPr/>
      </w:pPr>
      <w:r>
        <w:rPr/>
        <w:t> </w:t>
      </w:r>
    </w:p>
    <w:tbl>
      <w:tblPr>
        <w:tblW w:w="10202" w:type="dxa"/>
        <w:jc w:val="left"/>
        <w:tblInd w:w="0" w:type="dxa"/>
        <w:tblLayout w:type="fixed"/>
        <w:tblCellMar>
          <w:top w:w="28" w:type="dxa"/>
          <w:left w:w="28" w:type="dxa"/>
          <w:bottom w:w="28" w:type="dxa"/>
          <w:right w:w="28" w:type="dxa"/>
        </w:tblCellMar>
      </w:tblPr>
      <w:tblGrid>
        <w:gridCol w:w="4746"/>
        <w:gridCol w:w="146"/>
        <w:gridCol w:w="196"/>
        <w:gridCol w:w="691"/>
        <w:gridCol w:w="166"/>
        <w:gridCol w:w="146"/>
        <w:gridCol w:w="146"/>
        <w:gridCol w:w="691"/>
        <w:gridCol w:w="166"/>
        <w:gridCol w:w="146"/>
        <w:gridCol w:w="196"/>
        <w:gridCol w:w="826"/>
        <w:gridCol w:w="166"/>
        <w:gridCol w:w="146"/>
        <w:gridCol w:w="146"/>
        <w:gridCol w:w="691"/>
        <w:gridCol w:w="79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Year to Date</w:t>
            </w:r>
          </w:p>
        </w:tc>
        <w:tc>
          <w:tcPr>
            <w:tcW w:w="791" w:type="dxa"/>
            <w:tcBorders/>
            <w:shd w:fill="FFFFFF" w:val="clear"/>
            <w:vAlign w:val="center"/>
          </w:tcPr>
          <w:p>
            <w:pPr>
              <w:pStyle w:val="TableContents"/>
              <w:bidi w:val="0"/>
              <w:spacing w:before="0" w:after="283"/>
              <w:jc w:val="center"/>
              <w:rPr/>
            </w:pPr>
            <w:r>
              <w:rPr/>
              <w:t> </w:t>
            </w:r>
          </w:p>
        </w:tc>
      </w:tr>
      <w:tr>
        <w:trPr/>
        <w:tc>
          <w:tcPr>
            <w:tcW w:w="47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2023</w:t>
            </w:r>
          </w:p>
        </w:tc>
        <w:tc>
          <w:tcPr>
            <w:tcW w:w="791" w:type="dxa"/>
            <w:tcBorders/>
            <w:shd w:fill="FFFFFF" w:val="clear"/>
            <w:vAlign w:val="center"/>
          </w:tcPr>
          <w:p>
            <w:pPr>
              <w:pStyle w:val="TableContents"/>
              <w:bidi w:val="0"/>
              <w:spacing w:before="0" w:after="283"/>
              <w:jc w:val="center"/>
              <w:rPr/>
            </w:pPr>
            <w:r>
              <w:rPr/>
              <w:t> </w:t>
            </w:r>
          </w:p>
        </w:tc>
      </w:tr>
      <w:tr>
        <w:trPr/>
        <w:tc>
          <w:tcPr>
            <w:tcW w:w="474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Revenues: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Lease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349,057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320,921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1,050,008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934,180</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Other property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11,464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8,459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Management, transaction, and other fees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20,223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 revenues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360,266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330,638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1,081,368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962,862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474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Operating Expenses: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100,955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87,505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299,508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253,373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Property operating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59,227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183,242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164,643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Real estate taxes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135,514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117,157</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General and administrative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25,073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20,903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75,443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71,248</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Other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4,718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235,888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211,339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703,070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611,139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474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Other Expense, net: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Interest expense,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133,068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112,156</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Gain on sale of real estate, net of tax</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(11,360</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(184</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(33,844</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(515</w:t>
            </w:r>
          </w:p>
        </w:tc>
        <w:tc>
          <w:tcPr>
            <w:tcW w:w="79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Loss on early extinguishment of debt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Net investment (income) expense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(2,449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 other expense,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94,898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109,192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4746" w:type="dxa"/>
            <w:tcBorders/>
            <w:shd w:fill="FFFFFF" w:val="clear"/>
            <w:vAlign w:val="center"/>
          </w:tcPr>
          <w:p>
            <w:pPr>
              <w:pStyle w:val="TableContents"/>
              <w:bidi w:val="0"/>
              <w:spacing w:before="0" w:after="283"/>
              <w:ind w:left="0" w:right="0" w:firstLine="24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46"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Income before equity in income of</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4746" w:type="dxa"/>
            <w:tcBorders/>
            <w:shd w:fill="FFFFFF" w:val="clear"/>
            <w:vAlign w:val="center"/>
          </w:tcPr>
          <w:p>
            <w:pPr>
              <w:pStyle w:val="TableContents"/>
              <w:bidi w:val="0"/>
              <w:spacing w:before="0" w:after="283"/>
              <w:ind w:left="0" w:right="0" w:firstLine="600"/>
              <w:jc w:val="left"/>
              <w:rPr>
                <w:color w:val="000000"/>
              </w:rPr>
            </w:pPr>
            <w:r>
              <w:rPr>
                <w:color w:val="000000"/>
              </w:rPr>
              <w:t>        </w:t>
            </w:r>
            <w:r>
              <w:rPr>
                <w:rFonts w:ascii="Tahoma;sans-serif" w:hAnsi="Tahoma;sans-serif"/>
                <w:color w:val="000000"/>
                <w:sz w:val="16"/>
              </w:rPr>
              <w:t>investments in real estate partnerships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90,088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79,656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283,400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242,531</w:t>
            </w:r>
          </w:p>
        </w:tc>
        <w:tc>
          <w:tcPr>
            <w:tcW w:w="791" w:type="dxa"/>
            <w:tcBorders/>
            <w:shd w:fill="FFFFFF" w:val="clear"/>
            <w:vAlign w:val="center"/>
          </w:tcPr>
          <w:p>
            <w:pPr>
              <w:pStyle w:val="TableContents"/>
              <w:bidi w:val="0"/>
              <w:spacing w:before="0" w:after="283"/>
              <w:ind w:left="0" w:right="0" w:firstLine="320"/>
              <w:jc w:val="left"/>
              <w:rPr/>
            </w:pPr>
            <w:r>
              <w:rPr/>
              <w:t> </w:t>
            </w:r>
          </w:p>
        </w:tc>
      </w:tr>
      <w:tr>
        <w:trPr/>
        <w:tc>
          <w:tcPr>
            <w:tcW w:w="4746"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Equity in income of investments in real estate partnerships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36,302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746" w:type="dxa"/>
            <w:tcBorders/>
            <w:shd w:fill="FFFFFF" w:val="cle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46"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103,576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92,173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321,163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278,833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474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Noncontrolling Interests: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Exchangeable operating partnership units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(593</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(520</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(1,836</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(1,490</w:t>
            </w:r>
          </w:p>
        </w:tc>
        <w:tc>
          <w:tcPr>
            <w:tcW w:w="79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Limited partners' interests in consolidated partnerships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(2,560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(4,050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46"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 attributable to the Company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101,469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90,720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313,911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274,783</w:t>
            </w:r>
          </w:p>
        </w:tc>
        <w:tc>
          <w:tcPr>
            <w:tcW w:w="791" w:type="dxa"/>
            <w:tcBorders/>
            <w:shd w:fill="FFFFFF" w:val="clear"/>
            <w:vAlign w:val="center"/>
          </w:tcPr>
          <w:p>
            <w:pPr>
              <w:pStyle w:val="TableContents"/>
              <w:bidi w:val="0"/>
              <w:spacing w:before="0" w:after="283"/>
              <w:ind w:left="0" w:right="0" w:firstLine="320"/>
              <w:jc w:val="left"/>
              <w:rPr/>
            </w:pPr>
            <w:r>
              <w:rPr/>
              <w:t> </w:t>
            </w:r>
          </w:p>
        </w:tc>
      </w:tr>
      <w:tr>
        <w:trPr/>
        <w:tc>
          <w:tcPr>
            <w:tcW w:w="4746" w:type="dxa"/>
            <w:tcBorders/>
            <w:shd w:fill="FFFFFF" w:val="clear"/>
            <w:vAlign w:val="center"/>
          </w:tcPr>
          <w:p>
            <w:pPr>
              <w:pStyle w:val="TableContents"/>
              <w:bidi w:val="0"/>
              <w:spacing w:before="0" w:after="283"/>
              <w:ind w:left="0" w:right="0" w:firstLine="32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4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Preferred stock dividends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(1,644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 attributable to common shareholders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98,056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89,076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303,672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273,139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These consolidated statements of operations should be read in conjunction with the Company's most recent Form 10-Q and Form 10-K filed with the Securities and Exchange Commission.</w:t>
      </w:r>
    </w:p>
    <w:p>
      <w:pPr>
        <w:pStyle w:val="TextBody"/>
        <w:bidi w:val="0"/>
        <w:jc w:val="right"/>
        <w:rPr/>
      </w:pPr>
      <w:r>
        <w:rPr/>
        <w:drawing>
          <wp:inline distT="0" distB="0" distL="0" distR="0">
            <wp:extent cx="476250" cy="2571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4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3" w:name="suppdetailsops"/>
      <w:bookmarkEnd w:id="13"/>
      <w:r>
        <w:rPr>
          <w:rFonts w:ascii="Tahoma;sans-serif" w:hAnsi="Tahoma;sans-serif"/>
          <w:b/>
          <w:color w:val="000000"/>
          <w:sz w:val="20"/>
        </w:rPr>
        <w:t>Supplemental Details of Operations (Consolidated Only)</w:t>
      </w:r>
    </w:p>
    <w:p>
      <w:pPr>
        <w:pStyle w:val="TextBody"/>
        <w:bidi w:val="0"/>
        <w:jc w:val="center"/>
        <w:rPr>
          <w:rFonts w:ascii="Tahoma;sans-serif" w:hAnsi="Tahoma;sans-serif"/>
          <w:color w:val="000000"/>
          <w:sz w:val="20"/>
        </w:rPr>
      </w:pPr>
      <w:r>
        <w:rPr>
          <w:rFonts w:ascii="Tahoma;sans-serif" w:hAnsi="Tahoma;sans-serif"/>
          <w:color w:val="000000"/>
          <w:sz w:val="20"/>
        </w:rPr>
        <w:t>For the Periods Ended September 30, 2024 and 2023</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8340" w:type="dxa"/>
        <w:jc w:val="left"/>
        <w:tblInd w:w="0" w:type="dxa"/>
        <w:tblLayout w:type="fixed"/>
        <w:tblCellMar>
          <w:top w:w="28" w:type="dxa"/>
          <w:left w:w="28" w:type="dxa"/>
          <w:bottom w:w="28" w:type="dxa"/>
          <w:right w:w="28" w:type="dxa"/>
        </w:tblCellMar>
      </w:tblPr>
      <w:tblGrid>
        <w:gridCol w:w="701"/>
        <w:gridCol w:w="3606"/>
        <w:gridCol w:w="181"/>
        <w:gridCol w:w="601"/>
        <w:gridCol w:w="166"/>
        <w:gridCol w:w="146"/>
        <w:gridCol w:w="601"/>
        <w:gridCol w:w="166"/>
        <w:gridCol w:w="146"/>
        <w:gridCol w:w="181"/>
        <w:gridCol w:w="721"/>
        <w:gridCol w:w="166"/>
        <w:gridCol w:w="146"/>
        <w:gridCol w:w="601"/>
        <w:gridCol w:w="211"/>
      </w:tblGrid>
      <w:tr>
        <w:trPr/>
        <w:tc>
          <w:tcPr>
            <w:tcW w:w="701" w:type="dxa"/>
            <w:tcBorders/>
            <w:vAlign w:val="center"/>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1" w:type="dxa"/>
            <w:tcBorders/>
            <w:shd w:fill="FFFFFF" w:val="clear"/>
            <w:vAlign w:val="center"/>
          </w:tcPr>
          <w:p>
            <w:pPr>
              <w:pStyle w:val="TableContents"/>
              <w:bidi w:val="0"/>
              <w:spacing w:before="0" w:after="283"/>
              <w:jc w:val="left"/>
              <w:rPr/>
            </w:pPr>
            <w:r>
              <w:rPr/>
              <w:t> </w:t>
            </w:r>
          </w:p>
        </w:tc>
        <w:tc>
          <w:tcPr>
            <w:tcW w:w="3606" w:type="dxa"/>
            <w:tcBorders/>
            <w:shd w:fill="FFFFFF" w:val="clear"/>
            <w:vAlign w:val="center"/>
          </w:tcPr>
          <w:p>
            <w:pPr>
              <w:pStyle w:val="TableContents"/>
              <w:bidi w:val="0"/>
              <w:spacing w:before="0" w:after="283"/>
              <w:jc w:val="left"/>
              <w:rPr/>
            </w:pPr>
            <w:r>
              <w:rPr/>
              <w:t> </w:t>
            </w:r>
          </w:p>
        </w:tc>
        <w:tc>
          <w:tcPr>
            <w:tcW w:w="1695" w:type="dxa"/>
            <w:gridSpan w:val="5"/>
            <w:tcBorders/>
            <w:shd w:fill="FFFFFF" w:val="cle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5"/>
            <w:tcBorders/>
            <w:shd w:fill="FFFFFF" w:val="cle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Year to Date</w:t>
            </w:r>
          </w:p>
        </w:tc>
        <w:tc>
          <w:tcPr>
            <w:tcW w:w="211" w:type="dxa"/>
            <w:tcBorders/>
            <w:shd w:fill="FFFFFF" w:val="clear"/>
            <w:vAlign w:val="center"/>
          </w:tcPr>
          <w:p>
            <w:pPr>
              <w:pStyle w:val="TableContents"/>
              <w:bidi w:val="0"/>
              <w:spacing w:before="0" w:after="283"/>
              <w:jc w:val="center"/>
              <w:rPr/>
            </w:pPr>
            <w:r>
              <w:rPr/>
              <w:t> </w:t>
            </w:r>
          </w:p>
        </w:tc>
      </w:tr>
      <w:tr>
        <w:trPr/>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360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2024</w:t>
            </w:r>
          </w:p>
        </w:tc>
        <w:tc>
          <w:tcPr>
            <w:tcW w:w="16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2024</w:t>
            </w:r>
          </w:p>
        </w:tc>
        <w:tc>
          <w:tcPr>
            <w:tcW w:w="16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2023</w:t>
            </w:r>
          </w:p>
        </w:tc>
        <w:tc>
          <w:tcPr>
            <w:tcW w:w="211" w:type="dxa"/>
            <w:tcBorders/>
            <w:shd w:fill="FFFFFF" w:val="clear"/>
            <w:vAlign w:val="center"/>
          </w:tcPr>
          <w:p>
            <w:pPr>
              <w:pStyle w:val="TableContents"/>
              <w:bidi w:val="0"/>
              <w:spacing w:before="0" w:after="283"/>
              <w:jc w:val="center"/>
              <w:rPr/>
            </w:pPr>
            <w:r>
              <w:rPr/>
              <w:t> </w:t>
            </w:r>
          </w:p>
        </w:tc>
      </w:tr>
      <w:tr>
        <w:trPr/>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3606" w:type="dxa"/>
            <w:tcBorders/>
            <w:shd w:fill="FFFFFF" w:val="cle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Revenues:</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Base rent</w:t>
            </w:r>
          </w:p>
        </w:tc>
        <w:tc>
          <w:tcPr>
            <w:tcW w:w="18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246,531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227,347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736,142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654,254</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Recoveries from tenants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84,795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76,973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254,623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222,947</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Percentage rent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2,155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11,958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10,278</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Termination fees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6,270</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Uncollectible lease (income) expense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(342</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(636</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(3,433</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958</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lease income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4,350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3,509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12,941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8,570</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Straight-line rent on lease income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14,877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8,169</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Above/below market rent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22,734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Lease income, net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349,057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320,921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1,050,008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934,180</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property income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11,464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8,459</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Property management fees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11,765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10,536</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Asset management fees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4,900</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Leasing commissions and other fees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4,787</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Management, transaction, and other fees</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6,765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7,079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19,896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20,223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600"/>
              <w:jc w:val="left"/>
              <w:rPr>
                <w:rFonts w:ascii="Tahoma;sans-serif" w:hAnsi="Tahoma;sans-serif"/>
                <w:color w:val="000000"/>
                <w:sz w:val="15"/>
              </w:rPr>
            </w:pPr>
            <w:r>
              <w:rPr>
                <w:rFonts w:ascii="Tahoma;sans-serif" w:hAnsi="Tahoma;sans-serif"/>
                <w:color w:val="000000"/>
                <w:sz w:val="15"/>
              </w:rPr>
              <w:t>Total revenues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360,266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330,638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1,081,368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962,862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3606" w:type="dxa"/>
            <w:tcBorders/>
            <w:shd w:fill="FFFFFF" w:val="cle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Operating Expenses:</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Depreciation and amortization (including FF&amp;E)</w:t>
            </w:r>
          </w:p>
        </w:tc>
        <w:tc>
          <w:tcPr>
            <w:tcW w:w="18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100,955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87,505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299,508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253,373</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160"/>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Operating and maintenance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56,185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54,906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170,058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152,435</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Ground rent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9,989</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Termination expense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Straight-line rent on ground rent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1,058</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Above/below market ground rent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Property operating expense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60,477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59,227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183,242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164,643</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160"/>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Real estate taxes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45,729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40,171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135,514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117,157</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8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80"/>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Gross general &amp; administrative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20,824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69,787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63,788</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Stock-based compensation</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4,199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14,078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13,123</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Capitalized direct development compensation costs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(7,811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400"/>
              <w:jc w:val="left"/>
              <w:rPr>
                <w:rFonts w:ascii="Times New Roman" w:hAnsi="Times New Roman"/>
                <w:sz w:val="15"/>
              </w:rPr>
            </w:pPr>
            <w:r>
              <w:rPr>
                <w:rFonts w:ascii="Tahoma;sans-serif" w:hAnsi="Tahoma;sans-serif"/>
                <w:color w:val="000000"/>
                <w:sz w:val="15"/>
              </w:rPr>
              <w:t xml:space="preserve">General &amp; administrative, net </w:t>
            </w:r>
            <w:r>
              <w:rPr>
                <w:rFonts w:ascii="Tahoma;sans-serif" w:hAnsi="Tahoma;sans-serif"/>
                <w:color w:val="000000"/>
                <w:sz w:val="10"/>
              </w:rPr>
              <w:t>(1)</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24,153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21,695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71,828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69,100</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imes New Roman" w:hAnsi="Times New Roman"/>
                <w:sz w:val="15"/>
              </w:rPr>
            </w:pPr>
            <w:r>
              <w:rPr>
                <w:rFonts w:ascii="Tahoma;sans-serif" w:hAnsi="Tahoma;sans-serif"/>
                <w:color w:val="000000"/>
                <w:sz w:val="15"/>
              </w:rPr>
              <w:t xml:space="preserve">Loss on deferred compensation plan </w:t>
            </w:r>
            <w:r>
              <w:rPr>
                <w:rFonts w:ascii="Tahoma;sans-serif" w:hAnsi="Tahoma;sans-serif"/>
                <w:color w:val="000000"/>
                <w:sz w:val="1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2,148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General &amp; administrative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25,073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20,903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75,443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71,248</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160"/>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expenses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4,059</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Development pursuit costs, net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(852</w:t>
            </w:r>
          </w:p>
        </w:tc>
        <w:tc>
          <w:tcPr>
            <w:tcW w:w="21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vAlign w:val="center"/>
          </w:tcPr>
          <w:p>
            <w:pPr>
              <w:pStyle w:val="TableContents"/>
              <w:bidi w:val="0"/>
              <w:spacing w:before="0" w:after="283"/>
              <w:ind w:left="0" w:right="0" w:firstLine="200"/>
              <w:jc w:val="left"/>
              <w:rPr/>
            </w:pPr>
            <w:r>
              <w:rPr/>
              <w:t> </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Merger transition costs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1,511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Other operating expenses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3,533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9,363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4,718</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160"/>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600"/>
              <w:jc w:val="left"/>
              <w:rPr>
                <w:rFonts w:ascii="Tahoma;sans-serif" w:hAnsi="Tahoma;sans-serif"/>
                <w:color w:val="000000"/>
                <w:sz w:val="15"/>
              </w:rPr>
            </w:pPr>
            <w:r>
              <w:rPr>
                <w:rFonts w:ascii="Tahoma;sans-serif" w:hAnsi="Tahoma;sans-serif"/>
                <w:color w:val="000000"/>
                <w:sz w:val="15"/>
              </w:rPr>
              <w:t>Total operating expenses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235,888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211,339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703,070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611,139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3606" w:type="dxa"/>
            <w:tcBorders/>
            <w:shd w:fill="FFFFFF" w:val="cle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Other Expense, net:</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Gross interest expense</w:t>
            </w:r>
          </w:p>
        </w:tc>
        <w:tc>
          <w:tcPr>
            <w:tcW w:w="18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46,735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38,554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136,378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112,192</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Derivative amortization</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328</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Debt cost amortization</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4,166</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Debt and derivative mark-to-market amortization</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632</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Capitalized interest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(1,636</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(1,492</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(4,812</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(4,026</w:t>
            </w:r>
          </w:p>
        </w:tc>
        <w:tc>
          <w:tcPr>
            <w:tcW w:w="21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Interest 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Interest expense, net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47,022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38,807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133,068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112,156</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160"/>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Gain on sale of real estate, net of tax</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(11,360</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(184</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(33,844</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(515</w:t>
            </w:r>
          </w:p>
        </w:tc>
        <w:tc>
          <w:tcPr>
            <w:tcW w:w="21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vAlign w:val="center"/>
          </w:tcPr>
          <w:p>
            <w:pPr>
              <w:pStyle w:val="TableContents"/>
              <w:bidi w:val="0"/>
              <w:spacing w:before="0" w:after="283"/>
              <w:ind w:left="0" w:right="0" w:firstLine="200"/>
              <w:jc w:val="left"/>
              <w:rPr/>
            </w:pPr>
            <w:r>
              <w:rPr/>
              <w:t> </w:t>
            </w:r>
          </w:p>
        </w:tc>
        <w:tc>
          <w:tcPr>
            <w:tcW w:w="360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Loss on early extinguishment of debt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211"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200"/>
              <w:jc w:val="left"/>
              <w:rPr>
                <w:rFonts w:ascii="Times New Roman" w:hAnsi="Times New Roman"/>
                <w:sz w:val="15"/>
              </w:rPr>
            </w:pPr>
            <w:r>
              <w:rPr>
                <w:rFonts w:ascii="Tahoma;sans-serif" w:hAnsi="Tahoma;sans-serif"/>
                <w:color w:val="000000"/>
                <w:sz w:val="15"/>
              </w:rPr>
              <w:t xml:space="preserve">Net investment (income) expense </w:t>
            </w:r>
            <w:r>
              <w:rPr>
                <w:rFonts w:ascii="Tahoma;sans-serif" w:hAnsi="Tahoma;sans-serif"/>
                <w:color w:val="000000"/>
                <w:sz w:val="10"/>
              </w:rPr>
              <w:t>(2)</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(1,372</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(4,506</w:t>
            </w:r>
          </w:p>
        </w:tc>
        <w:tc>
          <w:tcPr>
            <w:tcW w:w="166"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(2,449</w:t>
            </w:r>
          </w:p>
        </w:tc>
        <w:tc>
          <w:tcPr>
            <w:tcW w:w="21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vAlign w:val="center"/>
          </w:tcPr>
          <w:p>
            <w:pPr>
              <w:pStyle w:val="TableContents"/>
              <w:bidi w:val="0"/>
              <w:spacing w:before="0" w:after="283"/>
              <w:ind w:left="0" w:right="0" w:firstLine="80"/>
              <w:jc w:val="left"/>
              <w:rPr/>
            </w:pPr>
            <w:r>
              <w:rPr/>
              <w:t> </w:t>
            </w:r>
          </w:p>
        </w:tc>
        <w:tc>
          <w:tcPr>
            <w:tcW w:w="3606" w:type="dxa"/>
            <w:tcBorders/>
            <w:shd w:fill="FFFFFF" w:val="clear"/>
            <w:vAlign w:val="center"/>
          </w:tcPr>
          <w:p>
            <w:pPr>
              <w:pStyle w:val="TableContents"/>
              <w:bidi w:val="0"/>
              <w:spacing w:before="0" w:after="283"/>
              <w:ind w:left="0" w:right="0" w:firstLine="80"/>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3606" w:type="dxa"/>
            <w:tcBorders/>
            <w:shd w:fill="FFFFFF" w:val="cle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Total other expense, net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34,290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39,643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94,898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109,192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ahoma;sans-serif" w:hAnsi="Tahoma;sans-serif"/>
          <w:color w:val="000000"/>
          <w:sz w:val="14"/>
        </w:rPr>
      </w:pPr>
      <w:r>
        <w:rPr>
          <w:rFonts w:ascii="Tahoma;sans-serif" w:hAnsi="Tahoma;sans-serif"/>
          <w:color w:val="000000"/>
          <w:sz w:val="14"/>
        </w:rPr>
        <w:t>* Component of Net Operating Income</w:t>
      </w:r>
    </w:p>
    <w:p>
      <w:pPr>
        <w:pStyle w:val="TextBody"/>
        <w:bidi w:val="0"/>
        <w:spacing w:before="20" w:after="283"/>
        <w:jc w:val="left"/>
        <w:rPr>
          <w:rFonts w:ascii="Tahoma" w:hAnsi="Tahoma"/>
          <w:color w:val="000000"/>
          <w:sz w:val="14"/>
        </w:rPr>
      </w:pPr>
      <w:r>
        <w:rPr>
          <w:rFonts w:ascii="Tahoma" w:hAnsi="Tahoma"/>
          <w:color w:val="000000"/>
          <w:sz w:val="14"/>
        </w:rPr>
        <w:t>(1)</w:t>
      </w:r>
    </w:p>
    <w:p>
      <w:pPr>
        <w:pStyle w:val="TextBody"/>
        <w:bidi w:val="0"/>
        <w:spacing w:before="20" w:after="283"/>
        <w:jc w:val="left"/>
        <w:rPr/>
      </w:pPr>
      <w:r>
        <w:rPr>
          <w:rFonts w:ascii="Tahoma;sans-serif" w:hAnsi="Tahoma;sans-serif"/>
          <w:color w:val="000000"/>
          <w:sz w:val="14"/>
        </w:rPr>
        <w:t xml:space="preserve">General &amp; administrative, net is referenced and reflected as G&amp;A expense, net in earnings guidance on page </w:t>
      </w:r>
      <w:hyperlink w:anchor="guidance">
        <w:r>
          <w:rPr>
            <w:rStyle w:val="InternetLink"/>
          </w:rPr>
          <w:t>39</w:t>
        </w:r>
      </w:hyperlink>
      <w:r>
        <w:rPr>
          <w:rFonts w:ascii="Tahoma;sans-serif" w:hAnsi="Tahoma;sans-serif"/>
          <w:color w:val="000000"/>
          <w:sz w:val="14"/>
        </w:rPr>
        <w:t>.</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The change in value of participant obligations within Regency’s non-qualified deferred compensation plan is included in General and administrative expense, which is offset by changes in value of assets held in the plan which is included in Net investment (income) expense.</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These consolidated supplemental details of operations should be read in conjunction with the Company's most recent Form 10-Q and Form 10-K filed with the Securities and Exchange Commission.</w:t>
      </w:r>
    </w:p>
    <w:p>
      <w:pPr>
        <w:pStyle w:val="TextBody"/>
        <w:bidi w:val="0"/>
        <w:jc w:val="right"/>
        <w:rPr/>
      </w:pPr>
      <w:r>
        <w:rPr/>
        <w:drawing>
          <wp:inline distT="0" distB="0" distL="0" distR="0">
            <wp:extent cx="476250" cy="2571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5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4" w:name="suppdetailsbsjv"/>
      <w:bookmarkEnd w:id="14"/>
      <w:r>
        <w:rPr>
          <w:rFonts w:ascii="Tahoma;sans-serif" w:hAnsi="Tahoma;sans-serif"/>
          <w:b/>
          <w:color w:val="000000"/>
          <w:sz w:val="20"/>
        </w:rPr>
        <w:t>Supplemental Details of Assets and Liabilities (Real Estate Partnerships Only)</w:t>
      </w:r>
    </w:p>
    <w:p>
      <w:pPr>
        <w:pStyle w:val="TextBody"/>
        <w:bidi w:val="0"/>
        <w:jc w:val="center"/>
        <w:rPr>
          <w:rFonts w:ascii="Tahoma;sans-serif" w:hAnsi="Tahoma;sans-serif"/>
          <w:color w:val="000000"/>
          <w:sz w:val="20"/>
        </w:rPr>
      </w:pPr>
      <w:r>
        <w:rPr>
          <w:rFonts w:ascii="Tahoma;sans-serif" w:hAnsi="Tahoma;sans-serif"/>
          <w:color w:val="000000"/>
          <w:sz w:val="20"/>
        </w:rPr>
        <w:t>September 30, 2024 and December 31, 2023</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9607" w:type="dxa"/>
        <w:jc w:val="left"/>
        <w:tblInd w:w="0" w:type="dxa"/>
        <w:tblLayout w:type="fixed"/>
        <w:tblCellMar>
          <w:top w:w="28" w:type="dxa"/>
          <w:left w:w="28" w:type="dxa"/>
          <w:bottom w:w="28" w:type="dxa"/>
          <w:right w:w="28" w:type="dxa"/>
        </w:tblCellMar>
      </w:tblPr>
      <w:tblGrid>
        <w:gridCol w:w="3916"/>
        <w:gridCol w:w="146"/>
        <w:gridCol w:w="196"/>
        <w:gridCol w:w="751"/>
        <w:gridCol w:w="166"/>
        <w:gridCol w:w="146"/>
        <w:gridCol w:w="146"/>
        <w:gridCol w:w="751"/>
        <w:gridCol w:w="166"/>
        <w:gridCol w:w="146"/>
        <w:gridCol w:w="196"/>
        <w:gridCol w:w="826"/>
        <w:gridCol w:w="146"/>
        <w:gridCol w:w="146"/>
        <w:gridCol w:w="146"/>
        <w:gridCol w:w="826"/>
        <w:gridCol w:w="7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6" w:type="dxa"/>
            <w:gridSpan w:val="6"/>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Noncontrolling Interests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86" w:type="dxa"/>
            <w:gridSpan w:val="6"/>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Share of JVs</w:t>
            </w:r>
          </w:p>
        </w:tc>
        <w:tc>
          <w:tcPr>
            <w:tcW w:w="791" w:type="dxa"/>
            <w:tcBorders/>
            <w:shd w:fill="FFFFFF" w:val="cle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2023</w:t>
            </w:r>
          </w:p>
        </w:tc>
        <w:tc>
          <w:tcPr>
            <w:tcW w:w="791" w:type="dxa"/>
            <w:tcBorders/>
            <w:shd w:fill="FFFFFF" w:val="cle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Assets: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Real estate assets at cost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(108,076</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(104,170</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1,361,392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1,289,503</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511,238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488,402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Real estate assets,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(90,496</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(85,972</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850,154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801,101</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Investments in sales-type lease,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34,526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Net real estate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(93,246</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(88,586</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886,108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835,627</w:t>
            </w:r>
          </w:p>
        </w:tc>
        <w:tc>
          <w:tcPr>
            <w:tcW w:w="791" w:type="dxa"/>
            <w:tcBorders/>
            <w:shd w:fill="FFFFFF" w:val="clear"/>
            <w:vAlign w:val="center"/>
          </w:tcPr>
          <w:p>
            <w:pPr>
              <w:pStyle w:val="TableContents"/>
              <w:bidi w:val="0"/>
              <w:spacing w:before="0" w:after="283"/>
              <w:ind w:left="0" w:right="0" w:firstLine="160"/>
              <w:jc w:val="left"/>
              <w:rPr/>
            </w:pPr>
            <w:r>
              <w:rPr/>
              <w:t> </w:t>
            </w:r>
          </w:p>
        </w:tc>
      </w:tr>
      <w:tr>
        <w:trPr/>
        <w:tc>
          <w:tcPr>
            <w:tcW w:w="391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(66,397</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(66,036</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14,940</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Tenant receivables,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(359</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(75</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5,542</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Straight-line rent receivables,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(2,697</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(2,192</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22,050</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receivables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 and other receivables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(3,209</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(2,508</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28,186</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Deferred leasing costs,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(1,977</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(1,293</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16,934</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Acquired lease intangible assets,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(1,076</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(1,218</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4,391</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Right of use assets,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(1,630</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(1,697</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4,817</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31,532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3916" w:type="dxa"/>
            <w:tcBorders/>
            <w:shd w:fill="FFFFFF" w:val="cle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(168,218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(162,135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998,996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936,427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Notes payable,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(27,181</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(38,982</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571,821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534,856</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Accounts payable and other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(2,567</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(3,323</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18,579</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Acquired lease intangible liabilities,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(203</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(248</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4,087</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(2,047</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(2,086</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4,191</w:t>
            </w:r>
          </w:p>
        </w:tc>
        <w:tc>
          <w:tcPr>
            <w:tcW w:w="7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Tenants' security, escrow deposits, and prepaid rent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3916" w:type="dxa"/>
            <w:tcBorders/>
            <w:shd w:fill="FFFFFF" w:val="cle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611,583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565,822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jc w:val="left"/>
        <w:rPr>
          <w:rFonts w:ascii="Tahoma;sans-serif" w:hAnsi="Tahoma;sans-serif"/>
          <w:b/>
          <w:color w:val="000000"/>
          <w:sz w:val="16"/>
          <w:u w:val="single"/>
        </w:rPr>
      </w:pPr>
      <w:r>
        <w:rPr>
          <w:rFonts w:ascii="Tahoma;sans-serif" w:hAnsi="Tahoma;sans-serif"/>
          <w:b/>
          <w:color w:val="000000"/>
          <w:sz w:val="16"/>
          <w:u w:val="single"/>
        </w:rPr>
        <w:t>Note</w:t>
      </w:r>
    </w:p>
    <w:p>
      <w:pPr>
        <w:pStyle w:val="TextBody"/>
        <w:bidi w:val="0"/>
        <w:jc w:val="left"/>
        <w:rPr>
          <w:rFonts w:ascii="Tahoma;sans-serif" w:hAnsi="Tahoma;sans-serif"/>
          <w:color w:val="000000"/>
          <w:sz w:val="16"/>
        </w:rPr>
      </w:pPr>
      <w:r>
        <w:rPr>
          <w:rFonts w:ascii="Tahoma;sans-serif" w:hAnsi="Tahoma;sans-serif"/>
          <w:color w:val="000000"/>
          <w:sz w:val="16"/>
        </w:rPr>
        <w:t>Noncontrolling interests represent limited partners' interests in consolidated partnerships' activities and Share of JVs represents the Company's share of real estate partnerships' activities, of which each are included on a single line presentation in the Company's consolidated financial statements in accordance with GAAP.</w:t>
      </w:r>
    </w:p>
    <w:p>
      <w:pPr>
        <w:pStyle w:val="TextBody"/>
        <w:bidi w:val="0"/>
        <w:jc w:val="right"/>
        <w:rPr/>
      </w:pPr>
      <w:r>
        <w:rPr/>
        <w:drawing>
          <wp:inline distT="0" distB="0" distL="0" distR="0">
            <wp:extent cx="476250" cy="2571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6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5" w:name="suppdetailsopsjv"/>
      <w:bookmarkEnd w:id="15"/>
      <w:r>
        <w:rPr>
          <w:rFonts w:ascii="Tahoma;sans-serif" w:hAnsi="Tahoma;sans-serif"/>
          <w:b/>
          <w:color w:val="000000"/>
          <w:sz w:val="20"/>
        </w:rPr>
        <w:t>Supplemental Details of Operations (Real Estate Partnerships Only)</w:t>
      </w:r>
    </w:p>
    <w:p>
      <w:pPr>
        <w:pStyle w:val="TextBody"/>
        <w:bidi w:val="0"/>
        <w:jc w:val="center"/>
        <w:rPr>
          <w:rFonts w:ascii="Tahoma;sans-serif" w:hAnsi="Tahoma;sans-serif"/>
          <w:color w:val="000000"/>
          <w:sz w:val="20"/>
        </w:rPr>
      </w:pPr>
      <w:r>
        <w:rPr>
          <w:rFonts w:ascii="Tahoma;sans-serif" w:hAnsi="Tahoma;sans-serif"/>
          <w:color w:val="000000"/>
          <w:sz w:val="20"/>
        </w:rPr>
        <w:t>For the Periods Ended September 30, 2024 and 2023</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1"/>
        <w:gridCol w:w="2559"/>
        <w:gridCol w:w="181"/>
        <w:gridCol w:w="496"/>
        <w:gridCol w:w="151"/>
        <w:gridCol w:w="146"/>
        <w:gridCol w:w="496"/>
        <w:gridCol w:w="151"/>
        <w:gridCol w:w="181"/>
        <w:gridCol w:w="496"/>
        <w:gridCol w:w="151"/>
        <w:gridCol w:w="146"/>
        <w:gridCol w:w="496"/>
        <w:gridCol w:w="151"/>
        <w:gridCol w:w="146"/>
        <w:gridCol w:w="181"/>
        <w:gridCol w:w="526"/>
        <w:gridCol w:w="151"/>
        <w:gridCol w:w="146"/>
        <w:gridCol w:w="526"/>
        <w:gridCol w:w="151"/>
        <w:gridCol w:w="181"/>
        <w:gridCol w:w="601"/>
        <w:gridCol w:w="151"/>
        <w:gridCol w:w="146"/>
        <w:gridCol w:w="601"/>
        <w:gridCol w:w="196"/>
      </w:tblGrid>
      <w:tr>
        <w:trPr/>
        <w:tc>
          <w:tcPr>
            <w:tcW w:w="701"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01" w:type="dxa"/>
            <w:tcBorders/>
            <w:shd w:fill="FFFFFF" w:val="clear"/>
            <w:vAlign w:val="center"/>
          </w:tcPr>
          <w:p>
            <w:pPr>
              <w:pStyle w:val="TableContents"/>
              <w:bidi w:val="0"/>
              <w:spacing w:before="0" w:after="283"/>
              <w:jc w:val="right"/>
              <w:rPr/>
            </w:pPr>
            <w:r>
              <w:rPr/>
              <w:t> </w:t>
            </w:r>
          </w:p>
        </w:tc>
        <w:tc>
          <w:tcPr>
            <w:tcW w:w="2559" w:type="dxa"/>
            <w:tcBorders/>
            <w:shd w:fill="FFFFFF" w:val="clear"/>
            <w:vAlign w:val="center"/>
          </w:tcPr>
          <w:p>
            <w:pPr>
              <w:pStyle w:val="TableContents"/>
              <w:bidi w:val="0"/>
              <w:spacing w:before="0" w:after="283"/>
              <w:jc w:val="left"/>
              <w:rPr/>
            </w:pPr>
            <w:r>
              <w:rPr/>
              <w:t> </w:t>
            </w:r>
          </w:p>
        </w:tc>
        <w:tc>
          <w:tcPr>
            <w:tcW w:w="3091" w:type="dxa"/>
            <w:gridSpan w:val="11"/>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Noncontrolling Interests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61" w:type="dxa"/>
            <w:gridSpan w:val="11"/>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Share of JVs</w:t>
            </w:r>
          </w:p>
        </w:tc>
        <w:tc>
          <w:tcPr>
            <w:tcW w:w="196" w:type="dxa"/>
            <w:tcBorders/>
            <w:shd w:fill="FFFFFF" w:val="clear"/>
            <w:vAlign w:val="center"/>
          </w:tcPr>
          <w:p>
            <w:pPr>
              <w:pStyle w:val="TableContents"/>
              <w:bidi w:val="0"/>
              <w:spacing w:before="0" w:after="283"/>
              <w:jc w:val="center"/>
              <w:rPr/>
            </w:pPr>
            <w:r>
              <w:rPr/>
              <w:t> </w:t>
            </w:r>
          </w:p>
        </w:tc>
      </w:tr>
      <w:tr>
        <w:trPr/>
        <w:tc>
          <w:tcPr>
            <w:tcW w:w="701" w:type="dxa"/>
            <w:tcBorders/>
            <w:shd w:fill="FFFFFF" w:val="clear"/>
            <w:vAlign w:val="center"/>
          </w:tcPr>
          <w:p>
            <w:pPr>
              <w:pStyle w:val="TableContents"/>
              <w:bidi w:val="0"/>
              <w:spacing w:before="0" w:after="283"/>
              <w:jc w:val="right"/>
              <w:rPr/>
            </w:pPr>
            <w:r>
              <w:rPr/>
              <w:t> </w:t>
            </w:r>
          </w:p>
        </w:tc>
        <w:tc>
          <w:tcPr>
            <w:tcW w:w="2559" w:type="dxa"/>
            <w:tcBorders/>
            <w:shd w:fill="FFFFFF" w:val="clear"/>
            <w:vAlign w:val="center"/>
          </w:tcPr>
          <w:p>
            <w:pPr>
              <w:pStyle w:val="TableContents"/>
              <w:bidi w:val="0"/>
              <w:spacing w:before="0" w:after="283"/>
              <w:jc w:val="left"/>
              <w:rPr/>
            </w:pPr>
            <w:r>
              <w:rPr/>
              <w:t> </w:t>
            </w:r>
          </w:p>
        </w:tc>
        <w:tc>
          <w:tcPr>
            <w:tcW w:w="1470" w:type="dxa"/>
            <w:gridSpan w:val="5"/>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1" w:type="dxa"/>
            <w:tcBorders/>
            <w:shd w:fill="FFFFFF" w:val="clear"/>
            <w:vAlign w:val="center"/>
          </w:tcPr>
          <w:p>
            <w:pPr>
              <w:pStyle w:val="TableContents"/>
              <w:bidi w:val="0"/>
              <w:spacing w:before="0" w:after="283"/>
              <w:jc w:val="center"/>
              <w:rPr/>
            </w:pPr>
            <w:r>
              <w:rPr/>
              <w:t> </w:t>
            </w:r>
          </w:p>
        </w:tc>
        <w:tc>
          <w:tcPr>
            <w:tcW w:w="1470" w:type="dxa"/>
            <w:gridSpan w:val="5"/>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5"/>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1" w:type="dxa"/>
            <w:tcBorders/>
            <w:shd w:fill="FFFFFF" w:val="clear"/>
            <w:vAlign w:val="center"/>
          </w:tcPr>
          <w:p>
            <w:pPr>
              <w:pStyle w:val="TableContents"/>
              <w:bidi w:val="0"/>
              <w:spacing w:before="0" w:after="283"/>
              <w:jc w:val="center"/>
              <w:rPr/>
            </w:pPr>
            <w:r>
              <w:rPr/>
              <w:t> </w:t>
            </w:r>
          </w:p>
        </w:tc>
        <w:tc>
          <w:tcPr>
            <w:tcW w:w="1680" w:type="dxa"/>
            <w:gridSpan w:val="5"/>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196" w:type="dxa"/>
            <w:tcBorders/>
            <w:shd w:fill="FFFFFF" w:val="clear"/>
            <w:vAlign w:val="center"/>
          </w:tcPr>
          <w:p>
            <w:pPr>
              <w:pStyle w:val="TableContents"/>
              <w:bidi w:val="0"/>
              <w:spacing w:before="0" w:after="283"/>
              <w:jc w:val="center"/>
              <w:rPr/>
            </w:pPr>
            <w:r>
              <w:rPr/>
              <w:t> </w:t>
            </w:r>
          </w:p>
        </w:tc>
      </w:tr>
      <w:tr>
        <w:trPr/>
        <w:tc>
          <w:tcPr>
            <w:tcW w:w="701" w:type="dxa"/>
            <w:tcBorders/>
            <w:shd w:fill="FFFFFF" w:val="clear"/>
            <w:vAlign w:val="center"/>
          </w:tcPr>
          <w:p>
            <w:pPr>
              <w:pStyle w:val="TableContents"/>
              <w:bidi w:val="0"/>
              <w:spacing w:before="0" w:after="283"/>
              <w:jc w:val="right"/>
              <w:rPr/>
            </w:pPr>
            <w:r>
              <w:rPr/>
              <w:t> </w:t>
            </w:r>
          </w:p>
        </w:tc>
        <w:tc>
          <w:tcPr>
            <w:tcW w:w="2559"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51" w:type="dxa"/>
            <w:tcBorders/>
            <w:shd w:fill="FFFFFF" w:val="clear"/>
            <w:vAlign w:val="center"/>
          </w:tcPr>
          <w:p>
            <w:pPr>
              <w:pStyle w:val="TableContents"/>
              <w:bidi w:val="0"/>
              <w:spacing w:before="0" w:after="283"/>
              <w:jc w:val="center"/>
              <w:rPr/>
            </w:pPr>
            <w:r>
              <w:rPr/>
              <w:t> </w:t>
            </w:r>
          </w:p>
        </w:tc>
        <w:tc>
          <w:tcPr>
            <w:tcW w:w="64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151" w:type="dxa"/>
            <w:tcBorders/>
            <w:shd w:fill="FFFFFF" w:val="cle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51" w:type="dxa"/>
            <w:tcBorders/>
            <w:shd w:fill="FFFFFF" w:val="clear"/>
            <w:vAlign w:val="center"/>
          </w:tcPr>
          <w:p>
            <w:pPr>
              <w:pStyle w:val="TableContents"/>
              <w:bidi w:val="0"/>
              <w:spacing w:before="0" w:after="283"/>
              <w:jc w:val="center"/>
              <w:rPr/>
            </w:pPr>
            <w:r>
              <w:rPr/>
              <w:t> </w:t>
            </w:r>
          </w:p>
        </w:tc>
        <w:tc>
          <w:tcPr>
            <w:tcW w:w="64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51"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151"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51"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196" w:type="dxa"/>
            <w:tcBorders/>
            <w:shd w:fill="FFFFFF" w:val="clear"/>
            <w:vAlign w:val="center"/>
          </w:tcPr>
          <w:p>
            <w:pPr>
              <w:pStyle w:val="TableContents"/>
              <w:bidi w:val="0"/>
              <w:spacing w:before="0" w:after="283"/>
              <w:jc w:val="center"/>
              <w:rPr/>
            </w:pPr>
            <w:r>
              <w:rPr/>
              <w:t> </w:t>
            </w:r>
          </w:p>
        </w:tc>
      </w:tr>
      <w:tr>
        <w:trPr/>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2559"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Revenues:</w:t>
            </w:r>
          </w:p>
        </w:tc>
        <w:tc>
          <w:tcPr>
            <w:tcW w:w="67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(2,259</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(2,033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(6,705</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(6,078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26,853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25,042</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79,375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73,341</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Recoveries from tenants</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(632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(1,716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8,688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8,392</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26,537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24,743</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Percentage rent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339</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1,360</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Termination fees</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189</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Uncollectible lease income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w:t>
            </w:r>
          </w:p>
        </w:tc>
        <w:tc>
          <w:tcPr>
            <w:tcW w:w="19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lease income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358</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1,077</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Straight-line rent on lease income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747</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2,552</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Above/below market rent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Lease income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(2,855</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(2,800</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(9,513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(8,224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37,560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34,970</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110,848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103,797</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320"/>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property income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124</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504</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160"/>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Asset management fees</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(719</w:t>
            </w:r>
          </w:p>
        </w:tc>
        <w:tc>
          <w:tcPr>
            <w:tcW w:w="19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vAlign w:val="center"/>
          </w:tcPr>
          <w:p>
            <w:pPr>
              <w:pStyle w:val="TableContents"/>
              <w:bidi w:val="0"/>
              <w:spacing w:before="0" w:after="283"/>
              <w:ind w:left="0" w:right="0" w:firstLine="200"/>
              <w:jc w:val="right"/>
              <w:rPr/>
            </w:pPr>
            <w:r>
              <w:rPr/>
              <w:t> </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Leasing commissions and other fees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Management and other fees</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(160</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(641</w:t>
            </w:r>
          </w:p>
        </w:tc>
        <w:tc>
          <w:tcPr>
            <w:tcW w:w="19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320"/>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600"/>
              <w:jc w:val="left"/>
              <w:rPr>
                <w:rFonts w:ascii="Tahoma;sans-serif" w:hAnsi="Tahoma;sans-serif"/>
                <w:color w:val="000000"/>
                <w:sz w:val="14"/>
              </w:rPr>
            </w:pPr>
            <w:r>
              <w:rPr>
                <w:rFonts w:ascii="Tahoma;sans-serif" w:hAnsi="Tahoma;sans-serif"/>
                <w:color w:val="000000"/>
                <w:sz w:val="14"/>
              </w:rPr>
              <w:t>Total revenues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(9,519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37,525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34,934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110,699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103,660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320"/>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2559"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Operating Expenses:</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Depreciation and amortization (including FF&amp;E)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(860</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(2,465</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(1,954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8,342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7,685</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24,699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22,626</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160"/>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and maintenance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(429</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(1,433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(1,294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5,550</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17,654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16,733</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Ground rent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88</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257</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Straight-line rent on ground rent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Above/below market ground rent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Property operating expense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(1,566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(1,427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5,678</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17,109</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320"/>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Real estate taxes</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4,328</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13,678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12,601</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320"/>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General &amp; administrative, net </w:t>
            </w:r>
            <w:r>
              <w:rPr>
                <w:rFonts w:ascii="Tahoma;sans-serif" w:hAnsi="Tahoma;sans-serif"/>
                <w:color w:val="000000"/>
                <w:sz w:val="9"/>
              </w:rPr>
              <w:t>(1)</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112</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270</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160"/>
              <w:jc w:val="right"/>
              <w:rPr/>
            </w:pPr>
            <w:r>
              <w:rPr/>
              <w:t> </w:t>
            </w:r>
          </w:p>
        </w:tc>
        <w:tc>
          <w:tcPr>
            <w:tcW w:w="2559"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income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269</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825</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320"/>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600"/>
              <w:jc w:val="left"/>
              <w:rPr>
                <w:rFonts w:ascii="Tahoma;sans-serif" w:hAnsi="Tahoma;sans-serif"/>
                <w:color w:val="000000"/>
                <w:sz w:val="14"/>
              </w:rPr>
            </w:pPr>
            <w:r>
              <w:rPr>
                <w:rFonts w:ascii="Tahoma;sans-serif" w:hAnsi="Tahoma;sans-serif"/>
                <w:color w:val="000000"/>
                <w:sz w:val="14"/>
              </w:rPr>
              <w:t>Total operating expenses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19,004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18,072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57,819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53,431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480"/>
              <w:jc w:val="right"/>
              <w:rPr/>
            </w:pPr>
            <w:r>
              <w:rPr/>
              <w:t> </w:t>
            </w:r>
          </w:p>
        </w:tc>
        <w:tc>
          <w:tcPr>
            <w:tcW w:w="2559" w:type="dxa"/>
            <w:tcBorders/>
            <w:shd w:fill="FFFFFF" w:val="clear"/>
            <w:vAlign w:val="center"/>
          </w:tcPr>
          <w:p>
            <w:pPr>
              <w:pStyle w:val="TableContents"/>
              <w:bidi w:val="0"/>
              <w:spacing w:before="0" w:after="283"/>
              <w:ind w:left="0" w:right="0" w:firstLine="480"/>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2559"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Other Expense, net:</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Gross interest expense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(381</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(1,256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(1,158</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4,916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4,864</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14,801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14,148</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cost amortization</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207</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667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597</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and derivative mark-to-market amortization</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76</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200"/>
              <w:jc w:val="right"/>
              <w:rPr/>
            </w:pPr>
            <w:r>
              <w:rPr/>
              <w:t> </w:t>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Interest 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Interest expense, net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(361</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(397</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(1,235</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(1,235</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5,038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4,988</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15,126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14,544</w:t>
            </w:r>
          </w:p>
        </w:tc>
        <w:tc>
          <w:tcPr>
            <w:tcW w:w="196" w:type="dxa"/>
            <w:tcBorders/>
            <w:shd w:fill="FFFFFF" w:val="clear"/>
            <w:vAlign w:val="center"/>
          </w:tcPr>
          <w:p>
            <w:pPr>
              <w:pStyle w:val="TableContents"/>
              <w:bidi w:val="0"/>
              <w:spacing w:before="0" w:after="283"/>
              <w:jc w:val="left"/>
              <w:rPr/>
            </w:pPr>
            <w:r>
              <w:rPr/>
              <w:t> </w:t>
            </w:r>
          </w:p>
        </w:tc>
      </w:tr>
      <w:tr>
        <w:trPr/>
        <w:tc>
          <w:tcPr>
            <w:tcW w:w="701"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320"/>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Gain on sale of real estate</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(643</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(617</w:t>
            </w:r>
          </w:p>
        </w:tc>
        <w:tc>
          <w:tcPr>
            <w:tcW w:w="19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160"/>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2559"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Total other expense, net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15,117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13,927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ahoma;sans-serif" w:hAnsi="Tahoma;sans-serif"/>
          <w:color w:val="000000"/>
          <w:sz w:val="14"/>
        </w:rPr>
      </w:pPr>
      <w:r>
        <w:rPr>
          <w:rFonts w:ascii="Tahoma;sans-serif" w:hAnsi="Tahoma;sans-serif"/>
          <w:color w:val="000000"/>
          <w:sz w:val="14"/>
        </w:rPr>
        <w:t>* Component of Net Operating Income</w:t>
      </w:r>
    </w:p>
    <w:p>
      <w:pPr>
        <w:pStyle w:val="TextBody"/>
        <w:bidi w:val="0"/>
        <w:spacing w:before="20" w:after="283"/>
        <w:jc w:val="left"/>
        <w:rPr>
          <w:rFonts w:ascii="Tahoma" w:hAnsi="Tahoma"/>
          <w:color w:val="000000"/>
          <w:sz w:val="14"/>
        </w:rPr>
      </w:pPr>
      <w:r>
        <w:rPr>
          <w:rFonts w:ascii="Tahoma" w:hAnsi="Tahoma"/>
          <w:color w:val="000000"/>
          <w:sz w:val="14"/>
        </w:rPr>
        <w:t>(1)</w:t>
      </w:r>
    </w:p>
    <w:p>
      <w:pPr>
        <w:pStyle w:val="TextBody"/>
        <w:bidi w:val="0"/>
        <w:spacing w:before="20" w:after="283"/>
        <w:jc w:val="left"/>
        <w:rPr/>
      </w:pPr>
      <w:r>
        <w:rPr>
          <w:rFonts w:ascii="Tahoma;sans-serif" w:hAnsi="Tahoma;sans-serif"/>
          <w:color w:val="000000"/>
          <w:sz w:val="14"/>
        </w:rPr>
        <w:t xml:space="preserve">General &amp; administrative, net is referenced and reflected as G&amp;A expense, net in earnings guidance on page </w:t>
      </w:r>
      <w:hyperlink w:anchor="guidance">
        <w:r>
          <w:rPr>
            <w:rStyle w:val="InternetLink"/>
          </w:rPr>
          <w:t>39</w:t>
        </w:r>
      </w:hyperlink>
      <w:r>
        <w:rPr>
          <w:rFonts w:ascii="Tahoma;sans-serif" w:hAnsi="Tahoma;sans-serif"/>
          <w:color w:val="000000"/>
          <w:sz w:val="14"/>
        </w:rPr>
        <w:t>.</w:t>
      </w:r>
    </w:p>
    <w:p>
      <w:pPr>
        <w:pStyle w:val="TextBody"/>
        <w:bidi w:val="0"/>
        <w:jc w:val="left"/>
        <w:rPr/>
      </w:pPr>
      <w:r>
        <w:rPr/>
        <w:t> </w:t>
      </w:r>
    </w:p>
    <w:p>
      <w:pPr>
        <w:pStyle w:val="TextBody"/>
        <w:bidi w:val="0"/>
        <w:jc w:val="left"/>
        <w:rPr>
          <w:rFonts w:ascii="Tahoma;sans-serif" w:hAnsi="Tahoma;sans-serif"/>
          <w:b/>
          <w:color w:val="000000"/>
          <w:sz w:val="16"/>
          <w:u w:val="single"/>
        </w:rPr>
      </w:pPr>
      <w:r>
        <w:rPr>
          <w:rFonts w:ascii="Tahoma;sans-serif" w:hAnsi="Tahoma;sans-serif"/>
          <w:b/>
          <w:color w:val="000000"/>
          <w:sz w:val="16"/>
          <w:u w:val="single"/>
        </w:rPr>
        <w:t>Note</w:t>
      </w:r>
    </w:p>
    <w:p>
      <w:pPr>
        <w:pStyle w:val="TextBody"/>
        <w:bidi w:val="0"/>
        <w:jc w:val="left"/>
        <w:rPr>
          <w:rFonts w:ascii="Tahoma;sans-serif" w:hAnsi="Tahoma;sans-serif"/>
          <w:color w:val="000000"/>
          <w:sz w:val="16"/>
        </w:rPr>
      </w:pPr>
      <w:r>
        <w:rPr>
          <w:rFonts w:ascii="Tahoma;sans-serif" w:hAnsi="Tahoma;sans-serif"/>
          <w:color w:val="000000"/>
          <w:sz w:val="16"/>
        </w:rPr>
        <w:t>Noncontrolling interests represent limited partners’ interests in consolidated partnerships’ activities and Share of JVs represents the Company’s share of real estate partnerships’ activities, of which each are included on a single line presentation in the Company’s consolidated financial statements in accordance with GAAP.</w:t>
      </w:r>
    </w:p>
    <w:p>
      <w:pPr>
        <w:pStyle w:val="TextBody"/>
        <w:bidi w:val="0"/>
        <w:jc w:val="right"/>
        <w:rPr/>
      </w:pPr>
      <w:r>
        <w:rPr/>
        <w:drawing>
          <wp:inline distT="0" distB="0" distL="0" distR="0">
            <wp:extent cx="476250" cy="2571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7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6" w:name="spnoi"/>
      <w:bookmarkEnd w:id="16"/>
      <w:r>
        <w:rPr>
          <w:rFonts w:ascii="Tahoma;sans-serif" w:hAnsi="Tahoma;sans-serif"/>
          <w:b/>
          <w:color w:val="000000"/>
          <w:sz w:val="20"/>
        </w:rPr>
        <w:t>Supplemental Details of Same Property NOI (Pro-Rata)</w:t>
      </w:r>
    </w:p>
    <w:p>
      <w:pPr>
        <w:pStyle w:val="TextBody"/>
        <w:bidi w:val="0"/>
        <w:jc w:val="center"/>
        <w:rPr>
          <w:rFonts w:ascii="Tahoma;sans-serif" w:hAnsi="Tahoma;sans-serif"/>
          <w:color w:val="000000"/>
          <w:sz w:val="20"/>
        </w:rPr>
      </w:pPr>
      <w:r>
        <w:rPr>
          <w:rFonts w:ascii="Tahoma;sans-serif" w:hAnsi="Tahoma;sans-serif"/>
          <w:color w:val="000000"/>
          <w:sz w:val="20"/>
        </w:rPr>
        <w:t>For the Periods Ended September 30, 2024 and 2023</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457"/>
        <w:gridCol w:w="181"/>
        <w:gridCol w:w="601"/>
        <w:gridCol w:w="241"/>
        <w:gridCol w:w="146"/>
        <w:gridCol w:w="601"/>
        <w:gridCol w:w="151"/>
        <w:gridCol w:w="146"/>
        <w:gridCol w:w="181"/>
        <w:gridCol w:w="721"/>
        <w:gridCol w:w="241"/>
        <w:gridCol w:w="146"/>
        <w:gridCol w:w="601"/>
        <w:gridCol w:w="791"/>
      </w:tblGrid>
      <w:tr>
        <w:trPr/>
        <w:tc>
          <w:tcPr>
            <w:tcW w:w="54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457" w:type="dxa"/>
            <w:tcBorders/>
            <w:shd w:fill="FFFFFF" w:val="clear"/>
            <w:vAlign w:val="center"/>
          </w:tcPr>
          <w:p>
            <w:pPr>
              <w:pStyle w:val="TableContents"/>
              <w:bidi w:val="0"/>
              <w:spacing w:before="0" w:after="283"/>
              <w:jc w:val="left"/>
              <w:rPr/>
            </w:pPr>
            <w:r>
              <w:rPr/>
              <w:t> </w:t>
            </w:r>
          </w:p>
        </w:tc>
        <w:tc>
          <w:tcPr>
            <w:tcW w:w="1770" w:type="dxa"/>
            <w:gridSpan w:val="5"/>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5"/>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791" w:type="dxa"/>
            <w:tcBorders/>
            <w:shd w:fill="FFFFFF" w:val="clear"/>
            <w:vAlign w:val="center"/>
          </w:tcPr>
          <w:p>
            <w:pPr>
              <w:pStyle w:val="TableContents"/>
              <w:bidi w:val="0"/>
              <w:spacing w:before="0" w:after="283"/>
              <w:jc w:val="center"/>
              <w:rPr/>
            </w:pPr>
            <w:r>
              <w:rPr/>
              <w:t> </w:t>
            </w:r>
          </w:p>
        </w:tc>
      </w:tr>
      <w:tr>
        <w:trPr/>
        <w:tc>
          <w:tcPr>
            <w:tcW w:w="5457"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241"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241"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2023</w:t>
            </w:r>
          </w:p>
        </w:tc>
        <w:tc>
          <w:tcPr>
            <w:tcW w:w="791" w:type="dxa"/>
            <w:tcBorders/>
            <w:shd w:fill="FFFFFF" w:val="clear"/>
            <w:vAlign w:val="center"/>
          </w:tcPr>
          <w:p>
            <w:pPr>
              <w:pStyle w:val="TableContents"/>
              <w:bidi w:val="0"/>
              <w:spacing w:before="0" w:after="283"/>
              <w:jc w:val="center"/>
              <w:rPr/>
            </w:pPr>
            <w:r>
              <w:rPr/>
              <w:t> </w:t>
            </w:r>
          </w:p>
        </w:tc>
      </w:tr>
      <w:tr>
        <w:trPr/>
        <w:tc>
          <w:tcPr>
            <w:tcW w:w="5457"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Detail:</w:t>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Real Estate Revenues:</w:t>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244,170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238,142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728,514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709,809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Recoveries from tenants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83,090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81,096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250,468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242,647</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Percentage rent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2,287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2,208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12,476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11,554</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Termination fees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636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3,199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6,441</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Uncollectible lease income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(487</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(462</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(3,757</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lease income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9,949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9,092</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property 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8,390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6,803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7"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Total real estate revenues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336,941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327,336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1,009,239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987,379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457"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Real Estate Operating Expenses:</w:t>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and maintenance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54,251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56,374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166,137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164,489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Termination expense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Real estate taxes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43,565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41,263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129,494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125,890</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Ground rent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3,537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10,788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7"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Total real estate operating expenses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101,353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101,337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306,424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300,716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457"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235,588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225,999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702,815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686,663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 change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4.2</w:t>
            </w:r>
          </w:p>
        </w:tc>
        <w:tc>
          <w:tcPr>
            <w:tcW w:w="241" w:type="dxa"/>
            <w:tcBorders/>
            <w:shd w:fill="FFFFFF" w:val="cle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2.4</w:t>
            </w:r>
          </w:p>
        </w:tc>
        <w:tc>
          <w:tcPr>
            <w:tcW w:w="241" w:type="dxa"/>
            <w:tcBorders/>
            <w:shd w:fill="FFFFFF" w:val="cle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without Termination Fees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234,952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224,962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699,621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680,222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 change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4.4</w:t>
            </w:r>
          </w:p>
        </w:tc>
        <w:tc>
          <w:tcPr>
            <w:tcW w:w="241" w:type="dxa"/>
            <w:tcBorders/>
            <w:shd w:fill="FFFFFF" w:val="cle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2.9</w:t>
            </w:r>
          </w:p>
        </w:tc>
        <w:tc>
          <w:tcPr>
            <w:tcW w:w="241" w:type="dxa"/>
            <w:tcBorders/>
            <w:shd w:fill="FFFFFF" w:val="cle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without Termination Fees or Redevelopments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199,650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192,491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594,890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582,505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 change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3.7</w:t>
            </w:r>
          </w:p>
        </w:tc>
        <w:tc>
          <w:tcPr>
            <w:tcW w:w="241" w:type="dxa"/>
            <w:tcBorders/>
            <w:shd w:fill="FFFFFF" w:val="cle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2.1</w:t>
            </w:r>
          </w:p>
        </w:tc>
        <w:tc>
          <w:tcPr>
            <w:tcW w:w="241" w:type="dxa"/>
            <w:tcBorders/>
            <w:shd w:fill="FFFFFF" w:val="cle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without Termination Fees or Collection of 2020/2021 Reserves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234,952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223,913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699,621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676,486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 change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4.9</w:t>
            </w:r>
          </w:p>
        </w:tc>
        <w:tc>
          <w:tcPr>
            <w:tcW w:w="241" w:type="dxa"/>
            <w:tcBorders/>
            <w:shd w:fill="FFFFFF" w:val="cle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3.4</w:t>
            </w:r>
          </w:p>
        </w:tc>
        <w:tc>
          <w:tcPr>
            <w:tcW w:w="241" w:type="dxa"/>
            <w:tcBorders/>
            <w:shd w:fill="FFFFFF" w:val="cle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5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Percent Contribution to Same Property NOI Performance:</w:t>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5457"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5457"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Uncollectible lease income </w:t>
            </w:r>
            <w:r>
              <w:rPr>
                <w:rFonts w:ascii="Tahoma;sans-serif" w:hAnsi="Tahoma;sans-serif"/>
                <w:color w:val="000000"/>
                <w:sz w:val="9"/>
              </w:rPr>
              <w:t>(1)</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0.5</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-0.2</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5457"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Net expense recoveries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0.9</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0.3</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5457"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lease / property income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0.9</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0.4</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5457"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Percentage rent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545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without Termination Fees or Collection of 2020/2021 Reserves (% impact)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4.9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5457"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7227" w:type="dxa"/>
            <w:gridSpan w:val="6"/>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Net Income Attributable to Common Shareholders to Same Property NOI:</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jc w:val="center"/>
              <w:rPr/>
            </w:pPr>
            <w:r>
              <w:rPr/>
              <w:t> </w:t>
            </w:r>
          </w:p>
        </w:tc>
      </w:tr>
      <w:tr>
        <w:trPr/>
        <w:tc>
          <w:tcPr>
            <w:tcW w:w="5457"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jc w:val="center"/>
              <w:rPr/>
            </w:pPr>
            <w:r>
              <w:rPr/>
              <w:t> </w:t>
            </w:r>
          </w:p>
        </w:tc>
      </w:tr>
      <w:tr>
        <w:trPr/>
        <w:tc>
          <w:tcPr>
            <w:tcW w:w="5457"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98,056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89,076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303,672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273,139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Less:</w:t>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457"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Management, transaction, and other fees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(6,765</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(7,079</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(19,896</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(20,223</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457" w:type="dxa"/>
            <w:tcBorders/>
            <w:shd w:fill="FFFFFF" w:val="cle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Other </w:t>
            </w:r>
            <w:r>
              <w:rPr>
                <w:rFonts w:ascii="Tahoma;sans-serif" w:hAnsi="Tahoma;sans-serif"/>
                <w:color w:val="000000"/>
                <w:sz w:val="9"/>
              </w:rPr>
              <w:t>(2)</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(12,115</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(12,016</w:t>
            </w:r>
          </w:p>
        </w:tc>
        <w:tc>
          <w:tcPr>
            <w:tcW w:w="15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(37,428</w:t>
            </w:r>
          </w:p>
        </w:tc>
        <w:tc>
          <w:tcPr>
            <w:tcW w:w="2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(34,317</w:t>
            </w:r>
          </w:p>
        </w:tc>
        <w:tc>
          <w:tcPr>
            <w:tcW w:w="79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t>
            </w:r>
          </w:p>
        </w:tc>
      </w:tr>
      <w:tr>
        <w:trPr/>
        <w:tc>
          <w:tcPr>
            <w:tcW w:w="5457"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Plus:</w:t>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457"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100,955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87,505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299,508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253,373</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457"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General and administrative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25,073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20,903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75,443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71,248</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457"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operating expense</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3,654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3,533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9,363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4,718</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457"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expense, net</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34,290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39,643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94,898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109,192</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457" w:type="dxa"/>
            <w:tcBorders/>
            <w:shd w:fill="FFFFFF" w:val="cle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Equity in income of investments in real estate partnerships excluded from NOI </w:t>
            </w:r>
            <w:r>
              <w:rPr>
                <w:rFonts w:ascii="Tahoma;sans-serif" w:hAnsi="Tahoma;sans-serif"/>
                <w:color w:val="000000"/>
                <w:sz w:val="9"/>
              </w:rPr>
              <w:t>(3)</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12,492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11,668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39,439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35,266</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457"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Net income attributable to noncontrolling interests</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1,453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7,252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4,050</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457" w:type="dxa"/>
            <w:tcBorders/>
            <w:shd w:fill="FFFFFF" w:val="cle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Preferred stock dividends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10,239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1,644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57" w:type="dxa"/>
            <w:tcBorders/>
            <w:shd w:fill="FFFFFF" w:val="clear"/>
            <w:vAlign w:val="center"/>
          </w:tcPr>
          <w:p>
            <w:pPr>
              <w:pStyle w:val="TableContents"/>
              <w:bidi w:val="0"/>
              <w:spacing w:before="0" w:after="283"/>
              <w:ind w:left="0" w:right="0" w:firstLine="600"/>
              <w:jc w:val="left"/>
              <w:rPr>
                <w:rFonts w:ascii="Tahoma;sans-serif" w:hAnsi="Tahoma;sans-serif"/>
                <w:color w:val="000000"/>
                <w:sz w:val="14"/>
              </w:rPr>
            </w:pPr>
            <w:r>
              <w:rPr>
                <w:rFonts w:ascii="Tahoma;sans-serif" w:hAnsi="Tahoma;sans-serif"/>
                <w:color w:val="000000"/>
                <w:sz w:val="14"/>
              </w:rPr>
              <w:t>NOI</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261,160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236,330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782,490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698,090</w:t>
            </w:r>
          </w:p>
        </w:tc>
        <w:tc>
          <w:tcPr>
            <w:tcW w:w="791" w:type="dxa"/>
            <w:tcBorders/>
            <w:shd w:fill="FFFFFF" w:val="clear"/>
            <w:vAlign w:val="center"/>
          </w:tcPr>
          <w:p>
            <w:pPr>
              <w:pStyle w:val="TableContents"/>
              <w:bidi w:val="0"/>
              <w:spacing w:before="0" w:after="283"/>
              <w:ind w:left="0" w:right="0" w:firstLine="480"/>
              <w:jc w:val="left"/>
              <w:rPr/>
            </w:pPr>
            <w:r>
              <w:rPr/>
              <w:t> </w:t>
            </w:r>
          </w:p>
        </w:tc>
      </w:tr>
      <w:tr>
        <w:trPr/>
        <w:tc>
          <w:tcPr>
            <w:tcW w:w="5457" w:type="dxa"/>
            <w:tcBorders/>
            <w:shd w:fill="FFFFFF" w:val="clear"/>
            <w:vAlign w:val="center"/>
          </w:tcPr>
          <w:p>
            <w:pPr>
              <w:pStyle w:val="TableContents"/>
              <w:bidi w:val="0"/>
              <w:spacing w:before="0" w:after="283"/>
              <w:ind w:left="0" w:right="0" w:firstLine="480"/>
              <w:jc w:val="left"/>
              <w:rPr>
                <w:sz w:val="4"/>
                <w:szCs w:val="4"/>
              </w:rPr>
            </w:pPr>
            <w:r>
              <w:rPr>
                <w:sz w:val="4"/>
                <w:szCs w:val="4"/>
              </w:rPr>
            </w:r>
          </w:p>
        </w:tc>
        <w:tc>
          <w:tcPr>
            <w:tcW w:w="78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5457" w:type="dxa"/>
            <w:tcBorders/>
            <w:shd w:fill="FFFFFF" w:val="cle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Less non-same property NOI </w:t>
            </w:r>
            <w:r>
              <w:rPr>
                <w:rFonts w:ascii="Tahoma;sans-serif" w:hAnsi="Tahoma;sans-serif"/>
                <w:color w:val="000000"/>
                <w:sz w:val="9"/>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(25,572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(79,675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(11,427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457"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235,588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225,999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702,815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686,663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ahoma" w:hAnsi="Tahoma"/>
          <w:color w:val="000000"/>
          <w:sz w:val="14"/>
        </w:rPr>
      </w:pPr>
      <w:r>
        <w:rPr>
          <w:rFonts w:ascii="Tahoma" w:hAnsi="Tahoma"/>
          <w:color w:val="000000"/>
          <w:sz w:val="14"/>
        </w:rPr>
        <w:t>(1)</w:t>
      </w:r>
    </w:p>
    <w:p>
      <w:pPr>
        <w:pStyle w:val="TextBody"/>
        <w:bidi w:val="0"/>
        <w:spacing w:before="240" w:after="283"/>
        <w:jc w:val="left"/>
        <w:rPr>
          <w:rFonts w:ascii="Tahoma;sans-serif" w:hAnsi="Tahoma;sans-serif"/>
          <w:color w:val="000000"/>
          <w:sz w:val="14"/>
        </w:rPr>
      </w:pPr>
      <w:r>
        <w:rPr>
          <w:rFonts w:ascii="Tahoma;sans-serif" w:hAnsi="Tahoma;sans-serif"/>
          <w:color w:val="000000"/>
          <w:sz w:val="14"/>
        </w:rPr>
        <w:t>Excludes the impact of collection on '20/'21 reserves or write offs.</w:t>
      </w:r>
    </w:p>
    <w:p>
      <w:pPr>
        <w:pStyle w:val="TextBody"/>
        <w:bidi w:val="0"/>
        <w:spacing w:before="60" w:after="283"/>
        <w:jc w:val="left"/>
        <w:rPr>
          <w:rFonts w:ascii="Tahoma" w:hAnsi="Tahoma"/>
          <w:color w:val="000000"/>
          <w:sz w:val="14"/>
        </w:rPr>
      </w:pPr>
      <w:r>
        <w:rPr>
          <w:rFonts w:ascii="Tahoma" w:hAnsi="Tahoma"/>
          <w:color w:val="000000"/>
          <w:sz w:val="14"/>
        </w:rPr>
        <w:t>(2)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Includes straight-line rental income and expense, net of reserves, above and below market rent amortization, other fees, and noncontrolling interests.</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non-NOI income and expenses incurred at our unconsolidated real estate partnerships, such as, but not limited to, straight-line rental income, above and below market rent amortization, depreciation and amortization, interest expense, and real estate gains and impairments.</w:t>
      </w:r>
    </w:p>
    <w:p>
      <w:pPr>
        <w:pStyle w:val="TextBody"/>
        <w:bidi w:val="0"/>
        <w:spacing w:before="20" w:after="283"/>
        <w:jc w:val="left"/>
        <w:rPr>
          <w:rFonts w:ascii="Tahoma" w:hAnsi="Tahoma"/>
          <w:color w:val="000000"/>
          <w:sz w:val="14"/>
        </w:rPr>
      </w:pPr>
      <w:r>
        <w:rPr>
          <w:rFonts w:ascii="Tahoma" w:hAnsi="Tahoma"/>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revenues and expenses attributable to Non-Same Property, Projects in Development, corporate activities, and noncontrolling interests.</w:t>
      </w:r>
    </w:p>
    <w:p>
      <w:pPr>
        <w:pStyle w:val="TextBody"/>
        <w:bidi w:val="0"/>
        <w:jc w:val="right"/>
        <w:rPr/>
      </w:pPr>
      <w:r>
        <w:rPr/>
        <w:drawing>
          <wp:inline distT="0" distB="0" distL="0" distR="0">
            <wp:extent cx="476250" cy="2571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8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7" w:name="recons"/>
      <w:bookmarkEnd w:id="17"/>
      <w:r>
        <w:rPr>
          <w:rFonts w:ascii="Tahoma;sans-serif" w:hAnsi="Tahoma;sans-serif"/>
          <w:b/>
          <w:color w:val="000000"/>
          <w:sz w:val="20"/>
        </w:rPr>
        <w:t>Reconciliations of Non-GAAP Financial Measures</w:t>
      </w:r>
    </w:p>
    <w:p>
      <w:pPr>
        <w:pStyle w:val="TextBody"/>
        <w:bidi w:val="0"/>
        <w:jc w:val="center"/>
        <w:rPr>
          <w:rFonts w:ascii="Tahoma;sans-serif" w:hAnsi="Tahoma;sans-serif"/>
          <w:color w:val="000000"/>
          <w:sz w:val="20"/>
        </w:rPr>
      </w:pPr>
      <w:r>
        <w:rPr>
          <w:rFonts w:ascii="Tahoma;sans-serif" w:hAnsi="Tahoma;sans-serif"/>
          <w:color w:val="000000"/>
          <w:sz w:val="20"/>
        </w:rPr>
        <w:t>For the Periods Ended September 30, 2024 and 2023</w:t>
      </w:r>
    </w:p>
    <w:p>
      <w:pPr>
        <w:pStyle w:val="TextBody"/>
        <w:bidi w:val="0"/>
        <w:jc w:val="center"/>
        <w:rPr>
          <w:rFonts w:ascii="Tahoma;sans-serif" w:hAnsi="Tahoma;sans-serif"/>
          <w:color w:val="000000"/>
          <w:sz w:val="20"/>
        </w:rPr>
      </w:pPr>
      <w:r>
        <w:rPr>
          <w:rFonts w:ascii="Tahoma;sans-serif" w:hAnsi="Tahoma;sans-serif"/>
          <w:color w:val="000000"/>
          <w:sz w:val="20"/>
        </w:rPr>
        <w:t>(in thousands, except per share data)</w:t>
      </w:r>
    </w:p>
    <w:p>
      <w:pPr>
        <w:pStyle w:val="TextBody"/>
        <w:bidi w:val="0"/>
        <w:jc w:val="both"/>
        <w:rPr/>
      </w:pPr>
      <w:r>
        <w:rPr/>
        <w:t> </w:t>
      </w:r>
    </w:p>
    <w:tbl>
      <w:tblPr>
        <w:tblW w:w="10146" w:type="dxa"/>
        <w:jc w:val="left"/>
        <w:tblInd w:w="0" w:type="dxa"/>
        <w:tblLayout w:type="fixed"/>
        <w:tblCellMar>
          <w:top w:w="28" w:type="dxa"/>
          <w:left w:w="28" w:type="dxa"/>
          <w:bottom w:w="28" w:type="dxa"/>
          <w:right w:w="28" w:type="dxa"/>
        </w:tblCellMar>
      </w:tblPr>
      <w:tblGrid>
        <w:gridCol w:w="5208"/>
        <w:gridCol w:w="208"/>
        <w:gridCol w:w="734"/>
        <w:gridCol w:w="166"/>
        <w:gridCol w:w="146"/>
        <w:gridCol w:w="691"/>
        <w:gridCol w:w="166"/>
        <w:gridCol w:w="146"/>
        <w:gridCol w:w="196"/>
        <w:gridCol w:w="691"/>
        <w:gridCol w:w="166"/>
        <w:gridCol w:w="146"/>
        <w:gridCol w:w="691"/>
        <w:gridCol w:w="791"/>
      </w:tblGrid>
      <w:tr>
        <w:trPr/>
        <w:tc>
          <w:tcPr>
            <w:tcW w:w="5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208" w:type="dxa"/>
            <w:tcBorders/>
            <w:shd w:fill="FFFFFF" w:val="clear"/>
            <w:vAlign w:val="center"/>
          </w:tcPr>
          <w:p>
            <w:pPr>
              <w:pStyle w:val="TableContents"/>
              <w:bidi w:val="0"/>
              <w:spacing w:before="0" w:after="283"/>
              <w:jc w:val="center"/>
              <w:rPr/>
            </w:pPr>
            <w:r>
              <w:rPr/>
              <w:t> </w:t>
            </w:r>
          </w:p>
        </w:tc>
        <w:tc>
          <w:tcPr>
            <w:tcW w:w="1945" w:type="dxa"/>
            <w:gridSpan w:val="5"/>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0" w:type="dxa"/>
            <w:gridSpan w:val="5"/>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Year to Date</w:t>
            </w:r>
          </w:p>
        </w:tc>
        <w:tc>
          <w:tcPr>
            <w:tcW w:w="791" w:type="dxa"/>
            <w:tcBorders/>
            <w:shd w:fill="FFFFFF" w:val="clear"/>
            <w:vAlign w:val="center"/>
          </w:tcPr>
          <w:p>
            <w:pPr>
              <w:pStyle w:val="TableContents"/>
              <w:bidi w:val="0"/>
              <w:spacing w:before="0" w:after="283"/>
              <w:jc w:val="center"/>
              <w:rPr/>
            </w:pPr>
            <w:r>
              <w:rPr/>
              <w:t> </w:t>
            </w:r>
          </w:p>
        </w:tc>
      </w:tr>
      <w:tr>
        <w:trPr/>
        <w:tc>
          <w:tcPr>
            <w:tcW w:w="5208"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6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6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2023</w:t>
            </w:r>
          </w:p>
        </w:tc>
        <w:tc>
          <w:tcPr>
            <w:tcW w:w="791" w:type="dxa"/>
            <w:tcBorders/>
            <w:shd w:fill="FFFFFF" w:val="clear"/>
            <w:vAlign w:val="center"/>
          </w:tcPr>
          <w:p>
            <w:pPr>
              <w:pStyle w:val="TableContents"/>
              <w:bidi w:val="0"/>
              <w:spacing w:before="0" w:after="283"/>
              <w:jc w:val="center"/>
              <w:rPr/>
            </w:pPr>
            <w:r>
              <w:rPr/>
              <w:t> </w:t>
            </w:r>
          </w:p>
        </w:tc>
      </w:tr>
      <w:tr>
        <w:trPr/>
        <w:tc>
          <w:tcPr>
            <w:tcW w:w="5208" w:type="dxa"/>
            <w:tcBorders/>
            <w:shd w:fill="FFFFFF" w:val="cle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jc w:val="center"/>
              <w:rPr/>
            </w:pPr>
            <w:r>
              <w:rPr/>
              <w:t> </w:t>
            </w:r>
          </w:p>
        </w:tc>
      </w:tr>
      <w:tr>
        <w:trPr/>
        <w:tc>
          <w:tcPr>
            <w:tcW w:w="6150" w:type="dxa"/>
            <w:gridSpan w:val="3"/>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Net Income Attributable to Common Shareholders to Nareit FFO:</w:t>
            </w:r>
          </w:p>
        </w:tc>
        <w:tc>
          <w:tcPr>
            <w:tcW w:w="16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208" w:type="dxa"/>
            <w:tcBorders/>
            <w:shd w:fill="FFFFFF" w:val="cle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Income Attributable to Common Shareholders</w:t>
            </w:r>
          </w:p>
        </w:tc>
        <w:tc>
          <w:tcPr>
            <w:tcW w:w="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98,056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89,076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303,672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273,139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208" w:type="dxa"/>
            <w:tcBorders/>
            <w:shd w:fill="FFFFFF" w:val="cle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 xml:space="preserve">Adjustments to reconcile to Nareit Funds From Operations </w:t>
            </w:r>
            <w:r>
              <w:rPr>
                <w:rFonts w:ascii="Tahoma;sans-serif" w:hAnsi="Tahoma;sans-serif"/>
                <w:color w:val="000000"/>
                <w:sz w:val="11"/>
              </w:rPr>
              <w:t>(1)</w:t>
            </w:r>
            <w:r>
              <w:rPr>
                <w:rFonts w:ascii="Tahoma;sans-serif" w:hAnsi="Tahoma;sans-serif"/>
                <w:color w:val="000000"/>
                <w:sz w:val="16"/>
              </w:rPr>
              <w:t>:</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208"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Depreciation and amortization (excluding FF&amp;E)</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107,801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94,011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319,765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272,551</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208"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Gain on sale of real estate, net of tax</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(11,365</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(827</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(33,853</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(1,132</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5208"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Exchangeable operating partnership units</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1,490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08" w:type="dxa"/>
            <w:tcBorders/>
            <w:shd w:fill="FFFFFF" w:val="clear"/>
            <w:vAlign w:val="center"/>
          </w:tcPr>
          <w:p>
            <w:pPr>
              <w:pStyle w:val="TableContents"/>
              <w:bidi w:val="0"/>
              <w:spacing w:before="0" w:after="283"/>
              <w:ind w:left="0" w:right="0" w:firstLine="600"/>
              <w:jc w:val="left"/>
              <w:rPr>
                <w:rFonts w:ascii="Tahoma;sans-serif" w:hAnsi="Tahoma;sans-serif"/>
                <w:b/>
                <w:color w:val="000000"/>
                <w:sz w:val="16"/>
              </w:rPr>
            </w:pPr>
            <w:r>
              <w:rPr>
                <w:rFonts w:ascii="Tahoma;sans-serif" w:hAnsi="Tahoma;sans-serif"/>
                <w:b/>
                <w:color w:val="000000"/>
                <w:sz w:val="16"/>
              </w:rPr>
              <w:t>Nareit Funds From Operations</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195,085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591,420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546,048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08" w:type="dxa"/>
            <w:tcBorders/>
            <w:shd w:fill="FFFFFF" w:val="clear"/>
            <w:vAlign w:val="center"/>
          </w:tcPr>
          <w:p>
            <w:pPr>
              <w:pStyle w:val="TableContents"/>
              <w:bidi w:val="0"/>
              <w:spacing w:before="0" w:after="283"/>
              <w:ind w:left="0" w:right="0" w:firstLine="600"/>
              <w:jc w:val="left"/>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5208" w:type="dxa"/>
            <w:tcBorders/>
            <w:shd w:fill="FFFFFF" w:val="clear"/>
            <w:vAlign w:val="center"/>
          </w:tcPr>
          <w:p>
            <w:pPr>
              <w:pStyle w:val="TableContents"/>
              <w:bidi w:val="0"/>
              <w:spacing w:before="0" w:after="283"/>
              <w:ind w:left="0" w:right="0" w:firstLine="600"/>
              <w:jc w:val="left"/>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Nareit FFO per share (diluted)</w:t>
            </w:r>
          </w:p>
        </w:tc>
        <w:tc>
          <w:tcPr>
            <w:tcW w:w="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3.13</w:t>
            </w:r>
          </w:p>
        </w:tc>
        <w:tc>
          <w:tcPr>
            <w:tcW w:w="791" w:type="dxa"/>
            <w:tcBorders/>
            <w:shd w:fill="FFFFFF" w:val="clear"/>
            <w:vAlign w:val="center"/>
          </w:tcPr>
          <w:p>
            <w:pPr>
              <w:pStyle w:val="TableContents"/>
              <w:bidi w:val="0"/>
              <w:spacing w:before="0" w:after="283"/>
              <w:jc w:val="left"/>
              <w:rPr/>
            </w:pPr>
            <w:r>
              <w:rPr/>
              <w:t> </w:t>
            </w:r>
          </w:p>
        </w:tc>
      </w:tr>
      <w:tr>
        <w:trPr/>
        <w:tc>
          <w:tcPr>
            <w:tcW w:w="5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Weighted average shares (diluted)</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182,872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179,311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184,548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174,621</w:t>
            </w:r>
          </w:p>
        </w:tc>
        <w:tc>
          <w:tcPr>
            <w:tcW w:w="791" w:type="dxa"/>
            <w:tcBorders/>
            <w:shd w:fill="FFFFFF" w:val="clear"/>
            <w:vAlign w:val="center"/>
          </w:tcPr>
          <w:p>
            <w:pPr>
              <w:pStyle w:val="TableContents"/>
              <w:bidi w:val="0"/>
              <w:spacing w:before="0" w:after="283"/>
              <w:jc w:val="left"/>
              <w:rPr/>
            </w:pPr>
            <w:r>
              <w:rPr/>
              <w:t> </w:t>
            </w:r>
          </w:p>
        </w:tc>
      </w:tr>
      <w:tr>
        <w:trPr/>
        <w:tc>
          <w:tcPr>
            <w:tcW w:w="5208" w:type="dxa"/>
            <w:tcBorders/>
            <w:shd w:fill="FFFFFF" w:val="cle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208" w:type="dxa"/>
            <w:tcBorders/>
            <w:shd w:fill="FFFFFF" w:val="clear"/>
            <w:vAlign w:val="center"/>
          </w:tcPr>
          <w:p>
            <w:pPr>
              <w:pStyle w:val="TableContents"/>
              <w:bidi w:val="0"/>
              <w:spacing w:before="0" w:after="283"/>
              <w:jc w:val="left"/>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208"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Nareit FFO to Core Operating Earnings:</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208" w:type="dxa"/>
            <w:tcBorders/>
            <w:shd w:fill="FFFFFF" w:val="clear"/>
            <w:vAlign w:val="center"/>
          </w:tcPr>
          <w:p>
            <w:pPr>
              <w:pStyle w:val="TableContents"/>
              <w:bidi w:val="0"/>
              <w:spacing w:before="0" w:after="283"/>
              <w:jc w:val="left"/>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Nareit Funds From Operations</w:t>
            </w:r>
          </w:p>
        </w:tc>
        <w:tc>
          <w:tcPr>
            <w:tcW w:w="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195,085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182,780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591,420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546,048</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208" w:type="dxa"/>
            <w:tcBorders/>
            <w:shd w:fill="FFFFFF" w:val="cle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 xml:space="preserve">Adjustments to reconcile to Core Operating Earnings </w:t>
            </w:r>
            <w:r>
              <w:rPr>
                <w:rFonts w:ascii="Tahoma;sans-serif" w:hAnsi="Tahoma;sans-serif"/>
                <w:color w:val="000000"/>
                <w:sz w:val="11"/>
              </w:rPr>
              <w:t>(1)</w:t>
            </w:r>
            <w:r>
              <w:rPr>
                <w:rFonts w:ascii="Tahoma;sans-serif" w:hAnsi="Tahoma;sans-serif"/>
                <w:color w:val="000000"/>
                <w:sz w:val="16"/>
              </w:rPr>
              <w:t>:</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5208"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Not Comparable Items</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208"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Merger transition costs</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7,069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1,511</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208"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Loss on early extinguishment of debt</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208"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Certain Non-Cash Items</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208"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Straight-line rent</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(5,886</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(3,142</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(16,907</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(7,315</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5208"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Uncollectible straight-line rent</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(134</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(2,298</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5208"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Above/below market rent amortization, net</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(5,370</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(7,919</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(17,910</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(22,138</w:t>
            </w:r>
          </w:p>
        </w:tc>
        <w:tc>
          <w:tcPr>
            <w:tcW w:w="79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5208"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Debt and derivative mark-to-market amortization</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08" w:type="dxa"/>
            <w:tcBorders/>
            <w:shd w:fill="FFFFFF" w:val="clear"/>
            <w:vAlign w:val="center"/>
          </w:tcPr>
          <w:p>
            <w:pPr>
              <w:pStyle w:val="TableContents"/>
              <w:bidi w:val="0"/>
              <w:spacing w:before="0" w:after="283"/>
              <w:ind w:left="0" w:right="0" w:firstLine="600"/>
              <w:jc w:val="left"/>
              <w:rPr>
                <w:rFonts w:ascii="Tahoma;sans-serif" w:hAnsi="Tahoma;sans-serif"/>
                <w:b/>
                <w:color w:val="000000"/>
                <w:sz w:val="16"/>
              </w:rPr>
            </w:pPr>
            <w:r>
              <w:rPr>
                <w:rFonts w:ascii="Tahoma;sans-serif" w:hAnsi="Tahoma;sans-serif"/>
                <w:b/>
                <w:color w:val="000000"/>
                <w:sz w:val="16"/>
              </w:rPr>
              <w:t>Core Operating Earnings</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187,763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173,989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570,084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516,475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08"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5208" w:type="dxa"/>
            <w:tcBorders/>
            <w:shd w:fill="FFFFFF" w:val="clear"/>
            <w:vAlign w:val="center"/>
          </w:tcPr>
          <w:p>
            <w:pPr>
              <w:pStyle w:val="TableContents"/>
              <w:bidi w:val="0"/>
              <w:spacing w:before="0" w:after="283"/>
              <w:ind w:left="0" w:right="0" w:firstLine="600"/>
              <w:jc w:val="left"/>
              <w:rPr>
                <w:sz w:val="4"/>
                <w:szCs w:val="4"/>
              </w:rPr>
            </w:pPr>
            <w:r>
              <w:rPr>
                <w:sz w:val="4"/>
                <w:szCs w:val="4"/>
              </w:rPr>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Core Operating Earnings per share (diluted)</w:t>
            </w:r>
          </w:p>
        </w:tc>
        <w:tc>
          <w:tcPr>
            <w:tcW w:w="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2.96</w:t>
            </w:r>
          </w:p>
        </w:tc>
        <w:tc>
          <w:tcPr>
            <w:tcW w:w="791" w:type="dxa"/>
            <w:tcBorders/>
            <w:shd w:fill="FFFFFF" w:val="clear"/>
            <w:vAlign w:val="center"/>
          </w:tcPr>
          <w:p>
            <w:pPr>
              <w:pStyle w:val="TableContents"/>
              <w:bidi w:val="0"/>
              <w:spacing w:before="0" w:after="283"/>
              <w:jc w:val="left"/>
              <w:rPr/>
            </w:pPr>
            <w:r>
              <w:rPr/>
              <w:t> </w:t>
            </w:r>
          </w:p>
        </w:tc>
      </w:tr>
      <w:tr>
        <w:trPr/>
        <w:tc>
          <w:tcPr>
            <w:tcW w:w="5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Weighted average shares (diluted)</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182,872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179,311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184,548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174,621</w:t>
            </w:r>
          </w:p>
        </w:tc>
        <w:tc>
          <w:tcPr>
            <w:tcW w:w="791" w:type="dxa"/>
            <w:tcBorders/>
            <w:shd w:fill="FFFFFF" w:val="clear"/>
            <w:vAlign w:val="center"/>
          </w:tcPr>
          <w:p>
            <w:pPr>
              <w:pStyle w:val="TableContents"/>
              <w:bidi w:val="0"/>
              <w:spacing w:before="0" w:after="283"/>
              <w:jc w:val="left"/>
              <w:rPr/>
            </w:pPr>
            <w:r>
              <w:rPr/>
              <w:t> </w:t>
            </w:r>
          </w:p>
        </w:tc>
      </w:tr>
      <w:tr>
        <w:trPr/>
        <w:tc>
          <w:tcPr>
            <w:tcW w:w="5208" w:type="dxa"/>
            <w:tcBorders/>
            <w:shd w:fill="FFFFFF" w:val="cle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208" w:type="dxa"/>
            <w:tcBorders/>
            <w:shd w:fill="FFFFFF" w:val="clear"/>
            <w:vAlign w:val="center"/>
          </w:tcPr>
          <w:p>
            <w:pPr>
              <w:pStyle w:val="TableContents"/>
              <w:bidi w:val="0"/>
              <w:spacing w:before="0" w:after="283"/>
              <w:jc w:val="left"/>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208"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Core Operating Earnings to AFFO:</w:t>
            </w:r>
          </w:p>
        </w:tc>
        <w:tc>
          <w:tcPr>
            <w:tcW w:w="9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208" w:type="dxa"/>
            <w:tcBorders/>
            <w:shd w:fill="FFFFFF" w:val="cle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Core Operating Earnings</w:t>
            </w:r>
          </w:p>
        </w:tc>
        <w:tc>
          <w:tcPr>
            <w:tcW w:w="208"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187,763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173,989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570,084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516,475</w:t>
            </w:r>
          </w:p>
        </w:tc>
        <w:tc>
          <w:tcPr>
            <w:tcW w:w="791" w:type="dxa"/>
            <w:tcBorders/>
            <w:shd w:fill="FFFFFF" w:val="clear"/>
            <w:vAlign w:val="center"/>
          </w:tcPr>
          <w:p>
            <w:pPr>
              <w:pStyle w:val="TableContents"/>
              <w:bidi w:val="0"/>
              <w:spacing w:before="0" w:after="283"/>
              <w:ind w:left="0" w:right="0" w:firstLine="100"/>
              <w:jc w:val="left"/>
              <w:rPr/>
            </w:pPr>
            <w:r>
              <w:rPr/>
              <w:t> </w:t>
            </w:r>
          </w:p>
        </w:tc>
      </w:tr>
      <w:tr>
        <w:trPr/>
        <w:tc>
          <w:tcPr>
            <w:tcW w:w="5208" w:type="dxa"/>
            <w:tcBorders/>
            <w:shd w:fill="FFFFFF" w:val="clear"/>
            <w:vAlign w:val="center"/>
          </w:tcPr>
          <w:p>
            <w:pPr>
              <w:pStyle w:val="TableContents"/>
              <w:bidi w:val="0"/>
              <w:spacing w:before="0" w:after="283"/>
              <w:ind w:left="0" w:right="0" w:firstLine="100"/>
              <w:jc w:val="left"/>
              <w:rPr>
                <w:rFonts w:ascii="Times New Roman" w:hAnsi="Times New Roman"/>
                <w:sz w:val="16"/>
              </w:rPr>
            </w:pPr>
            <w:r>
              <w:rPr>
                <w:rFonts w:ascii="Tahoma;sans-serif" w:hAnsi="Tahoma;sans-serif"/>
                <w:color w:val="000000"/>
                <w:sz w:val="16"/>
              </w:rPr>
              <w:t xml:space="preserve">Adjustments to reconcile to Adjusted Funds from Operations </w:t>
            </w:r>
            <w:r>
              <w:rPr>
                <w:rFonts w:ascii="Tahoma;sans-serif" w:hAnsi="Tahoma;sans-serif"/>
                <w:color w:val="000000"/>
                <w:sz w:val="11"/>
              </w:rPr>
              <w:t>(1)</w:t>
            </w:r>
            <w:r>
              <w:rPr>
                <w:rFonts w:ascii="Tahoma;sans-serif" w:hAnsi="Tahoma;sans-serif"/>
                <w:color w:val="000000"/>
                <w:sz w:val="16"/>
              </w:rPr>
              <w:t>:</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5208"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Operating capital expenditures</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(36,430</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(26,638</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(91,168</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(65,183</w:t>
            </w:r>
          </w:p>
        </w:tc>
        <w:tc>
          <w:tcPr>
            <w:tcW w:w="79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w:t>
            </w:r>
          </w:p>
        </w:tc>
      </w:tr>
      <w:tr>
        <w:trPr/>
        <w:tc>
          <w:tcPr>
            <w:tcW w:w="5208"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Debt cost and derivative adjustments</w:t>
            </w:r>
          </w:p>
        </w:tc>
        <w:tc>
          <w:tcPr>
            <w:tcW w:w="2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5,049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208"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Stock-based compensation</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13,123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08" w:type="dxa"/>
            <w:tcBorders/>
            <w:shd w:fill="FFFFFF" w:val="clear"/>
            <w:vAlign w:val="center"/>
          </w:tcPr>
          <w:p>
            <w:pPr>
              <w:pStyle w:val="TableContents"/>
              <w:bidi w:val="0"/>
              <w:spacing w:before="0" w:after="283"/>
              <w:ind w:left="0" w:right="0" w:firstLine="300"/>
              <w:jc w:val="left"/>
              <w:rPr>
                <w:rFonts w:ascii="Tahoma;sans-serif" w:hAnsi="Tahoma;sans-serif"/>
                <w:b/>
                <w:color w:val="000000"/>
                <w:sz w:val="16"/>
              </w:rPr>
            </w:pPr>
            <w:r>
              <w:rPr>
                <w:rFonts w:ascii="Tahoma;sans-serif" w:hAnsi="Tahoma;sans-serif"/>
                <w:b/>
                <w:color w:val="000000"/>
                <w:sz w:val="16"/>
              </w:rPr>
              <w:t>Adjusted Funds from Operations</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158,216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153,240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499,263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469,464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Includes Regency’s consolidated entities and its pro-rata share of unconsolidated real estate partnerships, net of pro-rata share attributable to noncontrolling interests, which can be found on page 6 and 7.</w:t>
      </w:r>
    </w:p>
    <w:p>
      <w:pPr>
        <w:pStyle w:val="TextBody"/>
        <w:bidi w:val="0"/>
        <w:jc w:val="right"/>
        <w:rPr/>
      </w:pPr>
      <w:r>
        <w:rPr/>
        <w:drawing>
          <wp:inline distT="0" distB="0" distL="0" distR="0">
            <wp:extent cx="476250" cy="2571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9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8" w:name="capex"/>
      <w:bookmarkEnd w:id="18"/>
      <w:r>
        <w:rPr>
          <w:rFonts w:ascii="Tahoma;sans-serif" w:hAnsi="Tahoma;sans-serif"/>
          <w:b/>
          <w:color w:val="000000"/>
          <w:sz w:val="20"/>
        </w:rPr>
        <w:t>Capital Expenditures and Additional Disclosures</w:t>
      </w:r>
    </w:p>
    <w:p>
      <w:pPr>
        <w:pStyle w:val="TextBody"/>
        <w:bidi w:val="0"/>
        <w:jc w:val="center"/>
        <w:rPr>
          <w:rFonts w:ascii="Tahoma;sans-serif" w:hAnsi="Tahoma;sans-serif"/>
          <w:color w:val="000000"/>
          <w:sz w:val="20"/>
        </w:rPr>
      </w:pPr>
      <w:r>
        <w:rPr>
          <w:rFonts w:ascii="Tahoma;sans-serif" w:hAnsi="Tahoma;sans-serif"/>
          <w:color w:val="000000"/>
          <w:sz w:val="20"/>
        </w:rPr>
        <w:t>For the Periods Ended September 30, 2024 and 2023</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9692" w:type="dxa"/>
        <w:jc w:val="left"/>
        <w:tblInd w:w="0" w:type="dxa"/>
        <w:tblLayout w:type="fixed"/>
        <w:tblCellMar>
          <w:top w:w="28" w:type="dxa"/>
          <w:left w:w="28" w:type="dxa"/>
          <w:bottom w:w="28" w:type="dxa"/>
          <w:right w:w="28" w:type="dxa"/>
        </w:tblCellMar>
      </w:tblPr>
      <w:tblGrid>
        <w:gridCol w:w="4351"/>
        <w:gridCol w:w="146"/>
        <w:gridCol w:w="196"/>
        <w:gridCol w:w="691"/>
        <w:gridCol w:w="166"/>
        <w:gridCol w:w="146"/>
        <w:gridCol w:w="146"/>
        <w:gridCol w:w="691"/>
        <w:gridCol w:w="166"/>
        <w:gridCol w:w="146"/>
        <w:gridCol w:w="196"/>
        <w:gridCol w:w="691"/>
        <w:gridCol w:w="166"/>
        <w:gridCol w:w="146"/>
        <w:gridCol w:w="146"/>
        <w:gridCol w:w="691"/>
        <w:gridCol w:w="8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6" w:type="dxa"/>
            <w:gridSpan w:val="6"/>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6" w:type="dxa"/>
            <w:gridSpan w:val="6"/>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Year to Date</w:t>
            </w:r>
          </w:p>
        </w:tc>
        <w:tc>
          <w:tcPr>
            <w:tcW w:w="811" w:type="dxa"/>
            <w:tcBorders/>
            <w:shd w:fill="FFFFFF" w:val="cle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2023</w:t>
            </w:r>
          </w:p>
        </w:tc>
        <w:tc>
          <w:tcPr>
            <w:tcW w:w="811" w:type="dxa"/>
            <w:tcBorders/>
            <w:shd w:fill="FFFFFF" w:val="cle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Capital Expenditures: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Operating Properties </w:t>
            </w:r>
            <w:r>
              <w:rPr>
                <w:rFonts w:ascii="Tahoma;sans-serif" w:hAnsi="Tahoma;sans-serif"/>
                <w:b/>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435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 allowance and landlord work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22,065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15,958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59,785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35,361</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35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Leasing commissions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11,328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Leasing Capital Expenditures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26,079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72,054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46,689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351"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435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Building improvements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18,494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6"/>
              </w:rPr>
            </w:pPr>
            <w:r>
              <w:rPr>
                <w:rFonts w:ascii="Tahoma;sans-serif" w:hAnsi="Tahoma;sans-serif"/>
                <w:b/>
                <w:color w:val="000000"/>
                <w:sz w:val="16"/>
              </w:rPr>
              <w:t>Operating Capital Expenditures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91,168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65,183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Development &amp; Redevelopment Properties </w:t>
            </w:r>
            <w:r>
              <w:rPr>
                <w:rFonts w:ascii="Tahoma;sans-serif" w:hAnsi="Tahoma;sans-serif"/>
                <w:b/>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435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Ground-up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11,979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51,704</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35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104,364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64,015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b/>
                <w:color w:val="000000"/>
                <w:sz w:val="16"/>
              </w:rPr>
            </w:pPr>
            <w:r>
              <w:rPr>
                <w:rFonts w:ascii="Tahoma;sans-serif" w:hAnsi="Tahoma;sans-serif"/>
                <w:b/>
                <w:color w:val="000000"/>
                <w:sz w:val="16"/>
              </w:rPr>
              <w:t>Development &amp; Redevelopment Expenditures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65,940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158,508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115,719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Reconciliation of Net Income to Nareit EBITDA</w:t>
            </w:r>
            <w:r>
              <w:rPr>
                <w:rFonts w:ascii="Tahoma;sans-serif" w:hAnsi="Tahoma;sans-serif"/>
                <w:b/>
                <w:i/>
                <w:color w:val="000000"/>
                <w:sz w:val="16"/>
              </w:rPr>
              <w:t>re</w:t>
            </w:r>
            <w:r>
              <w:rPr>
                <w:rFonts w:ascii="Tahoma;sans-serif" w:hAnsi="Tahoma;sans-serif"/>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103,576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92,173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321,163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278,833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351" w:type="dxa"/>
            <w:tcBorders/>
            <w:shd w:fill="FFFFFF" w:val="cle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Adjustments to reconcile to Nareit EBITDA</w:t>
            </w:r>
            <w:r>
              <w:rPr>
                <w:rFonts w:ascii="Tahoma;sans-serif" w:hAnsi="Tahoma;sans-serif"/>
                <w:i/>
                <w:color w:val="000000"/>
                <w:sz w:val="16"/>
              </w:rPr>
              <w:t xml:space="preserve">re </w:t>
            </w:r>
            <w:r>
              <w:rPr>
                <w:rFonts w:ascii="Tahoma;sans-serif" w:hAnsi="Tahoma;sans-serif"/>
                <w:color w:val="000000"/>
                <w:sz w:val="11"/>
              </w:rPr>
              <w:t>(2)</w:t>
            </w: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Interest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53,844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44,304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157,053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128,113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Income tax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109,297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95,190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324,207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275,999</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Gain on sale of real estate, net of tax</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(11,365</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(827</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(33,853</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(1,132</w:t>
            </w:r>
          </w:p>
        </w:tc>
        <w:tc>
          <w:tcPr>
            <w:tcW w:w="811" w:type="dxa"/>
            <w:tcBorders/>
            <w:shd w:fill="FFFFFF" w:val="cle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w:t>
            </w:r>
          </w:p>
        </w:tc>
      </w:tr>
      <w:tr>
        <w:trPr/>
        <w:tc>
          <w:tcPr>
            <w:tcW w:w="4351" w:type="dxa"/>
            <w:tcBorders/>
            <w:shd w:fill="FFFFFF" w:val="clear"/>
            <w:vAlign w:val="center"/>
          </w:tcPr>
          <w:p>
            <w:pPr>
              <w:pStyle w:val="TableContents"/>
              <w:bidi w:val="0"/>
              <w:spacing w:before="0" w:after="283"/>
              <w:ind w:left="0" w:right="0" w:firstLine="600"/>
              <w:jc w:val="left"/>
              <w:rPr>
                <w:rFonts w:ascii="Times New Roman" w:hAnsi="Times New Roman"/>
                <w:sz w:val="16"/>
              </w:rPr>
            </w:pPr>
            <w:r>
              <w:rPr>
                <w:rFonts w:ascii="Tahoma;sans-serif" w:hAnsi="Tahoma;sans-serif"/>
                <w:b/>
                <w:color w:val="000000"/>
                <w:sz w:val="16"/>
              </w:rPr>
              <w:t>Nareit EBITDA</w:t>
            </w:r>
            <w:r>
              <w:rPr>
                <w:rFonts w:ascii="Tahoma;sans-serif" w:hAnsi="Tahoma;sans-serif"/>
                <w:b/>
                <w:i/>
                <w:color w:val="000000"/>
                <w:sz w:val="16"/>
              </w:rPr>
              <w:t>re</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255,775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230,998</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769,266</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682,456</w:t>
            </w:r>
          </w:p>
        </w:tc>
        <w:tc>
          <w:tcPr>
            <w:tcW w:w="8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Nareit EBITDAre to Operating EBITDAre: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4351"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Nareit EBITDAre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255,775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230,998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769,266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682,456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351" w:type="dxa"/>
            <w:tcBorders/>
            <w:shd w:fill="FFFFFF" w:val="cle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Adjustments to reconcile to Operating EBITDA</w:t>
            </w:r>
            <w:r>
              <w:rPr>
                <w:rFonts w:ascii="Tahoma;sans-serif" w:hAnsi="Tahoma;sans-serif"/>
                <w:i/>
                <w:color w:val="000000"/>
                <w:sz w:val="16"/>
              </w:rPr>
              <w:t xml:space="preserve">re </w:t>
            </w:r>
            <w:r>
              <w:rPr>
                <w:rFonts w:ascii="Tahoma;sans-serif" w:hAnsi="Tahoma;sans-serif"/>
                <w:color w:val="000000"/>
                <w:sz w:val="11"/>
              </w:rPr>
              <w:t>(2)</w:t>
            </w: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Merger transition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7,069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1,511</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Loss on early extinguishment of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Straight-line rent,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(5,938</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(3,140</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(15,695</w:t>
            </w:r>
          </w:p>
        </w:tc>
        <w:tc>
          <w:tcPr>
            <w:tcW w:w="16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(9,800</w:t>
            </w:r>
          </w:p>
        </w:tc>
        <w:tc>
          <w:tcPr>
            <w:tcW w:w="81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351" w:type="dxa"/>
            <w:tcBorders/>
            <w:shd w:fill="FFFFFF" w:val="cle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Above/below market rent amortization,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(22,134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w:t>
            </w:r>
          </w:p>
        </w:tc>
      </w:tr>
      <w:tr>
        <w:trPr/>
        <w:tc>
          <w:tcPr>
            <w:tcW w:w="4351" w:type="dxa"/>
            <w:tcBorders/>
            <w:shd w:fill="FFFFFF" w:val="clear"/>
            <w:vAlign w:val="center"/>
          </w:tcPr>
          <w:p>
            <w:pPr>
              <w:pStyle w:val="TableContents"/>
              <w:bidi w:val="0"/>
              <w:spacing w:before="0" w:after="283"/>
              <w:ind w:left="0" w:right="0" w:firstLine="600"/>
              <w:jc w:val="left"/>
              <w:rPr>
                <w:rFonts w:ascii="Times New Roman" w:hAnsi="Times New Roman"/>
                <w:sz w:val="16"/>
              </w:rPr>
            </w:pPr>
            <w:r>
              <w:rPr>
                <w:rFonts w:ascii="Tahoma;sans-serif" w:hAnsi="Tahoma;sans-serif"/>
                <w:b/>
                <w:color w:val="000000"/>
                <w:sz w:val="16"/>
              </w:rPr>
              <w:t>Operating EBITDA</w:t>
            </w:r>
            <w:r>
              <w:rPr>
                <w:rFonts w:ascii="Tahoma;sans-serif" w:hAnsi="Tahoma;sans-serif"/>
                <w:b/>
                <w:i/>
                <w:color w:val="000000"/>
                <w:sz w:val="16"/>
              </w:rPr>
              <w:t>re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246,846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221,452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742,902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652,033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Includes Regency's consolidated entities and its pro-rata share of unconsolidated real estate partnerships, net of pro-rata share attributable to noncontrolling interests.</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Regency's consolidated entities and its pro-rata share of unconsolidated real estate partnerships.</w:t>
      </w:r>
    </w:p>
    <w:p>
      <w:pPr>
        <w:pStyle w:val="TextBody"/>
        <w:bidi w:val="0"/>
        <w:jc w:val="right"/>
        <w:rPr/>
      </w:pPr>
      <w:r>
        <w:rPr/>
        <w:drawing>
          <wp:inline distT="0" distB="0" distL="0" distR="0">
            <wp:extent cx="476250" cy="2571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10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9" w:name="consoldebt"/>
      <w:bookmarkEnd w:id="19"/>
      <w:r>
        <w:rPr>
          <w:rFonts w:ascii="Tahoma;sans-serif" w:hAnsi="Tahoma;sans-serif"/>
          <w:b/>
          <w:color w:val="000000"/>
          <w:sz w:val="20"/>
        </w:rPr>
        <w:t>Summary of Consolidated Debt</w:t>
      </w:r>
    </w:p>
    <w:p>
      <w:pPr>
        <w:pStyle w:val="TextBody"/>
        <w:bidi w:val="0"/>
        <w:jc w:val="center"/>
        <w:rPr>
          <w:rFonts w:ascii="Tahoma;sans-serif" w:hAnsi="Tahoma;sans-serif"/>
          <w:color w:val="000000"/>
          <w:sz w:val="20"/>
        </w:rPr>
      </w:pPr>
      <w:r>
        <w:rPr>
          <w:rFonts w:ascii="Tahoma;sans-serif" w:hAnsi="Tahoma;sans-serif"/>
          <w:color w:val="000000"/>
          <w:sz w:val="20"/>
        </w:rPr>
        <w:t>September 30, 2024 and December 31, 2023</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5854" w:type="dxa"/>
        <w:jc w:val="left"/>
        <w:tblInd w:w="0" w:type="dxa"/>
        <w:tblLayout w:type="fixed"/>
        <w:tblCellMar>
          <w:top w:w="28" w:type="dxa"/>
          <w:left w:w="28" w:type="dxa"/>
          <w:bottom w:w="28" w:type="dxa"/>
          <w:right w:w="28" w:type="dxa"/>
        </w:tblCellMar>
      </w:tblPr>
      <w:tblGrid>
        <w:gridCol w:w="2781"/>
        <w:gridCol w:w="146"/>
        <w:gridCol w:w="196"/>
        <w:gridCol w:w="826"/>
        <w:gridCol w:w="146"/>
        <w:gridCol w:w="146"/>
        <w:gridCol w:w="196"/>
        <w:gridCol w:w="826"/>
        <w:gridCol w:w="5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Total Debt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12/31/2023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Notes Payable:</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Fixed rate mortgage loans</w:t>
            </w:r>
            <w:r>
              <w:rPr>
                <w:rFonts w:ascii="Tahoma;sans-serif" w:hAnsi="Tahoma;sans-serif"/>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638,612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745,478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 rate mortgage loans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3,716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 rate unsecured public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3,525,273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3,056,467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 rate unsecured private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197,386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196,288</w:t>
            </w:r>
          </w:p>
        </w:tc>
        <w:tc>
          <w:tcPr>
            <w:tcW w:w="591" w:type="dxa"/>
            <w:tcBorders/>
            <w:shd w:fill="FFFFFF"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Unsecured credit facility:</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Revolving line of credit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152,000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1"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4,395,007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4,153,949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7"/>
        <w:gridCol w:w="146"/>
        <w:gridCol w:w="315"/>
        <w:gridCol w:w="972"/>
        <w:gridCol w:w="146"/>
        <w:gridCol w:w="146"/>
        <w:gridCol w:w="205"/>
        <w:gridCol w:w="977"/>
        <w:gridCol w:w="166"/>
        <w:gridCol w:w="146"/>
        <w:gridCol w:w="185"/>
        <w:gridCol w:w="1051"/>
        <w:gridCol w:w="166"/>
        <w:gridCol w:w="146"/>
        <w:gridCol w:w="146"/>
        <w:gridCol w:w="826"/>
        <w:gridCol w:w="166"/>
        <w:gridCol w:w="146"/>
        <w:gridCol w:w="2047"/>
      </w:tblGrid>
      <w:tr>
        <w:trPr/>
        <w:tc>
          <w:tcPr>
            <w:tcW w:w="2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2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Schedule of Maturities by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Scheduled Principal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Mortgage Loan Maturities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Unsecured Maturities </w:t>
            </w:r>
            <w:r>
              <w:rPr>
                <w:rFonts w:ascii="Tahoma;sans-serif" w:hAnsi="Tahoma;sans-serif"/>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Weighted Average Contractual Interest Rate on Maturities</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2024</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30,315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4.10%</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2025</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312,215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3.82%</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147,849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357,769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3.94%</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7,013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222,558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754,571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3.65%</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371,882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4.48%</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48,620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476,406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3.14%</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605,658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3.71%</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30,901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33,094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3.68%</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35,473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3.15%</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0.00%</w:t>
            </w:r>
          </w:p>
        </w:tc>
      </w:tr>
      <w:tr>
        <w:trPr/>
        <w:tc>
          <w:tcPr>
            <w:tcW w:w="210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&gt;10 years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1,450,000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1,450,343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4.90%</w:t>
            </w:r>
          </w:p>
        </w:tc>
      </w:tr>
      <w:tr>
        <w:trPr/>
        <w:tc>
          <w:tcPr>
            <w:tcW w:w="2107"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Unamortized debt premium/(discount), net of issuance costs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600,008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3,752,659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4,395,007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4.10%</w:t>
            </w:r>
          </w:p>
        </w:tc>
      </w:tr>
    </w:tbl>
    <w:p>
      <w:pPr>
        <w:pStyle w:val="TextBody"/>
        <w:bidi w:val="0"/>
        <w:jc w:val="left"/>
        <w:rPr/>
      </w:pPr>
      <w:r>
        <w:rPr/>
        <w:t> </w:t>
      </w:r>
    </w:p>
    <w:p>
      <w:pPr>
        <w:pStyle w:val="TextBody"/>
        <w:bidi w:val="0"/>
        <w:jc w:val="left"/>
        <w:rPr/>
      </w:pPr>
      <w:r>
        <w:rPr/>
        <w:t> </w:t>
      </w:r>
    </w:p>
    <w:tbl>
      <w:tblPr>
        <w:tblW w:w="6615" w:type="dxa"/>
        <w:jc w:val="left"/>
        <w:tblInd w:w="0" w:type="dxa"/>
        <w:tblLayout w:type="fixed"/>
        <w:tblCellMar>
          <w:top w:w="28" w:type="dxa"/>
          <w:left w:w="28" w:type="dxa"/>
          <w:bottom w:w="28" w:type="dxa"/>
          <w:right w:w="28" w:type="dxa"/>
        </w:tblCellMar>
      </w:tblPr>
      <w:tblGrid>
        <w:gridCol w:w="4276"/>
        <w:gridCol w:w="146"/>
        <w:gridCol w:w="856"/>
        <w:gridCol w:w="146"/>
        <w:gridCol w:w="1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before="0" w:after="283"/>
              <w:jc w:val="left"/>
              <w:rPr>
                <w:rFonts w:ascii="Tahoma;sans-serif" w:hAnsi="Tahoma;sans-serif"/>
                <w:b/>
                <w:color w:val="000000"/>
                <w:sz w:val="16"/>
                <w:u w:val="single"/>
              </w:rPr>
            </w:pPr>
            <w:r>
              <w:rPr>
                <w:rFonts w:ascii="Tahoma;sans-serif" w:hAnsi="Tahoma;sans-serif"/>
                <w:b/>
                <w:color w:val="000000"/>
                <w:sz w:val="16"/>
                <w:u w:val="single"/>
              </w:rPr>
              <w:t>Percentage of Total Debt:</w:t>
            </w:r>
          </w:p>
        </w:tc>
        <w:tc>
          <w:tcPr>
            <w:tcW w:w="146" w:type="dxa"/>
            <w:tcBorders/>
            <w:shd w:fill="FFFFFF" w:val="cle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ahoma;sans-serif" w:hAnsi="Tahoma;sans-serif"/>
                <w:b/>
                <w:color w:val="000000"/>
                <w:sz w:val="16"/>
              </w:rPr>
            </w:pPr>
            <w:r>
              <w:rPr>
                <w:rFonts w:ascii="Tahoma;sans-serif" w:hAnsi="Tahoma;sans-serif"/>
                <w:b/>
                <w:color w:val="000000"/>
                <w:sz w:val="16"/>
              </w:rPr>
              <w:t>12/31/2023</w:t>
            </w:r>
          </w:p>
        </w:tc>
      </w:tr>
      <w:tr>
        <w:trPr/>
        <w:tc>
          <w:tcPr>
            <w:tcW w:w="42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99.2%</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96.3%</w:t>
            </w:r>
          </w:p>
        </w:tc>
      </w:tr>
      <w:tr>
        <w:trPr/>
        <w:tc>
          <w:tcPr>
            <w:tcW w:w="42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w:t>
            </w:r>
          </w:p>
        </w:tc>
      </w:tr>
      <w:tr>
        <w:trPr/>
        <w:tc>
          <w:tcPr>
            <w:tcW w:w="42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Current Weighted Average Contractual Interest Rates:</w:t>
            </w:r>
            <w:r>
              <w:rPr>
                <w:rFonts w:ascii="Tahoma;sans-serif" w:hAnsi="Tahoma;sans-serif"/>
                <w:b/>
                <w:color w:val="000000"/>
                <w:sz w:val="11"/>
                <w:u w:val="single"/>
              </w:rPr>
              <w:t>(3)</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ind w:left="0" w:right="0" w:firstLine="200"/>
              <w:jc w:val="center"/>
              <w:rPr/>
            </w:pPr>
            <w:r>
              <w:rPr/>
              <w:t> </w:t>
            </w:r>
          </w:p>
        </w:tc>
      </w:tr>
      <w:tr>
        <w:trPr/>
        <w:tc>
          <w:tcPr>
            <w:tcW w:w="42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3.9%</w:t>
            </w:r>
          </w:p>
        </w:tc>
      </w:tr>
      <w:tr>
        <w:trPr/>
        <w:tc>
          <w:tcPr>
            <w:tcW w:w="42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5.9%</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6.3%</w:t>
            </w:r>
          </w:p>
        </w:tc>
      </w:tr>
      <w:tr>
        <w:trPr/>
        <w:tc>
          <w:tcPr>
            <w:tcW w:w="42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Combined</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r>
      <w:tr>
        <w:trPr/>
        <w:tc>
          <w:tcPr>
            <w:tcW w:w="42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Current Weighted Average Effective Interest Rate:</w:t>
            </w:r>
            <w:r>
              <w:rPr>
                <w:rFonts w:ascii="Tahoma;sans-serif" w:hAnsi="Tahoma;sans-serif"/>
                <w:b/>
                <w:color w:val="000000"/>
                <w:sz w:val="11"/>
                <w:u w:val="single"/>
              </w:rPr>
              <w:t>(4)</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ind w:left="0" w:right="0" w:firstLine="200"/>
              <w:jc w:val="center"/>
              <w:rPr/>
            </w:pPr>
            <w:r>
              <w:rPr/>
              <w:t> </w:t>
            </w:r>
          </w:p>
        </w:tc>
      </w:tr>
      <w:tr>
        <w:trPr/>
        <w:tc>
          <w:tcPr>
            <w:tcW w:w="42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Combined</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w:t>
            </w:r>
          </w:p>
        </w:tc>
      </w:tr>
      <w:tr>
        <w:trPr/>
        <w:tc>
          <w:tcPr>
            <w:tcW w:w="42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rFonts w:ascii="Tahoma;sans-serif" w:hAnsi="Tahoma;sans-serif"/>
                <w:b/>
                <w:color w:val="000000"/>
                <w:sz w:val="16"/>
                <w:u w:val="single"/>
              </w:rPr>
            </w:pPr>
            <w:r>
              <w:rPr>
                <w:rFonts w:ascii="Tahoma;sans-serif" w:hAnsi="Tahoma;sans-serif"/>
                <w:b/>
                <w:color w:val="000000"/>
                <w:sz w:val="16"/>
                <w:u w:val="single"/>
              </w:rPr>
              <w:t>Average Years to Maturity:</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ind w:left="0" w:right="0" w:firstLine="200"/>
              <w:jc w:val="center"/>
              <w:rPr/>
            </w:pPr>
            <w:r>
              <w:rPr/>
              <w:t> </w:t>
            </w:r>
          </w:p>
        </w:tc>
      </w:tr>
      <w:tr>
        <w:trPr/>
        <w:tc>
          <w:tcPr>
            <w:tcW w:w="42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7.6</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7.1</w:t>
            </w:r>
          </w:p>
        </w:tc>
      </w:tr>
      <w:tr>
        <w:trPr/>
        <w:tc>
          <w:tcPr>
            <w:tcW w:w="42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Includes variable rate mortgage loans that have been fixed through interest rate swaps.</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unsecured public and private placement debt and any drawn balance on unsecured revolving line of credit.</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Interest rates are calculated as of the quarter end.</w:t>
      </w:r>
    </w:p>
    <w:p>
      <w:pPr>
        <w:pStyle w:val="TextBody"/>
        <w:bidi w:val="0"/>
        <w:spacing w:before="20" w:after="283"/>
        <w:jc w:val="left"/>
        <w:rPr>
          <w:rFonts w:ascii="Tahoma" w:hAnsi="Tahoma"/>
          <w:color w:val="000000"/>
          <w:sz w:val="14"/>
        </w:rPr>
      </w:pPr>
      <w:r>
        <w:rPr>
          <w:rFonts w:ascii="Tahoma" w:hAnsi="Tahoma"/>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Effective interest rates are calculated in accordance with US GAAP, as of the quarter end, and include the impact of debt premium/(discount) amortization, issuance cost amortization, interest rate swaps, and facility fees.</w:t>
      </w:r>
    </w:p>
    <w:p>
      <w:pPr>
        <w:pStyle w:val="TextBody"/>
        <w:bidi w:val="0"/>
        <w:jc w:val="right"/>
        <w:rPr/>
      </w:pPr>
      <w:r>
        <w:rPr/>
        <w:drawing>
          <wp:inline distT="0" distB="0" distL="0" distR="0">
            <wp:extent cx="476250" cy="2571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11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0" w:name="consoldebtdetail"/>
      <w:bookmarkEnd w:id="20"/>
      <w:r>
        <w:rPr>
          <w:rFonts w:ascii="Tahoma;sans-serif" w:hAnsi="Tahoma;sans-serif"/>
          <w:b/>
          <w:color w:val="000000"/>
          <w:sz w:val="20"/>
        </w:rPr>
        <w:t>Summary of Consolidated Debt</w:t>
      </w:r>
    </w:p>
    <w:p>
      <w:pPr>
        <w:pStyle w:val="TextBody"/>
        <w:bidi w:val="0"/>
        <w:jc w:val="center"/>
        <w:rPr>
          <w:rFonts w:ascii="Tahoma;sans-serif" w:hAnsi="Tahoma;sans-serif"/>
          <w:color w:val="000000"/>
          <w:sz w:val="20"/>
        </w:rPr>
      </w:pPr>
      <w:r>
        <w:rPr>
          <w:rFonts w:ascii="Tahoma;sans-serif" w:hAnsi="Tahoma;sans-serif"/>
          <w:color w:val="000000"/>
          <w:sz w:val="20"/>
        </w:rPr>
        <w:t>September 30, 2024 and December 31, 2023</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12"/>
        <w:gridCol w:w="2545"/>
        <w:gridCol w:w="1299"/>
        <w:gridCol w:w="204"/>
        <w:gridCol w:w="146"/>
        <w:gridCol w:w="571"/>
        <w:gridCol w:w="552"/>
        <w:gridCol w:w="166"/>
        <w:gridCol w:w="586"/>
        <w:gridCol w:w="151"/>
        <w:gridCol w:w="146"/>
        <w:gridCol w:w="166"/>
        <w:gridCol w:w="586"/>
        <w:gridCol w:w="675"/>
      </w:tblGrid>
      <w:tr>
        <w:trPr/>
        <w:tc>
          <w:tcPr>
            <w:tcW w:w="2412"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2412" w:type="dxa"/>
            <w:tcBorders/>
            <w:shd w:fill="FFFFFF" w:val="clear"/>
            <w:vAlign w:val="center"/>
          </w:tcPr>
          <w:p>
            <w:pPr>
              <w:pStyle w:val="TableContents"/>
              <w:bidi w:val="0"/>
              <w:spacing w:before="0" w:after="283"/>
              <w:jc w:val="center"/>
              <w:rPr/>
            </w:pPr>
            <w:r>
              <w:rPr/>
              <w:t> </w:t>
            </w:r>
          </w:p>
        </w:tc>
        <w:tc>
          <w:tcPr>
            <w:tcW w:w="2545" w:type="dxa"/>
            <w:tcBorders/>
            <w:shd w:fill="FFFFFF" w:val="clear"/>
            <w:vAlign w:val="center"/>
          </w:tcPr>
          <w:p>
            <w:pPr>
              <w:pStyle w:val="TableContents"/>
              <w:bidi w:val="0"/>
              <w:spacing w:before="0" w:after="283"/>
              <w:jc w:val="center"/>
              <w:rPr/>
            </w:pPr>
            <w:r>
              <w:rPr/>
              <w:t> </w:t>
            </w:r>
          </w:p>
        </w:tc>
        <w:tc>
          <w:tcPr>
            <w:tcW w:w="1299" w:type="dxa"/>
            <w:tcBorders/>
            <w:shd w:fill="FFFFFF" w:val="cle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Contractual</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tcBorders/>
            <w:shd w:fill="FFFFFF" w:val="cle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Effective</w:t>
            </w:r>
          </w:p>
        </w:tc>
        <w:tc>
          <w:tcPr>
            <w:tcW w:w="552"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675" w:type="dxa"/>
            <w:tcBorders/>
            <w:shd w:fill="FFFFFF" w:val="clear"/>
            <w:vAlign w:val="center"/>
          </w:tcPr>
          <w:p>
            <w:pPr>
              <w:pStyle w:val="TableContents"/>
              <w:bidi w:val="0"/>
              <w:spacing w:before="0" w:after="283"/>
              <w:jc w:val="center"/>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Lender</w:t>
            </w:r>
          </w:p>
        </w:tc>
        <w:tc>
          <w:tcPr>
            <w:tcW w:w="2545" w:type="dxa"/>
            <w:tcBorders/>
            <w:shd w:fill="FFFFFF" w:val="cle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Collateral</w:t>
            </w:r>
          </w:p>
        </w:tc>
        <w:tc>
          <w:tcPr>
            <w:tcW w:w="1299" w:type="dxa"/>
            <w:tcBorders/>
            <w:shd w:fill="FFFFFF" w:val="cle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Rate</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tcBorders/>
            <w:shd w:fill="FFFFFF" w:val="cle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Rate</w:t>
            </w:r>
            <w:r>
              <w:rPr>
                <w:rFonts w:ascii="Tahoma;sans-serif" w:hAnsi="Tahoma;sans-serif"/>
                <w:b/>
                <w:color w:val="000000"/>
                <w:sz w:val="8"/>
                <w:u w:val="single"/>
              </w:rPr>
              <w:t>(1)</w:t>
            </w:r>
          </w:p>
        </w:tc>
        <w:tc>
          <w:tcPr>
            <w:tcW w:w="552" w:type="dxa"/>
            <w:tcBorders/>
            <w:shd w:fill="FFFFFF" w:val="cle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Maturity</w:t>
            </w:r>
          </w:p>
        </w:tc>
        <w:tc>
          <w:tcPr>
            <w:tcW w:w="752" w:type="dxa"/>
            <w:gridSpan w:val="2"/>
            <w:tcBorders/>
            <w:shd w:fill="FFFFFF" w:val="cle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9/30/2024</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12/31/2023</w:t>
            </w:r>
          </w:p>
        </w:tc>
        <w:tc>
          <w:tcPr>
            <w:tcW w:w="675" w:type="dxa"/>
            <w:tcBorders/>
            <w:shd w:fill="FFFFFF" w:val="clear"/>
            <w:vAlign w:val="center"/>
          </w:tcPr>
          <w:p>
            <w:pPr>
              <w:pStyle w:val="TableContents"/>
              <w:bidi w:val="0"/>
              <w:spacing w:before="0" w:after="283"/>
              <w:jc w:val="center"/>
              <w:rPr/>
            </w:pPr>
            <w:r>
              <w:rPr/>
              <w:t> </w:t>
            </w:r>
          </w:p>
        </w:tc>
      </w:tr>
      <w:tr>
        <w:trPr/>
        <w:tc>
          <w:tcPr>
            <w:tcW w:w="4957" w:type="dxa"/>
            <w:gridSpan w:val="2"/>
            <w:tcBorders/>
            <w:shd w:fill="FFFFFF" w:val="cle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Secured Debt - Fixed Rate Mortgage Loans</w:t>
            </w:r>
          </w:p>
        </w:tc>
        <w:tc>
          <w:tcPr>
            <w:tcW w:w="1299"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675" w:type="dxa"/>
            <w:tcBorders/>
            <w:shd w:fill="FFFFFF" w:val="clear"/>
            <w:vAlign w:val="center"/>
          </w:tcPr>
          <w:p>
            <w:pPr>
              <w:pStyle w:val="TableContents"/>
              <w:bidi w:val="0"/>
              <w:spacing w:before="0" w:after="283"/>
              <w:jc w:val="righ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Wells Fargo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Orangetown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4.48%</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10/01/24</w:t>
            </w:r>
          </w:p>
        </w:tc>
        <w:tc>
          <w:tcPr>
            <w:tcW w:w="166"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5,915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6,005</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Security Life of Denver Insurance Co.</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Cos Cob Commons &amp; Station Centre @ Old Greenwich</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4.07%</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11/01/24</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19,452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19,912</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McLean Plaza</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3.71%</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11/20/24</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KeyBank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High Ridge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03/01/25</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8,881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9,047</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PNC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Circle Marina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2.54%</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03/17/25</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24,000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24,000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Prudential Insurance Company of America</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Country Walk Plaza</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3.91%</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11/05/25</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Metropolitan Life Insurance Company</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Westbury Plaza</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3.76%</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02/01/26</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88,000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88,000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M&amp;T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Cos Cob Plaza &amp; Greenwich Commons</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3.48%</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10/01/26</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8,500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8,768</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PNC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Longmeadow Shops</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5.56%</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12/01/26</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Santander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Baederwood Shoppes</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3.28%</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12/19/26</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24,365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24,365</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TD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Black Rock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6.03%</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12/31/26</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15,199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15,342</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Meadtown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9,145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9,364</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Midland Park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17,307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17,722</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Valley Ridge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16,382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16,775</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Cedar Hill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6,871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7,035</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Willa Springs</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16,700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16,700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Alden Bridge</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26,000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26,000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Bethany Park Place</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10,200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10,200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Blossom Valley</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22,300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22,300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Dunwoody Hall</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13,800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13,800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Hasley Canyon Village</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PNC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Fellsway Plaza</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4.06%</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06/02/27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34,443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34,873</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M&amp;T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Ridgeway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3.40%</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07/01/27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42,247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43,150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New York Life Insurance</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Oak Shade Town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05/10/28</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3,466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4,085</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Provident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Washington Commons</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4.83%</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08/15/28</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8,564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8,764</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TD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Brick Walk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6.71%</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09/19/28</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30,678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30,919</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New York Life Insurance</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Von's Circle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5.20%</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10/10/28</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3,678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4,273</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American United Life Insurance Company</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Ferry Plaza</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4.63%</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04/01/29</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8,554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8,796</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M&amp;T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Goodwives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4.82%</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04/03/29</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22,729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23,078</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Lakeview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3.63%</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06/25/29</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10,747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10,944</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Prudential Insurance Company of America</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Shops at Erwin Mill</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5.71%</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09/05/29</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12,000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 Co.</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5.05%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03/29/30</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1,513</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 Co.</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4.55%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03/29/30</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1,650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Security Life of Denver Insurance Co.</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Newfield Green</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3.89%</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08/01/31</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18,874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19,278</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American United Life Insurance Company</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Village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3.50%</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11/01/31</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19,817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20,144</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RGA Reinsurance Company</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Boonton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01/01/32</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10,416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10,585</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Dock-Dockside &amp; The Dock-Railside</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01/31/32</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33,100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33,667</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City of Rollingwood</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Shops at Mira Vista</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8.00%</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03/01/32</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166</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First County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Old Greenwich CVS</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5.63%</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06/01/37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891</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Prudential Insurance Company of America</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4S Commons Town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3.50%</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06/05/24</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79,033</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Ellis Partners</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Pruneyard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06/30/24</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Arcadian Shopping Center</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4.00%</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08/15/24</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13,033</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Great-West Life &amp; Annuity Insurance Co</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Shops at Erwin Mill</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3.78%</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09/01/24</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New York Life Insurance</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Copps Hill Plaza</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6.06%</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01/01/29</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7,706</w:t>
            </w:r>
          </w:p>
        </w:tc>
        <w:tc>
          <w:tcPr>
            <w:tcW w:w="675" w:type="dxa"/>
            <w:tcBorders/>
            <w:shd w:fill="FFFFFF" w:val="clear"/>
            <w:vAlign w:val="center"/>
          </w:tcPr>
          <w:p>
            <w:pPr>
              <w:pStyle w:val="TableContents"/>
              <w:bidi w:val="0"/>
              <w:spacing w:before="0" w:after="283"/>
              <w:ind w:left="0" w:right="0" w:firstLine="200"/>
              <w:jc w:val="left"/>
              <w:rPr/>
            </w:pPr>
            <w:r>
              <w:rPr/>
              <w:t> </w:t>
            </w:r>
          </w:p>
        </w:tc>
      </w:tr>
      <w:tr>
        <w:trPr/>
        <w:tc>
          <w:tcPr>
            <w:tcW w:w="6256" w:type="dxa"/>
            <w:gridSpan w:val="3"/>
            <w:tcBorders/>
            <w:shd w:fill="FFFFFF" w:val="clear"/>
            <w:vAlign w:val="center"/>
          </w:tcPr>
          <w:p>
            <w:pPr>
              <w:pStyle w:val="TableContents"/>
              <w:bidi w:val="0"/>
              <w:spacing w:before="0" w:after="283"/>
              <w:ind w:left="0" w:right="0" w:firstLine="200"/>
              <w:jc w:val="left"/>
              <w:rPr>
                <w:rFonts w:ascii="Tahoma;sans-serif" w:hAnsi="Tahoma;sans-serif"/>
                <w:color w:val="000000"/>
                <w:sz w:val="12"/>
              </w:rPr>
            </w:pPr>
            <w:r>
              <w:rPr>
                <w:rFonts w:ascii="Tahoma;sans-serif" w:hAnsi="Tahoma;sans-serif"/>
                <w:color w:val="000000"/>
                <w:sz w:val="12"/>
              </w:rPr>
              <w:t>Unamortized premiums on assumed debt of acquired properties, net of issuance costs</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(7,893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(8,605</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rFonts w:ascii="Tahoma;sans-serif" w:hAnsi="Tahoma;sans-serif"/>
                <w:color w:val="000000"/>
                <w:sz w:val="12"/>
              </w:rPr>
            </w:pPr>
            <w:r>
              <w:rPr>
                <w:rFonts w:ascii="Tahoma;sans-serif" w:hAnsi="Tahoma;sans-serif"/>
                <w:color w:val="000000"/>
                <w:sz w:val="12"/>
              </w:rPr>
              <w:t>)</w:t>
            </w:r>
          </w:p>
        </w:tc>
      </w:tr>
      <w:tr>
        <w:trPr/>
        <w:tc>
          <w:tcPr>
            <w:tcW w:w="4957" w:type="dxa"/>
            <w:gridSpan w:val="2"/>
            <w:tcBorders/>
            <w:shd w:fill="FFFFFF" w:val="clear"/>
            <w:vAlign w:val="center"/>
          </w:tcPr>
          <w:p>
            <w:pPr>
              <w:pStyle w:val="TableContents"/>
              <w:bidi w:val="0"/>
              <w:spacing w:before="0" w:after="283"/>
              <w:ind w:left="0" w:right="0" w:firstLine="240"/>
              <w:jc w:val="left"/>
              <w:rPr>
                <w:color w:val="000000"/>
              </w:rPr>
            </w:pPr>
            <w:r>
              <w:rPr>
                <w:color w:val="000000"/>
              </w:rPr>
              <w:t>          </w:t>
            </w:r>
            <w:r>
              <w:rPr>
                <w:rFonts w:ascii="Arial" w:hAnsi="Arial"/>
                <w:b/>
                <w:color w:val="000000"/>
                <w:sz w:val="12"/>
              </w:rPr>
              <w:t>Total Fixed Rate Mortgage Loans</w:t>
            </w:r>
          </w:p>
        </w:tc>
        <w:tc>
          <w:tcPr>
            <w:tcW w:w="12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4.03%</w:t>
            </w:r>
          </w:p>
        </w:tc>
        <w:tc>
          <w:tcPr>
            <w:tcW w:w="2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4.35%</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638,612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745,478</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sz w:val="4"/>
                <w:szCs w:val="4"/>
              </w:rPr>
            </w:pPr>
            <w:r>
              <w:rPr>
                <w:sz w:val="4"/>
                <w:szCs w:val="4"/>
              </w:rPr>
            </w:r>
          </w:p>
        </w:tc>
        <w:tc>
          <w:tcPr>
            <w:tcW w:w="2545"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675" w:type="dxa"/>
            <w:tcBorders/>
            <w:shd w:fill="FFFFFF" w:val="clear"/>
            <w:vAlign w:val="center"/>
          </w:tcPr>
          <w:p>
            <w:pPr>
              <w:pStyle w:val="TableContents"/>
              <w:bidi w:val="0"/>
              <w:spacing w:before="0" w:after="283"/>
              <w:jc w:val="righ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Unsecured Debt</w:t>
            </w:r>
          </w:p>
        </w:tc>
        <w:tc>
          <w:tcPr>
            <w:tcW w:w="2545"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675" w:type="dxa"/>
            <w:tcBorders/>
            <w:shd w:fill="FFFFFF" w:val="clear"/>
            <w:vAlign w:val="center"/>
          </w:tcPr>
          <w:p>
            <w:pPr>
              <w:pStyle w:val="TableContents"/>
              <w:bidi w:val="0"/>
              <w:spacing w:before="0" w:after="283"/>
              <w:jc w:val="righ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(8/17/15)</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3.90%</w:t>
            </w:r>
          </w:p>
        </w:tc>
        <w:tc>
          <w:tcPr>
            <w:tcW w:w="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11/01/25</w:t>
            </w:r>
          </w:p>
        </w:tc>
        <w:tc>
          <w:tcPr>
            <w:tcW w:w="166"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250,000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250,000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Placement (5/11/16)</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05/11/26</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Placement (8/11/16)</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3.91%</w:t>
            </w:r>
          </w:p>
        </w:tc>
        <w:tc>
          <w:tcPr>
            <w:tcW w:w="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08/11/26</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(1/17/17)</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3.60%</w:t>
            </w:r>
          </w:p>
        </w:tc>
        <w:tc>
          <w:tcPr>
            <w:tcW w:w="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02/01/27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525,000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525,000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(3/9/18)</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4.13%</w:t>
            </w:r>
          </w:p>
        </w:tc>
        <w:tc>
          <w:tcPr>
            <w:tcW w:w="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03/15/28</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(8/13/19)</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2.95%</w:t>
            </w:r>
          </w:p>
        </w:tc>
        <w:tc>
          <w:tcPr>
            <w:tcW w:w="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09/15/29</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(5/13/20)</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3.70%</w:t>
            </w:r>
          </w:p>
        </w:tc>
        <w:tc>
          <w:tcPr>
            <w:tcW w:w="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06/15/30</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600,000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600,000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(1/18/24)</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5.25%</w:t>
            </w:r>
          </w:p>
        </w:tc>
        <w:tc>
          <w:tcPr>
            <w:tcW w:w="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01/15/34</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(8/15/24)</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5.10%</w:t>
            </w:r>
          </w:p>
        </w:tc>
        <w:tc>
          <w:tcPr>
            <w:tcW w:w="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01/15/35</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325,000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(1/17/17)</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4.40%</w:t>
            </w:r>
          </w:p>
        </w:tc>
        <w:tc>
          <w:tcPr>
            <w:tcW w:w="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02/01/47</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(3/6/19)</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03/15/49</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(5/16/14)</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3.75%</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06/15/24</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250,000</w:t>
            </w:r>
          </w:p>
        </w:tc>
        <w:tc>
          <w:tcPr>
            <w:tcW w:w="675" w:type="dxa"/>
            <w:tcBorders/>
            <w:shd w:fill="FFFF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Revolving Line of Credit</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Variable-rate unsecured</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Adjusted SOFR + 0.715%</w:t>
            </w:r>
          </w:p>
        </w:tc>
        <w:tc>
          <w:tcPr>
            <w:tcW w:w="204" w:type="dxa"/>
            <w:tcBorders/>
            <w:shd w:fill="FFFFFF" w:val="clear"/>
            <w:vAlign w:val="center"/>
          </w:tcPr>
          <w:p>
            <w:pPr>
              <w:pStyle w:val="TableContents"/>
              <w:bidi w:val="0"/>
              <w:spacing w:before="0" w:after="283"/>
              <w:jc w:val="center"/>
              <w:rPr>
                <w:rFonts w:ascii="Tahoma;sans-serif" w:hAnsi="Tahoma;sans-serif"/>
                <w:b/>
                <w:color w:val="000000"/>
                <w:sz w:val="8"/>
              </w:rPr>
            </w:pPr>
            <w:r>
              <w:rPr>
                <w:rFonts w:ascii="Tahoma;sans-serif" w:hAnsi="Tahoma;sans-serif"/>
                <w:b/>
                <w:color w:val="000000"/>
                <w:sz w:val="8"/>
              </w:rPr>
              <w:t>(2)</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03/23/28</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152,000</w:t>
            </w:r>
          </w:p>
        </w:tc>
        <w:tc>
          <w:tcPr>
            <w:tcW w:w="675" w:type="dxa"/>
            <w:tcBorders/>
            <w:shd w:fill="FFFFFF" w:val="clear"/>
            <w:vAlign w:val="center"/>
          </w:tcPr>
          <w:p>
            <w:pPr>
              <w:pStyle w:val="TableContents"/>
              <w:bidi w:val="0"/>
              <w:spacing w:before="0" w:after="283"/>
              <w:ind w:left="0" w:right="0" w:firstLine="200"/>
              <w:jc w:val="left"/>
              <w:rPr/>
            </w:pPr>
            <w:r>
              <w:rPr/>
              <w:t> </w:t>
            </w:r>
          </w:p>
        </w:tc>
      </w:tr>
      <w:tr>
        <w:trPr/>
        <w:tc>
          <w:tcPr>
            <w:tcW w:w="6256" w:type="dxa"/>
            <w:gridSpan w:val="3"/>
            <w:tcBorders/>
            <w:shd w:fill="FFFFFF" w:val="clear"/>
            <w:vAlign w:val="center"/>
          </w:tcPr>
          <w:p>
            <w:pPr>
              <w:pStyle w:val="TableContents"/>
              <w:bidi w:val="0"/>
              <w:spacing w:before="0" w:after="283"/>
              <w:ind w:left="0" w:right="0" w:firstLine="200"/>
              <w:jc w:val="left"/>
              <w:rPr>
                <w:rFonts w:ascii="Tahoma;sans-serif" w:hAnsi="Tahoma;sans-serif"/>
                <w:color w:val="000000"/>
                <w:sz w:val="12"/>
              </w:rPr>
            </w:pPr>
            <w:r>
              <w:rPr>
                <w:rFonts w:ascii="Tahoma;sans-serif" w:hAnsi="Tahoma;sans-serif"/>
                <w:color w:val="000000"/>
                <w:sz w:val="12"/>
              </w:rPr>
              <w:t>Unamortized debt discount and issuance costs</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(27,341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(22,245</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rFonts w:ascii="Tahoma;sans-serif" w:hAnsi="Tahoma;sans-serif"/>
                <w:color w:val="000000"/>
                <w:sz w:val="12"/>
              </w:rPr>
            </w:pPr>
            <w:r>
              <w:rPr>
                <w:rFonts w:ascii="Tahoma;sans-serif" w:hAnsi="Tahoma;sans-serif"/>
                <w:color w:val="000000"/>
                <w:sz w:val="12"/>
              </w:rPr>
              <w:t>)</w:t>
            </w:r>
          </w:p>
        </w:tc>
      </w:tr>
      <w:tr>
        <w:trPr/>
        <w:tc>
          <w:tcPr>
            <w:tcW w:w="4957" w:type="dxa"/>
            <w:gridSpan w:val="2"/>
            <w:tcBorders/>
            <w:shd w:fill="FFFFFF" w:val="clear"/>
            <w:vAlign w:val="center"/>
          </w:tcPr>
          <w:p>
            <w:pPr>
              <w:pStyle w:val="TableContents"/>
              <w:bidi w:val="0"/>
              <w:spacing w:before="0" w:after="283"/>
              <w:ind w:left="0" w:right="0" w:firstLine="240"/>
              <w:jc w:val="left"/>
              <w:rPr>
                <w:color w:val="000000"/>
              </w:rPr>
            </w:pPr>
            <w:r>
              <w:rPr>
                <w:color w:val="000000"/>
              </w:rPr>
              <w:t>          </w:t>
            </w:r>
            <w:r>
              <w:rPr>
                <w:rFonts w:ascii="Tahoma;sans-serif" w:hAnsi="Tahoma;sans-serif"/>
                <w:b/>
                <w:color w:val="000000"/>
                <w:sz w:val="12"/>
              </w:rPr>
              <w:t>Total Unsecured Debt, Net of Discounts</w:t>
            </w:r>
          </w:p>
        </w:tc>
        <w:tc>
          <w:tcPr>
            <w:tcW w:w="12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4.10%</w:t>
            </w:r>
          </w:p>
        </w:tc>
        <w:tc>
          <w:tcPr>
            <w:tcW w:w="2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4.25%</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3,752,659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3,404,755</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sz w:val="4"/>
                <w:szCs w:val="4"/>
              </w:rPr>
            </w:pPr>
            <w:r>
              <w:rPr>
                <w:sz w:val="4"/>
                <w:szCs w:val="4"/>
              </w:rPr>
            </w:r>
          </w:p>
        </w:tc>
        <w:tc>
          <w:tcPr>
            <w:tcW w:w="2545"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675" w:type="dxa"/>
            <w:tcBorders/>
            <w:shd w:fill="FFFFFF" w:val="clear"/>
            <w:vAlign w:val="center"/>
          </w:tcPr>
          <w:p>
            <w:pPr>
              <w:pStyle w:val="TableContents"/>
              <w:bidi w:val="0"/>
              <w:spacing w:before="0" w:after="283"/>
              <w:jc w:val="righ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Variable Rate Mortgage Loans</w:t>
            </w:r>
          </w:p>
        </w:tc>
        <w:tc>
          <w:tcPr>
            <w:tcW w:w="2545"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675" w:type="dxa"/>
            <w:tcBorders/>
            <w:shd w:fill="FFFFFF" w:val="clear"/>
            <w:vAlign w:val="center"/>
          </w:tcPr>
          <w:p>
            <w:pPr>
              <w:pStyle w:val="TableContents"/>
              <w:bidi w:val="0"/>
              <w:spacing w:before="0" w:after="283"/>
              <w:jc w:val="right"/>
              <w:rPr/>
            </w:pPr>
            <w:r>
              <w:rPr/>
              <w:t> </w:t>
            </w:r>
          </w:p>
        </w:tc>
      </w:tr>
      <w:tr>
        <w:trPr/>
        <w:tc>
          <w:tcPr>
            <w:tcW w:w="2412"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PNC Bank</w:t>
            </w:r>
          </w:p>
        </w:tc>
        <w:tc>
          <w:tcPr>
            <w:tcW w:w="2545"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Market at Springwoods Village</w:t>
            </w:r>
          </w:p>
        </w:tc>
        <w:tc>
          <w:tcPr>
            <w:tcW w:w="1299"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SOFR + 1.40%</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03/28/25</w:t>
            </w:r>
          </w:p>
        </w:tc>
        <w:tc>
          <w:tcPr>
            <w:tcW w:w="166"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3,750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3,750</w:t>
            </w:r>
          </w:p>
        </w:tc>
        <w:tc>
          <w:tcPr>
            <w:tcW w:w="675" w:type="dxa"/>
            <w:tcBorders/>
            <w:shd w:fill="FFFFFF" w:val="clear"/>
            <w:vAlign w:val="center"/>
          </w:tcPr>
          <w:p>
            <w:pPr>
              <w:pStyle w:val="TableContents"/>
              <w:bidi w:val="0"/>
              <w:spacing w:before="0" w:after="283"/>
              <w:ind w:left="0" w:right="0" w:firstLine="200"/>
              <w:jc w:val="left"/>
              <w:rPr/>
            </w:pPr>
            <w:r>
              <w:rPr/>
              <w:t> </w:t>
            </w:r>
          </w:p>
        </w:tc>
      </w:tr>
      <w:tr>
        <w:trPr/>
        <w:tc>
          <w:tcPr>
            <w:tcW w:w="6256" w:type="dxa"/>
            <w:gridSpan w:val="3"/>
            <w:tcBorders/>
            <w:shd w:fill="FFFFFF" w:val="clear"/>
            <w:vAlign w:val="center"/>
          </w:tcPr>
          <w:p>
            <w:pPr>
              <w:pStyle w:val="TableContents"/>
              <w:bidi w:val="0"/>
              <w:spacing w:before="0" w:after="283"/>
              <w:ind w:left="0" w:right="0" w:firstLine="200"/>
              <w:jc w:val="left"/>
              <w:rPr>
                <w:rFonts w:ascii="Tahoma;sans-serif" w:hAnsi="Tahoma;sans-serif"/>
                <w:color w:val="000000"/>
                <w:sz w:val="12"/>
              </w:rPr>
            </w:pPr>
            <w:r>
              <w:rPr>
                <w:rFonts w:ascii="Tahoma;sans-serif" w:hAnsi="Tahoma;sans-serif"/>
                <w:color w:val="000000"/>
                <w:sz w:val="12"/>
              </w:rPr>
              <w:t>Unamortized debt discount and issuance costs</w:t>
            </w:r>
          </w:p>
        </w:tc>
        <w:tc>
          <w:tcPr>
            <w:tcW w:w="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(34</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rFonts w:ascii="Tahoma;sans-serif" w:hAnsi="Tahoma;sans-serif"/>
                <w:color w:val="000000"/>
                <w:sz w:val="12"/>
              </w:rPr>
            </w:pPr>
            <w:r>
              <w:rPr>
                <w:rFonts w:ascii="Tahoma;sans-serif" w:hAnsi="Tahoma;sans-serif"/>
                <w:color w:val="000000"/>
                <w:sz w:val="12"/>
              </w:rPr>
              <w:t>)</w:t>
            </w:r>
          </w:p>
        </w:tc>
      </w:tr>
      <w:tr>
        <w:trPr/>
        <w:tc>
          <w:tcPr>
            <w:tcW w:w="4957" w:type="dxa"/>
            <w:gridSpan w:val="2"/>
            <w:tcBorders/>
            <w:shd w:fill="FFFFFF" w:val="clear"/>
            <w:vAlign w:val="center"/>
          </w:tcPr>
          <w:p>
            <w:pPr>
              <w:pStyle w:val="TableContents"/>
              <w:bidi w:val="0"/>
              <w:spacing w:before="0" w:after="283"/>
              <w:ind w:left="0" w:right="0" w:firstLine="240"/>
              <w:jc w:val="left"/>
              <w:rPr>
                <w:color w:val="000000"/>
              </w:rPr>
            </w:pPr>
            <w:r>
              <w:rPr>
                <w:color w:val="000000"/>
              </w:rPr>
              <w:t>          </w:t>
            </w:r>
            <w:r>
              <w:rPr>
                <w:rFonts w:ascii="Tahoma;sans-serif" w:hAnsi="Tahoma;sans-serif"/>
                <w:b/>
                <w:color w:val="000000"/>
                <w:sz w:val="12"/>
              </w:rPr>
              <w:t>Total Variable Rate Mortgage Loans</w:t>
            </w:r>
          </w:p>
        </w:tc>
        <w:tc>
          <w:tcPr>
            <w:tcW w:w="12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6.72%</w:t>
            </w:r>
          </w:p>
        </w:tc>
        <w:tc>
          <w:tcPr>
            <w:tcW w:w="2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7.45%</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3,736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3,716</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2412"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2545" w:type="dxa"/>
            <w:tcBorders/>
            <w:shd w:fill="FFFFFF" w:val="cle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right"/>
              <w:rPr/>
            </w:pPr>
            <w:r>
              <w:rPr/>
              <w:t> </w:t>
            </w:r>
          </w:p>
        </w:tc>
      </w:tr>
      <w:tr>
        <w:trPr/>
        <w:tc>
          <w:tcPr>
            <w:tcW w:w="2412" w:type="dxa"/>
            <w:tcBorders/>
            <w:shd w:fill="FFFFFF" w:val="clear"/>
            <w:vAlign w:val="center"/>
          </w:tcPr>
          <w:p>
            <w:pPr>
              <w:pStyle w:val="TableContents"/>
              <w:bidi w:val="0"/>
              <w:spacing w:before="0" w:after="283"/>
              <w:ind w:left="0" w:right="0" w:firstLine="480"/>
              <w:jc w:val="left"/>
              <w:rPr>
                <w:color w:val="000000"/>
              </w:rPr>
            </w:pPr>
            <w:r>
              <w:rPr>
                <w:color w:val="000000"/>
              </w:rPr>
              <w:t>               </w:t>
            </w:r>
            <w:r>
              <w:rPr>
                <w:rFonts w:ascii="Tahoma;sans-serif" w:hAnsi="Tahoma;sans-serif"/>
                <w:b/>
                <w:color w:val="000000"/>
                <w:sz w:val="12"/>
              </w:rPr>
              <w:t>Total</w:t>
            </w:r>
          </w:p>
        </w:tc>
        <w:tc>
          <w:tcPr>
            <w:tcW w:w="2545" w:type="dxa"/>
            <w:tcBorders/>
            <w:shd w:fill="FFFFFF" w:val="cle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4.39%</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4,395,007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4,153,949</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ahoma" w:hAnsi="Tahoma"/>
          <w:color w:val="000000"/>
          <w:sz w:val="14"/>
        </w:rPr>
      </w:pPr>
      <w:r>
        <w:rPr>
          <w:rFonts w:ascii="Tahoma" w:hAnsi="Tahoma"/>
          <w:color w:val="000000"/>
          <w:sz w:val="14"/>
        </w:rPr>
        <w:t>(1)</w:t>
      </w:r>
    </w:p>
    <w:p>
      <w:pPr>
        <w:pStyle w:val="TextBody"/>
        <w:bidi w:val="0"/>
        <w:spacing w:before="180" w:after="283"/>
        <w:jc w:val="left"/>
        <w:rPr>
          <w:rFonts w:ascii="Tahoma;sans-serif" w:hAnsi="Tahoma;sans-serif"/>
          <w:color w:val="000000"/>
          <w:sz w:val="14"/>
        </w:rPr>
      </w:pPr>
      <w:r>
        <w:rPr>
          <w:rFonts w:ascii="Tahoma;sans-serif" w:hAnsi="Tahoma;sans-serif"/>
          <w:color w:val="000000"/>
          <w:sz w:val="14"/>
        </w:rPr>
        <w:t>Effective interest rates are calculated in accordance with US GAAP, as of the quarter end, and include the impact of debt premium/(discount) amortization, issuance cost amortization, interest rate swaps, and facility and unused fees.</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The interest rate is SOFR plus a 0.10% market adjustment ("Adjusted SOFR") plus our applicable margin of 0.715%. Rate applies to drawn balance only. Additional annual facility fee of 0.125% applies to entire $1.5 billion line of credit. Expiration is subject to two additional six-month periods at the Company’s option.</w:t>
      </w:r>
    </w:p>
    <w:p>
      <w:pPr>
        <w:pStyle w:val="TextBody"/>
        <w:bidi w:val="0"/>
        <w:jc w:val="right"/>
        <w:rPr/>
      </w:pPr>
      <w:r>
        <w:rPr/>
        <w:drawing>
          <wp:inline distT="0" distB="0" distL="0" distR="0">
            <wp:extent cx="476250" cy="2571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12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1" w:name="covenants"/>
      <w:bookmarkEnd w:id="21"/>
      <w:r>
        <w:rPr>
          <w:rFonts w:ascii="Tahoma;sans-serif" w:hAnsi="Tahoma;sans-serif"/>
          <w:b/>
          <w:color w:val="000000"/>
          <w:sz w:val="20"/>
        </w:rPr>
        <w:t>Summary of Unsecured Debt Covenants and Leverage Ratios</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5715" w:type="dxa"/>
        <w:jc w:val="left"/>
        <w:tblInd w:w="0" w:type="dxa"/>
        <w:tblLayout w:type="fixed"/>
        <w:tblCellMar>
          <w:top w:w="28" w:type="dxa"/>
          <w:left w:w="28" w:type="dxa"/>
          <w:bottom w:w="28" w:type="dxa"/>
          <w:right w:w="28" w:type="dxa"/>
        </w:tblCellMar>
      </w:tblPr>
      <w:tblGrid>
        <w:gridCol w:w="2281"/>
        <w:gridCol w:w="146"/>
        <w:gridCol w:w="751"/>
        <w:gridCol w:w="146"/>
        <w:gridCol w:w="646"/>
        <w:gridCol w:w="146"/>
        <w:gridCol w:w="586"/>
        <w:gridCol w:w="146"/>
        <w:gridCol w:w="67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Outstanding Unsecured Public Debt:</w:t>
            </w:r>
          </w:p>
        </w:tc>
        <w:tc>
          <w:tcPr>
            <w:tcW w:w="146" w:type="dxa"/>
            <w:tcBorders/>
            <w:shd w:fill="FFFFFF" w:val="cle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Origination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Balance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08/17/15</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11/01/25</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3.900%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01/17/17</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02/01/27</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3.600%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$525,000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03/09/18</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03/15/28</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4.125%</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$300,000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08/20/19</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09/15/29</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2.950%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$425,000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05/13/20</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06/15/30</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3.700%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$600,000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01/18/24</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01/15/34</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5.250%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$400,000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08/15/24</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01/15/35</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5.100%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$325,000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01/17/17</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02/01/47</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4.400%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$425,000</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03/06/19</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03/15/49</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4.650%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$300,000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tbl>
      <w:tblPr>
        <w:tblW w:w="9347" w:type="dxa"/>
        <w:jc w:val="left"/>
        <w:tblInd w:w="0" w:type="dxa"/>
        <w:tblLayout w:type="fixed"/>
        <w:tblCellMar>
          <w:top w:w="28" w:type="dxa"/>
          <w:left w:w="28" w:type="dxa"/>
          <w:bottom w:w="28" w:type="dxa"/>
          <w:right w:w="28" w:type="dxa"/>
        </w:tblCellMar>
      </w:tblPr>
      <w:tblGrid>
        <w:gridCol w:w="4246"/>
        <w:gridCol w:w="646"/>
        <w:gridCol w:w="146"/>
        <w:gridCol w:w="721"/>
        <w:gridCol w:w="146"/>
        <w:gridCol w:w="721"/>
        <w:gridCol w:w="146"/>
        <w:gridCol w:w="721"/>
        <w:gridCol w:w="146"/>
        <w:gridCol w:w="796"/>
        <w:gridCol w:w="146"/>
        <w:gridCol w:w="766"/>
      </w:tblGrid>
      <w:tr>
        <w:trPr/>
        <w:tc>
          <w:tcPr>
            <w:tcW w:w="42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Unsecured Public Debt Covenants: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6/30/2024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12/31/2023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9/30/2023</w:t>
            </w:r>
          </w:p>
        </w:tc>
      </w:tr>
      <w:tr>
        <w:trPr/>
        <w:tc>
          <w:tcPr>
            <w:tcW w:w="42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rPr>
              <w:t>Fair Market Value Calculation Method Covenants</w:t>
            </w:r>
            <w:r>
              <w:rPr>
                <w:rFonts w:ascii="Tahoma;sans-serif" w:hAnsi="Tahoma;sans-serif"/>
                <w:color w:val="000000"/>
                <w:sz w:val="9"/>
              </w:rPr>
              <w:t>(1)(2)</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Consolidated Debt to Total Consolidated Assets</w:t>
            </w:r>
          </w:p>
        </w:tc>
        <w:tc>
          <w:tcPr>
            <w:tcW w:w="646" w:type="dxa"/>
            <w:tcBorders/>
            <w:shd w:fill="FFFFFF" w:val="clear"/>
            <w:vAlign w:val="center"/>
          </w:tcPr>
          <w:p>
            <w:pPr>
              <w:pStyle w:val="TableContents"/>
              <w:bidi w:val="0"/>
              <w:spacing w:before="0" w:after="283"/>
              <w:jc w:val="center"/>
              <w:rPr>
                <w:color w:val="000000"/>
              </w:rPr>
            </w:pPr>
            <w:r>
              <w:rPr>
                <w:color w:val="000000"/>
              </w:rPr>
              <w:t xml:space="preserve">≤ </w:t>
            </w:r>
            <w:r>
              <w:rPr>
                <w:rFonts w:ascii="Tahoma;sans-serif" w:hAnsi="Tahoma;sans-serif"/>
                <w:color w:val="000000"/>
                <w:sz w:val="14"/>
              </w:rPr>
              <w:t>65%</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Secured Consolidated Debt to Total Consolidated Assets</w:t>
            </w:r>
          </w:p>
        </w:tc>
        <w:tc>
          <w:tcPr>
            <w:tcW w:w="646" w:type="dxa"/>
            <w:tcBorders/>
            <w:shd w:fill="FFFFFF" w:val="clear"/>
            <w:vAlign w:val="center"/>
          </w:tcPr>
          <w:p>
            <w:pPr>
              <w:pStyle w:val="TableContents"/>
              <w:bidi w:val="0"/>
              <w:spacing w:before="0" w:after="283"/>
              <w:jc w:val="center"/>
              <w:rPr>
                <w:color w:val="000000"/>
              </w:rPr>
            </w:pPr>
            <w:r>
              <w:rPr>
                <w:color w:val="000000"/>
              </w:rPr>
              <w:t xml:space="preserve">≤ </w:t>
            </w:r>
            <w:r>
              <w:rPr>
                <w:rFonts w:ascii="Tahoma;sans-serif" w:hAnsi="Tahoma;sans-serif"/>
                <w:color w:val="000000"/>
                <w:sz w:val="14"/>
              </w:rPr>
              <w:t>40%</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Consolidated Income for Debt Service to Consolidated Debt Service</w:t>
            </w:r>
          </w:p>
        </w:tc>
        <w:tc>
          <w:tcPr>
            <w:tcW w:w="646" w:type="dxa"/>
            <w:tcBorders/>
            <w:shd w:fill="FFFFFF" w:val="clear"/>
            <w:vAlign w:val="center"/>
          </w:tcPr>
          <w:p>
            <w:pPr>
              <w:pStyle w:val="TableContents"/>
              <w:bidi w:val="0"/>
              <w:spacing w:before="0" w:after="283"/>
              <w:jc w:val="center"/>
              <w:rPr>
                <w:color w:val="000000"/>
              </w:rPr>
            </w:pPr>
            <w:r>
              <w:rPr>
                <w:color w:val="000000"/>
              </w:rPr>
              <w:t xml:space="preserve">≥ </w:t>
            </w:r>
            <w:r>
              <w:rPr>
                <w:rFonts w:ascii="Tahoma;sans-serif" w:hAnsi="Tahoma;sans-serif"/>
                <w:color w:val="000000"/>
                <w:sz w:val="14"/>
              </w:rPr>
              <w:t>1.5x</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5.6x</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5.9x</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Unencumbered Consolidated Assets to Unsecured Consolidated Debt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&gt;150%</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397%</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394%</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398%</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420%</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419%</w:t>
            </w:r>
          </w:p>
        </w:tc>
      </w:tr>
      <w:tr>
        <w:trPr/>
        <w:tc>
          <w:tcPr>
            <w:tcW w:w="424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rPr>
              <w:t>Ratios:</w:t>
            </w:r>
            <w:r>
              <w:rPr>
                <w:rFonts w:ascii="Tahoma;sans-serif" w:hAnsi="Tahoma;sans-serif"/>
                <w:b/>
                <w:color w:val="000000"/>
                <w:sz w:val="9"/>
              </w:rPr>
              <w:t>(3)</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6/30/2024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12/31/2023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9/30/2023</w:t>
            </w:r>
          </w:p>
        </w:tc>
      </w:tr>
      <w:tr>
        <w:trPr/>
        <w:tc>
          <w:tcPr>
            <w:tcW w:w="4246" w:type="dxa"/>
            <w:tcBorders/>
            <w:shd w:fill="FFFFFF" w:val="cle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Consolidated Only</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market capitalization</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26.7%</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26.7%</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26.7%</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real estate assets, before depreciation</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30.5%</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30.8%</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30.2%</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30.2%</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assets, before depreciation</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28.1%</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28.3%</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27.6%</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27.6%</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27.6%</w:t>
            </w:r>
          </w:p>
        </w:tc>
      </w:tr>
      <w:tr>
        <w:trPr/>
        <w:tc>
          <w:tcPr>
            <w:tcW w:w="424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preferreds to Operating EBITDAre - TTM</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4.9x</w:t>
            </w:r>
          </w:p>
        </w:tc>
      </w:tr>
      <w:tr>
        <w:trPr/>
        <w:tc>
          <w:tcPr>
            <w:tcW w:w="4246" w:type="dxa"/>
            <w:tcBorders/>
            <w:shd w:fill="FFFFFF"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Net debt and preferreds to Operating EBITDAre - TTM, adjusted</w:t>
            </w:r>
          </w:p>
        </w:tc>
        <w:tc>
          <w:tcPr>
            <w:tcW w:w="646"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4.8x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4.7x</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4.6x</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4.6x</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Fixed charge coverage</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5.0x</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5.1x</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5.1x</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Interest coverage</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5.5x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5.6x</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5.7x</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5.7x</w:t>
            </w:r>
          </w:p>
        </w:tc>
      </w:tr>
      <w:tr>
        <w:trPr/>
        <w:tc>
          <w:tcPr>
            <w:tcW w:w="424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Unsecured assets to total real estate assets</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87.9%</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88.1%</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87.6%</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87.1%</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87.1%</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Unsecured NOI to total NOI - TTM</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88.7%</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89.3%</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89.5%</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90.7%</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90.7%</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Unencumbered assets to unsecured debt</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321%</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320%</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319%</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360%</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360%</w:t>
            </w:r>
          </w:p>
        </w:tc>
      </w:tr>
      <w:tr>
        <w:trPr/>
        <w:tc>
          <w:tcPr>
            <w:tcW w:w="424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Total Pro-Rata Share</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market capitalization</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29.5%</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29.5%</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29.2%</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29.2%</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real estate assets, before depreciation</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32.3%</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32.4%</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31.9%</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31.9%</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31.9%</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assets, before depreciation</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29.7%</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29.8%</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29.1%</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29.1%</w:t>
            </w:r>
          </w:p>
        </w:tc>
      </w:tr>
      <w:tr>
        <w:trPr/>
        <w:tc>
          <w:tcPr>
            <w:tcW w:w="424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preferreds to Operating EBITDAre - TTM</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5.4x</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5.4x</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5.4x</w:t>
            </w:r>
          </w:p>
        </w:tc>
      </w:tr>
      <w:tr>
        <w:trPr/>
        <w:tc>
          <w:tcPr>
            <w:tcW w:w="4246" w:type="dxa"/>
            <w:tcBorders/>
            <w:shd w:fill="FFFFFF"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Net debt and preferreds to Operating EBITDAre - TTM, adjusted</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5.2x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5.2x</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5.1x</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5.1x</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Fixed charge coverage</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4.5x</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r>
      <w:tr>
        <w:trPr/>
        <w:tc>
          <w:tcPr>
            <w:tcW w:w="424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Interest coverage</w:t>
            </w:r>
          </w:p>
        </w:tc>
        <w:tc>
          <w:tcPr>
            <w:tcW w:w="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5.0x</w:t>
            </w:r>
          </w:p>
        </w:tc>
        <w:tc>
          <w:tcPr>
            <w:tcW w:w="14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5.1x</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5.1x</w:t>
            </w:r>
          </w:p>
        </w:tc>
        <w:tc>
          <w:tcPr>
            <w:tcW w:w="1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5.1x</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For a complete listing of all Debt Covenants related to the Company’s Senior Unsecured Notes, as well as definitions of the above terms, please refer to the Company’s filings with the Securities and Exchange Commission.</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Current period debt covenants are finalized and submitted after the Company’s most recent Form 10-Q or Form 10-K filing.</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 light of the merger with UBP on August 18, 2023, adjusted debt metric calculations include legacy Regency results for the trailing 12 months and the annualized contribution from UBP post merger.</w:t>
      </w:r>
    </w:p>
    <w:p>
      <w:pPr>
        <w:pStyle w:val="TextBody"/>
        <w:bidi w:val="0"/>
        <w:jc w:val="right"/>
        <w:rPr/>
      </w:pPr>
      <w:r>
        <w:rPr/>
        <w:drawing>
          <wp:inline distT="0" distB="0" distL="0" distR="0">
            <wp:extent cx="476250" cy="2571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13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2" w:name="debtjv"/>
      <w:bookmarkEnd w:id="22"/>
      <w:r>
        <w:rPr>
          <w:rFonts w:ascii="Tahoma;sans-serif" w:hAnsi="Tahoma;sans-serif"/>
          <w:b/>
          <w:color w:val="000000"/>
          <w:sz w:val="20"/>
        </w:rPr>
        <w:t>Summary of Unconsolidated Debt</w:t>
      </w:r>
    </w:p>
    <w:p>
      <w:pPr>
        <w:pStyle w:val="TextBody"/>
        <w:bidi w:val="0"/>
        <w:jc w:val="center"/>
        <w:rPr>
          <w:rFonts w:ascii="Tahoma;sans-serif" w:hAnsi="Tahoma;sans-serif"/>
          <w:color w:val="000000"/>
          <w:sz w:val="20"/>
        </w:rPr>
      </w:pPr>
      <w:r>
        <w:rPr>
          <w:rFonts w:ascii="Tahoma;sans-serif" w:hAnsi="Tahoma;sans-serif"/>
          <w:color w:val="000000"/>
          <w:sz w:val="20"/>
        </w:rPr>
        <w:t>September 30, 2024 and December 31, 2023</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5174" w:type="dxa"/>
        <w:jc w:val="left"/>
        <w:tblInd w:w="0" w:type="dxa"/>
        <w:tblLayout w:type="fixed"/>
        <w:tblCellMar>
          <w:top w:w="28" w:type="dxa"/>
          <w:left w:w="28" w:type="dxa"/>
          <w:bottom w:w="28" w:type="dxa"/>
          <w:right w:w="28" w:type="dxa"/>
        </w:tblCellMar>
      </w:tblPr>
      <w:tblGrid>
        <w:gridCol w:w="2341"/>
        <w:gridCol w:w="146"/>
        <w:gridCol w:w="181"/>
        <w:gridCol w:w="721"/>
        <w:gridCol w:w="146"/>
        <w:gridCol w:w="146"/>
        <w:gridCol w:w="181"/>
        <w:gridCol w:w="721"/>
        <w:gridCol w:w="5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Total Debt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12/31/2023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Mortgage loans payable:</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34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Fixed rate secured loans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1,459,447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1,430,030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341"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Variable rate secured loans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27,872</w:t>
            </w:r>
          </w:p>
        </w:tc>
        <w:tc>
          <w:tcPr>
            <w:tcW w:w="591" w:type="dxa"/>
            <w:tcBorders/>
            <w:shd w:fill="FFFF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Unsecured credit facility variable rate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41,800</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341"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4"/>
              </w:rPr>
              <w:t>Total</w:t>
            </w:r>
          </w:p>
        </w:tc>
        <w:tc>
          <w:tcPr>
            <w:tcW w:w="146" w:type="dxa"/>
            <w:tcBorders/>
            <w:shd w:fill="FFFFFF" w:val="cle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1,561,837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1,499,702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20"/>
        <w:gridCol w:w="146"/>
        <w:gridCol w:w="229"/>
        <w:gridCol w:w="669"/>
        <w:gridCol w:w="146"/>
        <w:gridCol w:w="146"/>
        <w:gridCol w:w="165"/>
        <w:gridCol w:w="818"/>
        <w:gridCol w:w="151"/>
        <w:gridCol w:w="146"/>
        <w:gridCol w:w="179"/>
        <w:gridCol w:w="652"/>
        <w:gridCol w:w="146"/>
        <w:gridCol w:w="146"/>
        <w:gridCol w:w="146"/>
        <w:gridCol w:w="721"/>
        <w:gridCol w:w="151"/>
        <w:gridCol w:w="146"/>
        <w:gridCol w:w="1208"/>
        <w:gridCol w:w="146"/>
        <w:gridCol w:w="173"/>
        <w:gridCol w:w="713"/>
        <w:gridCol w:w="151"/>
        <w:gridCol w:w="146"/>
        <w:gridCol w:w="1445"/>
      </w:tblGrid>
      <w:tr>
        <w:trPr/>
        <w:tc>
          <w:tcPr>
            <w:tcW w:w="13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Schedule of Maturities by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Scheduled Principal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Mortgage Loan Maturities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Unsecured 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Average Contractual Interest Rate on 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Regency's Pro Rata Share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Regency's Pro Rata Weighted Average Contractual Interest Rate on Maturities</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2024</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7,008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8,063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3.41%</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3.41%</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2025</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147,512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154,239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49,031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4.04%</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2026</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263,220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313,413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5.54%</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105,320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5.66%</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2027</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32,800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40,376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2.60%</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13,669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2.41%</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2028</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246,605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250,872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4.86%</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92,027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4.96%</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2029</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86,000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88,841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4.72%</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31,217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5.10%</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2030</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179,317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181,423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2.86%</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70,522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2.88%</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2031</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352,240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352,865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3.14%</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137,198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3.13%</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2032</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142,270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142,770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3.08%</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58,369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3.10%</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2033</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0.00%</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w:t>
            </w:r>
          </w:p>
        </w:tc>
      </w:tr>
      <w:tr>
        <w:trPr/>
        <w:tc>
          <w:tcPr>
            <w:tcW w:w="132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&gt;10 Years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37,496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37,706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6.10%</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13,941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6.27%</w:t>
            </w:r>
          </w:p>
        </w:tc>
      </w:tr>
      <w:tr>
        <w:trPr/>
        <w:tc>
          <w:tcPr>
            <w:tcW w:w="1320" w:type="dxa"/>
            <w:tcBorders/>
            <w:shd w:fill="FFFFFF" w:val="cle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 xml:space="preserve">Unamortized debt premium/(discount) and issuance costs </w:t>
            </w:r>
            <w:r>
              <w:rPr>
                <w:rFonts w:ascii="Tahoma;sans-serif" w:hAnsi="Tahoma;sans-serif"/>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(9,137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(9,137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1,485,331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1,561,837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571,821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4.10%</w:t>
            </w:r>
          </w:p>
        </w:tc>
      </w:tr>
    </w:tbl>
    <w:p>
      <w:pPr>
        <w:pStyle w:val="TextBody"/>
        <w:bidi w:val="0"/>
        <w:jc w:val="left"/>
        <w:rPr/>
      </w:pPr>
      <w:r>
        <w:rPr/>
        <w:t> </w:t>
      </w:r>
    </w:p>
    <w:tbl>
      <w:tblPr>
        <w:tblW w:w="5520" w:type="dxa"/>
        <w:jc w:val="left"/>
        <w:tblInd w:w="0" w:type="dxa"/>
        <w:tblLayout w:type="fixed"/>
        <w:tblCellMar>
          <w:top w:w="28" w:type="dxa"/>
          <w:left w:w="28" w:type="dxa"/>
          <w:bottom w:w="28" w:type="dxa"/>
          <w:right w:w="28" w:type="dxa"/>
        </w:tblCellMar>
      </w:tblPr>
      <w:tblGrid>
        <w:gridCol w:w="3466"/>
        <w:gridCol w:w="146"/>
        <w:gridCol w:w="721"/>
        <w:gridCol w:w="146"/>
        <w:gridCol w:w="104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Percentage of Total Debt:</w:t>
            </w:r>
          </w:p>
        </w:tc>
        <w:tc>
          <w:tcPr>
            <w:tcW w:w="146" w:type="dxa"/>
            <w:tcBorders/>
            <w:shd w:fill="FFFFFF" w:val="cle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ahoma;sans-serif" w:hAnsi="Tahoma;sans-serif"/>
                <w:b/>
                <w:color w:val="000000"/>
                <w:sz w:val="14"/>
              </w:rPr>
            </w:pPr>
            <w:r>
              <w:rPr>
                <w:rFonts w:ascii="Tahoma;sans-serif" w:hAnsi="Tahoma;sans-serif"/>
                <w:b/>
                <w:color w:val="000000"/>
                <w:sz w:val="14"/>
              </w:rPr>
              <w:t>12/31/2023</w:t>
            </w:r>
          </w:p>
        </w:tc>
      </w:tr>
      <w:tr>
        <w:trPr/>
        <w:tc>
          <w:tcPr>
            <w:tcW w:w="346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Fixed</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93.4%</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95.4%</w:t>
            </w:r>
          </w:p>
        </w:tc>
      </w:tr>
      <w:tr>
        <w:trPr/>
        <w:tc>
          <w:tcPr>
            <w:tcW w:w="346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Variable</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6.6%</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4.6%</w:t>
            </w:r>
          </w:p>
        </w:tc>
      </w:tr>
      <w:tr>
        <w:trPr/>
        <w:tc>
          <w:tcPr>
            <w:tcW w:w="346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160"/>
              <w:jc w:val="center"/>
              <w:rPr/>
            </w:pPr>
            <w:r>
              <w:rPr/>
              <w:t> </w:t>
            </w:r>
          </w:p>
        </w:tc>
      </w:tr>
      <w:tr>
        <w:trPr/>
        <w:tc>
          <w:tcPr>
            <w:tcW w:w="346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160"/>
              <w:jc w:val="center"/>
              <w:rPr/>
            </w:pPr>
            <w:r>
              <w:rPr/>
              <w:t> </w:t>
            </w:r>
          </w:p>
        </w:tc>
      </w:tr>
      <w:tr>
        <w:trPr/>
        <w:tc>
          <w:tcPr>
            <w:tcW w:w="346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u w:val="single"/>
              </w:rPr>
              <w:t>Current Weighted Average Contractual Interest Rates:</w:t>
            </w:r>
            <w:r>
              <w:rPr>
                <w:rFonts w:ascii="Tahoma;sans-serif" w:hAnsi="Tahoma;sans-serif"/>
                <w:b/>
                <w:color w:val="000000"/>
                <w:sz w:val="9"/>
                <w:u w:val="single"/>
              </w:rPr>
              <w:t>(1)</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center"/>
              <w:rPr/>
            </w:pPr>
            <w:r>
              <w:rPr/>
              <w:t> </w:t>
            </w:r>
          </w:p>
        </w:tc>
      </w:tr>
      <w:tr>
        <w:trPr/>
        <w:tc>
          <w:tcPr>
            <w:tcW w:w="346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Fixed</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3.8%</w:t>
            </w:r>
          </w:p>
        </w:tc>
      </w:tr>
      <w:tr>
        <w:trPr/>
        <w:tc>
          <w:tcPr>
            <w:tcW w:w="346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Variable</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7.3%</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7.2%</w:t>
            </w:r>
          </w:p>
        </w:tc>
      </w:tr>
      <w:tr>
        <w:trPr/>
        <w:tc>
          <w:tcPr>
            <w:tcW w:w="346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Combined</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3.9%</w:t>
            </w:r>
          </w:p>
        </w:tc>
      </w:tr>
      <w:tr>
        <w:trPr/>
        <w:tc>
          <w:tcPr>
            <w:tcW w:w="346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160"/>
              <w:jc w:val="center"/>
              <w:rPr/>
            </w:pPr>
            <w:r>
              <w:rPr/>
              <w:t> </w:t>
            </w:r>
          </w:p>
        </w:tc>
      </w:tr>
      <w:tr>
        <w:trPr/>
        <w:tc>
          <w:tcPr>
            <w:tcW w:w="346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u w:val="single"/>
              </w:rPr>
              <w:t>Current Weighted Average Effective Interest Rates:</w:t>
            </w:r>
            <w:r>
              <w:rPr>
                <w:rFonts w:ascii="Tahoma;sans-serif" w:hAnsi="Tahoma;sans-serif"/>
                <w:b/>
                <w:color w:val="000000"/>
                <w:sz w:val="9"/>
                <w:u w:val="single"/>
              </w:rPr>
              <w:t>(2)</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center"/>
              <w:rPr/>
            </w:pPr>
            <w:r>
              <w:rPr/>
              <w:t> </w:t>
            </w:r>
          </w:p>
        </w:tc>
      </w:tr>
      <w:tr>
        <w:trPr/>
        <w:tc>
          <w:tcPr>
            <w:tcW w:w="346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Combined</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4.1%</w:t>
            </w:r>
          </w:p>
        </w:tc>
      </w:tr>
      <w:tr>
        <w:trPr/>
        <w:tc>
          <w:tcPr>
            <w:tcW w:w="346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160"/>
              <w:jc w:val="center"/>
              <w:rPr/>
            </w:pPr>
            <w:r>
              <w:rPr/>
              <w:t> </w:t>
            </w:r>
          </w:p>
        </w:tc>
      </w:tr>
      <w:tr>
        <w:trPr/>
        <w:tc>
          <w:tcPr>
            <w:tcW w:w="3466" w:type="dxa"/>
            <w:tcBorders/>
            <w:shd w:fill="FFFFFF" w:val="cle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Average Years to Maturity:</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center"/>
              <w:rPr/>
            </w:pPr>
            <w:r>
              <w:rPr/>
              <w:t> </w:t>
            </w:r>
          </w:p>
        </w:tc>
      </w:tr>
      <w:tr>
        <w:trPr/>
        <w:tc>
          <w:tcPr>
            <w:tcW w:w="346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Fixed</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5.2</w:t>
            </w:r>
          </w:p>
        </w:tc>
      </w:tr>
      <w:tr>
        <w:trPr/>
        <w:tc>
          <w:tcPr>
            <w:tcW w:w="346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Variable</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Interest rates are calculated as of the quarter end.</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Effective interest rates are calculated in accordance with US GAAP, as of the quarter end, and include the impact of debt premium/(discount) amortization, issuance cost, amortization, interest rate swaps, and facility and unused fees.</w:t>
      </w:r>
    </w:p>
    <w:p>
      <w:pPr>
        <w:pStyle w:val="TextBody"/>
        <w:bidi w:val="0"/>
        <w:jc w:val="right"/>
        <w:rPr/>
      </w:pPr>
      <w:r>
        <w:rPr/>
        <w:drawing>
          <wp:inline distT="0" distB="0" distL="0" distR="0">
            <wp:extent cx="476250" cy="2571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14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3" w:name="investments"/>
      <w:bookmarkEnd w:id="23"/>
      <w:r>
        <w:rPr>
          <w:rFonts w:ascii="Tahoma;sans-serif" w:hAnsi="Tahoma;sans-serif"/>
          <w:b/>
          <w:color w:val="000000"/>
          <w:sz w:val="20"/>
        </w:rPr>
        <w:t>Unconsolidated Investments</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p>
      <w:pPr>
        <w:pStyle w:val="TextBody"/>
        <w:bidi w:val="0"/>
        <w:jc w:val="both"/>
        <w:rPr/>
      </w:pPr>
      <w:r>
        <w:rPr/>
        <w:t> </w:t>
      </w:r>
    </w:p>
    <w:tbl>
      <w:tblPr>
        <w:tblW w:w="9875" w:type="dxa"/>
        <w:jc w:val="left"/>
        <w:tblInd w:w="0" w:type="dxa"/>
        <w:tblLayout w:type="fixed"/>
        <w:tblCellMar>
          <w:top w:w="28" w:type="dxa"/>
          <w:left w:w="28" w:type="dxa"/>
          <w:bottom w:w="28" w:type="dxa"/>
          <w:right w:w="28" w:type="dxa"/>
        </w:tblCellMar>
      </w:tblPr>
      <w:tblGrid>
        <w:gridCol w:w="2446"/>
        <w:gridCol w:w="871"/>
        <w:gridCol w:w="601"/>
        <w:gridCol w:w="916"/>
        <w:gridCol w:w="916"/>
        <w:gridCol w:w="146"/>
        <w:gridCol w:w="1396"/>
        <w:gridCol w:w="781"/>
        <w:gridCol w:w="931"/>
        <w:gridCol w:w="871"/>
      </w:tblGrid>
      <w:tr>
        <w:trPr/>
        <w:tc>
          <w:tcPr>
            <w:tcW w:w="24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9" w:type="dxa"/>
            <w:gridSpan w:val="4"/>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Regency</w:t>
            </w:r>
          </w:p>
        </w:tc>
      </w:tr>
      <w:tr>
        <w:trPr/>
        <w:tc>
          <w:tcPr>
            <w:tcW w:w="244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Investment Partner and</w:t>
            </w:r>
          </w:p>
        </w:tc>
        <w:tc>
          <w:tcPr>
            <w:tcW w:w="871" w:type="dxa"/>
            <w:tcBorders/>
            <w:shd w:fill="FFFFFF" w:val="cle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Number of</w:t>
            </w:r>
          </w:p>
        </w:tc>
        <w:tc>
          <w:tcPr>
            <w:tcW w:w="601" w:type="dxa"/>
            <w:tcBorders/>
            <w:shd w:fill="FFFFFF" w:val="cle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916" w:type="dxa"/>
            <w:tcBorders/>
            <w:shd w:fill="FFFFFF" w:val="cle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916" w:type="dxa"/>
            <w:tcBorders/>
            <w:shd w:fill="FFFFFF" w:val="cle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Ownership</w:t>
            </w:r>
          </w:p>
        </w:tc>
        <w:tc>
          <w:tcPr>
            <w:tcW w:w="781" w:type="dxa"/>
            <w:tcBorders/>
            <w:shd w:fill="FFFFFF" w:val="cle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Share</w:t>
            </w:r>
          </w:p>
        </w:tc>
        <w:tc>
          <w:tcPr>
            <w:tcW w:w="931" w:type="dxa"/>
            <w:tcBorders/>
            <w:shd w:fill="FFFFFF" w:val="cle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Investment</w:t>
            </w:r>
          </w:p>
        </w:tc>
        <w:tc>
          <w:tcPr>
            <w:tcW w:w="871" w:type="dxa"/>
            <w:tcBorders/>
            <w:shd w:fill="FFFFFF" w:val="cle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Equity</w:t>
            </w:r>
          </w:p>
        </w:tc>
      </w:tr>
      <w:tr>
        <w:trPr/>
        <w:tc>
          <w:tcPr>
            <w:tcW w:w="2446" w:type="dxa"/>
            <w:tcBorders/>
            <w:shd w:fill="FFFFFF" w:val="clear"/>
            <w:vAlign w:val="center"/>
          </w:tcPr>
          <w:p>
            <w:pPr>
              <w:pStyle w:val="TableContents"/>
              <w:bidi w:val="0"/>
              <w:spacing w:before="0" w:after="283"/>
              <w:jc w:val="left"/>
              <w:rPr>
                <w:rFonts w:ascii="Tahoma;sans-serif" w:hAnsi="Tahoma;sans-serif"/>
                <w:b/>
                <w:color w:val="000000"/>
                <w:sz w:val="16"/>
                <w:u w:val="single"/>
              </w:rPr>
            </w:pPr>
            <w:r>
              <w:rPr>
                <w:rFonts w:ascii="Tahoma;sans-serif" w:hAnsi="Tahoma;sans-serif"/>
                <w:b/>
                <w:color w:val="000000"/>
                <w:sz w:val="16"/>
                <w:u w:val="single"/>
              </w:rPr>
              <w:t>Portfolio Summary Abbreviation</w:t>
            </w:r>
          </w:p>
        </w:tc>
        <w:tc>
          <w:tcPr>
            <w:tcW w:w="871" w:type="dxa"/>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Properties</w:t>
            </w:r>
          </w:p>
        </w:tc>
        <w:tc>
          <w:tcPr>
            <w:tcW w:w="601" w:type="dxa"/>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GLA</w:t>
            </w:r>
          </w:p>
        </w:tc>
        <w:tc>
          <w:tcPr>
            <w:tcW w:w="916" w:type="dxa"/>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Assets</w:t>
            </w:r>
          </w:p>
        </w:tc>
        <w:tc>
          <w:tcPr>
            <w:tcW w:w="916" w:type="dxa"/>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Debt</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Interest</w:t>
            </w:r>
          </w:p>
        </w:tc>
        <w:tc>
          <w:tcPr>
            <w:tcW w:w="781" w:type="dxa"/>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of Debt</w:t>
            </w:r>
          </w:p>
        </w:tc>
        <w:tc>
          <w:tcPr>
            <w:tcW w:w="931" w:type="dxa"/>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9/30/2024</w:t>
            </w:r>
          </w:p>
        </w:tc>
        <w:tc>
          <w:tcPr>
            <w:tcW w:w="871" w:type="dxa"/>
            <w:tcBorders/>
            <w:shd w:fill="FFFFFF" w:val="cle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in Income</w:t>
            </w:r>
          </w:p>
        </w:tc>
      </w:tr>
      <w:tr>
        <w:trPr/>
        <w:tc>
          <w:tcPr>
            <w:tcW w:w="244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State of Oregon</w:t>
            </w:r>
          </w:p>
        </w:tc>
        <w:tc>
          <w:tcPr>
            <w:tcW w:w="87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pPr>
            <w:r>
              <w:rPr/>
              <w:t> </w:t>
            </w:r>
          </w:p>
        </w:tc>
        <w:tc>
          <w:tcPr>
            <w:tcW w:w="916" w:type="dxa"/>
            <w:tcBorders/>
            <w:shd w:fill="FFFFFF" w:val="clear"/>
            <w:vAlign w:val="center"/>
          </w:tcPr>
          <w:p>
            <w:pPr>
              <w:pStyle w:val="TableContents"/>
              <w:bidi w:val="0"/>
              <w:spacing w:before="0" w:after="283"/>
              <w:jc w:val="righ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right"/>
              <w:rPr/>
            </w:pPr>
            <w:r>
              <w:rPr/>
              <w:t> </w:t>
            </w:r>
          </w:p>
        </w:tc>
        <w:tc>
          <w:tcPr>
            <w:tcW w:w="781"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ind w:left="0" w:right="0" w:firstLine="200"/>
              <w:jc w:val="center"/>
              <w:rPr/>
            </w:pPr>
            <w:r>
              <w:rPr/>
              <w:t> </w:t>
            </w:r>
          </w:p>
        </w:tc>
      </w:tr>
      <w:tr>
        <w:trPr/>
        <w:tc>
          <w:tcPr>
            <w:tcW w:w="2446" w:type="dxa"/>
            <w:tcBorders/>
            <w:shd w:fill="FFFFFF" w:val="cle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(JV-C2)</w:t>
            </w:r>
            <w:r>
              <w:rPr>
                <w:rFonts w:ascii="Tahoma;sans-serif" w:hAnsi="Tahoma;sans-serif"/>
                <w:color w:val="000000"/>
                <w:sz w:val="11"/>
              </w:rPr>
              <w:t>(1)</w:t>
            </w:r>
          </w:p>
        </w:tc>
        <w:tc>
          <w:tcPr>
            <w:tcW w:w="8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2,371</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$557,991</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$283,493</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20.00%</w:t>
            </w:r>
          </w:p>
        </w:tc>
        <w:tc>
          <w:tcPr>
            <w:tcW w:w="78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$56,699</w:t>
            </w:r>
          </w:p>
        </w:tc>
        <w:tc>
          <w:tcPr>
            <w:tcW w:w="93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$49,388</w:t>
            </w:r>
          </w:p>
        </w:tc>
        <w:tc>
          <w:tcPr>
            <w:tcW w:w="87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$2,874</w:t>
            </w:r>
          </w:p>
        </w:tc>
      </w:tr>
      <w:tr>
        <w:trPr/>
        <w:tc>
          <w:tcPr>
            <w:tcW w:w="244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(JV-CCV)</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602</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99,323</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30.00%</w:t>
            </w:r>
          </w:p>
        </w:tc>
        <w:tc>
          <w:tcPr>
            <w:tcW w:w="78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22,446</w:t>
            </w:r>
          </w:p>
        </w:tc>
        <w:tc>
          <w:tcPr>
            <w:tcW w:w="93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6,361</w:t>
            </w:r>
          </w:p>
        </w:tc>
        <w:tc>
          <w:tcPr>
            <w:tcW w:w="8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1,650</w:t>
            </w:r>
          </w:p>
        </w:tc>
      </w:tr>
      <w:tr>
        <w:trPr/>
        <w:tc>
          <w:tcPr>
            <w:tcW w:w="2446"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2,973</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657,314</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358,313</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GRI</w:t>
            </w:r>
          </w:p>
        </w:tc>
        <w:tc>
          <w:tcPr>
            <w:tcW w:w="871" w:type="dxa"/>
            <w:tcBorders/>
            <w:shd w:fill="FFFFFF" w:val="cle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ind w:left="0" w:right="0" w:firstLine="200"/>
              <w:jc w:val="center"/>
              <w:rPr/>
            </w:pPr>
            <w:r>
              <w:rPr/>
              <w:t> </w:t>
            </w:r>
          </w:p>
        </w:tc>
      </w:tr>
      <w:tr>
        <w:trPr/>
        <w:tc>
          <w:tcPr>
            <w:tcW w:w="244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(JV-GRI)</w:t>
            </w:r>
          </w:p>
        </w:tc>
        <w:tc>
          <w:tcPr>
            <w:tcW w:w="8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66</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8,436</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1,459,910</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933,691</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40.00%</w:t>
            </w:r>
          </w:p>
        </w:tc>
        <w:tc>
          <w:tcPr>
            <w:tcW w:w="78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373,477</w:t>
            </w:r>
          </w:p>
        </w:tc>
        <w:tc>
          <w:tcPr>
            <w:tcW w:w="93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137,536</w:t>
            </w:r>
          </w:p>
        </w:tc>
        <w:tc>
          <w:tcPr>
            <w:tcW w:w="8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28,105</w:t>
            </w:r>
          </w:p>
        </w:tc>
      </w:tr>
      <w:tr>
        <w:trPr/>
        <w:tc>
          <w:tcPr>
            <w:tcW w:w="2446"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Publix</w:t>
            </w:r>
          </w:p>
        </w:tc>
        <w:tc>
          <w:tcPr>
            <w:tcW w:w="871" w:type="dxa"/>
            <w:tcBorders/>
            <w:shd w:fill="FFFFFF" w:val="cle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center"/>
              <w:rPr/>
            </w:pPr>
            <w:r>
              <w:rPr/>
              <w:t> </w:t>
            </w:r>
          </w:p>
        </w:tc>
        <w:tc>
          <w:tcPr>
            <w:tcW w:w="781"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ind w:left="0" w:right="0" w:firstLine="200"/>
              <w:jc w:val="center"/>
              <w:rPr/>
            </w:pPr>
            <w:r>
              <w:rPr/>
              <w:t> </w:t>
            </w:r>
          </w:p>
        </w:tc>
      </w:tr>
      <w:tr>
        <w:trPr/>
        <w:tc>
          <w:tcPr>
            <w:tcW w:w="244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(JV-O)</w:t>
            </w:r>
          </w:p>
        </w:tc>
        <w:tc>
          <w:tcPr>
            <w:tcW w:w="8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215</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26,876</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50.00%</w:t>
            </w:r>
          </w:p>
        </w:tc>
        <w:tc>
          <w:tcPr>
            <w:tcW w:w="78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t>
            </w:r>
          </w:p>
        </w:tc>
        <w:tc>
          <w:tcPr>
            <w:tcW w:w="93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13,157</w:t>
            </w:r>
          </w:p>
        </w:tc>
        <w:tc>
          <w:tcPr>
            <w:tcW w:w="8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1,375</w:t>
            </w:r>
          </w:p>
        </w:tc>
      </w:tr>
      <w:tr>
        <w:trPr/>
        <w:tc>
          <w:tcPr>
            <w:tcW w:w="2446"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Individual Investors</w:t>
            </w:r>
          </w:p>
        </w:tc>
        <w:tc>
          <w:tcPr>
            <w:tcW w:w="871" w:type="dxa"/>
            <w:tcBorders/>
            <w:shd w:fill="FFFFFF" w:val="cle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ind w:left="0" w:right="0" w:firstLine="200"/>
              <w:jc w:val="center"/>
              <w:rPr/>
            </w:pPr>
            <w:r>
              <w:rPr/>
              <w:t> </w:t>
            </w:r>
          </w:p>
        </w:tc>
      </w:tr>
      <w:tr>
        <w:trPr/>
        <w:tc>
          <w:tcPr>
            <w:tcW w:w="244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Ballard Blocks</w:t>
            </w:r>
          </w:p>
        </w:tc>
        <w:tc>
          <w:tcPr>
            <w:tcW w:w="8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249</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117,248</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49.90%</w:t>
            </w:r>
          </w:p>
        </w:tc>
        <w:tc>
          <w:tcPr>
            <w:tcW w:w="78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t>
            </w:r>
          </w:p>
        </w:tc>
        <w:tc>
          <w:tcPr>
            <w:tcW w:w="93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60,424</w:t>
            </w:r>
          </w:p>
        </w:tc>
        <w:tc>
          <w:tcPr>
            <w:tcW w:w="87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761</w:t>
            </w:r>
          </w:p>
        </w:tc>
      </w:tr>
      <w:tr>
        <w:trPr/>
        <w:tc>
          <w:tcPr>
            <w:tcW w:w="244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Bloom on Third</w:t>
            </w:r>
          </w:p>
        </w:tc>
        <w:tc>
          <w:tcPr>
            <w:tcW w:w="8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73</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251,841</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126,439</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35.00%</w:t>
            </w:r>
          </w:p>
        </w:tc>
        <w:tc>
          <w:tcPr>
            <w:tcW w:w="78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44,254</w:t>
            </w:r>
          </w:p>
        </w:tc>
        <w:tc>
          <w:tcPr>
            <w:tcW w:w="93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44,174</w:t>
            </w:r>
          </w:p>
        </w:tc>
        <w:tc>
          <w:tcPr>
            <w:tcW w:w="87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1,843</w:t>
            </w:r>
          </w:p>
        </w:tc>
      </w:tr>
      <w:tr>
        <w:trPr/>
        <w:tc>
          <w:tcPr>
            <w:tcW w:w="2446" w:type="dxa"/>
            <w:tcBorders/>
            <w:shd w:fill="FFFFFF" w:val="cle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Others</w:t>
            </w:r>
          </w:p>
        </w:tc>
        <w:tc>
          <w:tcPr>
            <w:tcW w:w="8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1,280</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259,775</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143,394</w:t>
            </w:r>
          </w:p>
        </w:tc>
        <w:tc>
          <w:tcPr>
            <w:tcW w:w="146" w:type="dxa"/>
            <w:tcBorders/>
            <w:shd w:fill="FFFFFF" w:val="cle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11.80% - 83.00%</w:t>
            </w:r>
          </w:p>
        </w:tc>
        <w:tc>
          <w:tcPr>
            <w:tcW w:w="78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74,945</w:t>
            </w:r>
          </w:p>
        </w:tc>
        <w:tc>
          <w:tcPr>
            <w:tcW w:w="93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76,373</w:t>
            </w:r>
          </w:p>
        </w:tc>
        <w:tc>
          <w:tcPr>
            <w:tcW w:w="871"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1,155</w:t>
            </w:r>
          </w:p>
        </w:tc>
      </w:tr>
      <w:tr>
        <w:trPr/>
        <w:tc>
          <w:tcPr>
            <w:tcW w:w="2446"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102</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13,226</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$2,772,964</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$1,561,837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shd w:fill="FFFFFF" w:val="clear"/>
            <w:vAlign w:val="center"/>
          </w:tcPr>
          <w:p>
            <w:pPr>
              <w:pStyle w:val="TableContents"/>
              <w:bidi w:val="0"/>
              <w:spacing w:before="0" w:after="283"/>
              <w:jc w:val="righ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$571,821</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$387,413</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$37,763</w:t>
            </w:r>
          </w:p>
        </w:tc>
      </w:tr>
    </w:tbl>
    <w:p>
      <w:pPr>
        <w:pStyle w:val="TextBody"/>
        <w:bidi w:val="0"/>
        <w:spacing w:before="120" w:after="283"/>
        <w:jc w:val="left"/>
        <w:rPr>
          <w:rFonts w:ascii="Arial" w:hAnsi="Arial"/>
          <w:color w:val="000000"/>
          <w:sz w:val="16"/>
        </w:rPr>
      </w:pPr>
      <w:r>
        <w:rPr>
          <w:rFonts w:ascii="Arial" w:hAnsi="Arial"/>
          <w:color w:val="000000"/>
          <w:sz w:val="16"/>
        </w:rPr>
        <w:t>(1)</w:t>
      </w:r>
    </w:p>
    <w:p>
      <w:pPr>
        <w:pStyle w:val="TextBody"/>
        <w:bidi w:val="0"/>
        <w:spacing w:before="120" w:after="283"/>
        <w:jc w:val="left"/>
        <w:rPr>
          <w:rFonts w:ascii="Arial" w:hAnsi="Arial"/>
          <w:color w:val="000000"/>
          <w:sz w:val="16"/>
        </w:rPr>
      </w:pPr>
      <w:r>
        <w:rPr>
          <w:rFonts w:ascii="Arial" w:hAnsi="Arial"/>
          <w:color w:val="000000"/>
          <w:sz w:val="16"/>
        </w:rPr>
        <w:t>Effective September 1, 2024, Columbia Regency Retail Partners, LLC (JV-C) merged with and into Columbia Regency Partners II, LLC ("JV-C2," or "Columbia II") with Columbia II being the surviving entity in the merger.</w:t>
      </w:r>
    </w:p>
    <w:p>
      <w:pPr>
        <w:pStyle w:val="TextBody"/>
        <w:bidi w:val="0"/>
        <w:spacing w:before="60" w:after="283"/>
        <w:jc w:val="both"/>
        <w:rPr/>
      </w:pPr>
      <w:r>
        <w:rPr/>
        <w:t> </w:t>
      </w:r>
    </w:p>
    <w:p>
      <w:pPr>
        <w:pStyle w:val="TextBody"/>
        <w:bidi w:val="0"/>
        <w:jc w:val="right"/>
        <w:rPr/>
      </w:pPr>
      <w:r>
        <w:rPr/>
        <w:drawing>
          <wp:inline distT="0" distB="0" distL="0" distR="0">
            <wp:extent cx="476250" cy="2571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4" w:name="proptransactions"/>
      <w:bookmarkEnd w:id="24"/>
      <w:r>
        <w:rPr>
          <w:rFonts w:ascii="Tahoma;sans-serif" w:hAnsi="Tahoma;sans-serif"/>
          <w:b/>
          <w:color w:val="000000"/>
          <w:sz w:val="20"/>
        </w:rPr>
        <w:t>Property Transactions</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p>
      <w:pPr>
        <w:pStyle w:val="TextBody"/>
        <w:bidi w:val="0"/>
        <w:jc w:val="left"/>
        <w:rPr>
          <w:rFonts w:ascii="Tahoma;sans-serif" w:hAnsi="Tahoma;sans-serif"/>
          <w:b/>
          <w:color w:val="000000"/>
          <w:sz w:val="16"/>
        </w:rPr>
      </w:pPr>
      <w:r>
        <w:rPr>
          <w:rFonts w:ascii="Tahoma;sans-serif" w:hAnsi="Tahoma;sans-serif"/>
          <w:b/>
          <w:color w:val="000000"/>
          <w:sz w:val="16"/>
        </w:rPr>
        <w:t>Acquisitions: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6"/>
        <w:gridCol w:w="1500"/>
        <w:gridCol w:w="1200"/>
        <w:gridCol w:w="959"/>
        <w:gridCol w:w="687"/>
        <w:gridCol w:w="1935"/>
        <w:gridCol w:w="1666"/>
        <w:gridCol w:w="1642"/>
      </w:tblGrid>
      <w:tr>
        <w:trPr/>
        <w:tc>
          <w:tcPr>
            <w:tcW w:w="61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ahoma;sans-serif" w:hAnsi="Tahoma;sans-serif"/>
                <w:b/>
                <w:color w:val="000000"/>
                <w:sz w:val="16"/>
              </w:rPr>
            </w:pPr>
            <w:r>
              <w:rPr>
                <w:rFonts w:ascii="Tahoma;sans-serif" w:hAnsi="Tahoma;sans-serif"/>
                <w:b/>
                <w:color w:val="000000"/>
                <w:sz w:val="16"/>
              </w:rPr>
              <w:t>Date</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Property Name</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Real Estate Partner</w:t>
              <w:br/>
              <w:t>(REG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Market</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GLA</w:t>
            </w:r>
          </w:p>
        </w:tc>
        <w:tc>
          <w:tcPr>
            <w:tcW w:w="1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Regency's Share of Purchase Price</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Weighted Average Cap Rate</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ahoma;sans-serif" w:hAnsi="Tahoma;sans-serif"/>
                <w:b/>
                <w:color w:val="000000"/>
                <w:sz w:val="16"/>
              </w:rPr>
            </w:pPr>
            <w:r>
              <w:rPr>
                <w:rFonts w:ascii="Tahoma;sans-serif" w:hAnsi="Tahoma;sans-serif"/>
                <w:b/>
                <w:color w:val="000000"/>
                <w:sz w:val="16"/>
              </w:rPr>
              <w:t>Anchor(s)</w:t>
            </w:r>
          </w:p>
        </w:tc>
      </w:tr>
      <w:tr>
        <w:trPr/>
        <w:tc>
          <w:tcPr>
            <w:tcW w:w="616" w:type="dxa"/>
            <w:tcBorders/>
            <w:shd w:fill="FFFFFF" w:val="clear"/>
            <w:vAlign w:val="center"/>
          </w:tcPr>
          <w:p>
            <w:pPr>
              <w:pStyle w:val="TableContents"/>
              <w:bidi w:val="0"/>
              <w:spacing w:before="0" w:after="283"/>
              <w:ind w:left="0" w:right="0" w:firstLine="100"/>
              <w:jc w:val="left"/>
              <w:rPr/>
            </w:pPr>
            <w:r>
              <w:rPr/>
              <w:t> </w:t>
            </w:r>
          </w:p>
        </w:tc>
        <w:tc>
          <w:tcPr>
            <w:tcW w:w="1500" w:type="dxa"/>
            <w:tcBorders/>
            <w:shd w:fill="FFFFFF" w:val="clear"/>
            <w:vAlign w:val="center"/>
          </w:tcPr>
          <w:p>
            <w:pPr>
              <w:pStyle w:val="TableContents"/>
              <w:bidi w:val="0"/>
              <w:spacing w:before="0" w:after="283"/>
              <w:jc w:val="center"/>
              <w:rPr/>
            </w:pPr>
            <w:r>
              <w:rPr/>
              <w:t> </w:t>
            </w:r>
          </w:p>
        </w:tc>
        <w:tc>
          <w:tcPr>
            <w:tcW w:w="1200" w:type="dxa"/>
            <w:tcBorders/>
            <w:shd w:fill="FFFFFF" w:val="clear"/>
            <w:vAlign w:val="center"/>
          </w:tcPr>
          <w:p>
            <w:pPr>
              <w:pStyle w:val="TableContents"/>
              <w:bidi w:val="0"/>
              <w:spacing w:before="0" w:after="283"/>
              <w:jc w:val="center"/>
              <w:rPr/>
            </w:pPr>
            <w:r>
              <w:rPr/>
              <w:t> </w:t>
            </w:r>
          </w:p>
        </w:tc>
        <w:tc>
          <w:tcPr>
            <w:tcW w:w="959" w:type="dxa"/>
            <w:tcBorders/>
            <w:shd w:fill="FFFFFF" w:val="clear"/>
            <w:vAlign w:val="center"/>
          </w:tcPr>
          <w:p>
            <w:pPr>
              <w:pStyle w:val="TableContents"/>
              <w:bidi w:val="0"/>
              <w:spacing w:before="0" w:after="283"/>
              <w:jc w:val="center"/>
              <w:rPr/>
            </w:pPr>
            <w:r>
              <w:rPr/>
              <w:t> </w:t>
            </w:r>
          </w:p>
        </w:tc>
        <w:tc>
          <w:tcPr>
            <w:tcW w:w="687" w:type="dxa"/>
            <w:tcBorders/>
            <w:shd w:fill="FFFFFF" w:val="clear"/>
            <w:vAlign w:val="center"/>
          </w:tcPr>
          <w:p>
            <w:pPr>
              <w:pStyle w:val="TableContents"/>
              <w:bidi w:val="0"/>
              <w:spacing w:before="0" w:after="283"/>
              <w:jc w:val="center"/>
              <w:rPr/>
            </w:pPr>
            <w:r>
              <w:rPr/>
              <w:t> </w:t>
            </w:r>
          </w:p>
        </w:tc>
        <w:tc>
          <w:tcPr>
            <w:tcW w:w="1935" w:type="dxa"/>
            <w:tcBorders/>
            <w:shd w:fill="FFFFFF" w:val="clear"/>
            <w:vAlign w:val="center"/>
          </w:tcPr>
          <w:p>
            <w:pPr>
              <w:pStyle w:val="TableContents"/>
              <w:bidi w:val="0"/>
              <w:spacing w:before="0" w:after="283"/>
              <w:jc w:val="center"/>
              <w:rPr/>
            </w:pPr>
            <w:r>
              <w:rPr/>
              <w:t> </w:t>
            </w:r>
          </w:p>
        </w:tc>
        <w:tc>
          <w:tcPr>
            <w:tcW w:w="1666" w:type="dxa"/>
            <w:tcBorders/>
            <w:shd w:fill="FFFFFF" w:val="clear"/>
            <w:vAlign w:val="center"/>
          </w:tcPr>
          <w:p>
            <w:pPr>
              <w:pStyle w:val="TableContents"/>
              <w:bidi w:val="0"/>
              <w:spacing w:before="0" w:after="283"/>
              <w:jc w:val="center"/>
              <w:rPr/>
            </w:pPr>
            <w:r>
              <w:rPr/>
              <w:t> </w:t>
            </w:r>
          </w:p>
        </w:tc>
        <w:tc>
          <w:tcPr>
            <w:tcW w:w="1642" w:type="dxa"/>
            <w:tcBorders/>
            <w:shd w:fill="FFFFFF" w:val="clear"/>
            <w:vAlign w:val="center"/>
          </w:tcPr>
          <w:p>
            <w:pPr>
              <w:pStyle w:val="TableContents"/>
              <w:bidi w:val="0"/>
              <w:spacing w:before="0" w:after="283"/>
              <w:jc w:val="center"/>
              <w:rPr/>
            </w:pPr>
            <w:r>
              <w:rPr/>
              <w:t> </w:t>
            </w:r>
          </w:p>
        </w:tc>
      </w:tr>
      <w:tr>
        <w:trPr/>
        <w:tc>
          <w:tcPr>
            <w:tcW w:w="6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May-24</w:t>
            </w:r>
          </w:p>
        </w:tc>
        <w:tc>
          <w:tcPr>
            <w:tcW w:w="1500"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Compo Shopping Center</w:t>
            </w:r>
          </w:p>
        </w:tc>
        <w:tc>
          <w:tcPr>
            <w:tcW w:w="1200" w:type="dxa"/>
            <w:tcBorders/>
            <w:shd w:fill="FFFFFF" w:val="clear"/>
            <w:vAlign w:val="center"/>
          </w:tcPr>
          <w:p>
            <w:pPr>
              <w:pStyle w:val="TableContents"/>
              <w:bidi w:val="0"/>
              <w:spacing w:before="0" w:after="283"/>
              <w:jc w:val="center"/>
              <w:rPr/>
            </w:pPr>
            <w:r>
              <w:rPr/>
              <w:t> </w:t>
            </w:r>
          </w:p>
        </w:tc>
        <w:tc>
          <w:tcPr>
            <w:tcW w:w="95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Westport</w:t>
            </w:r>
          </w:p>
        </w:tc>
        <w:tc>
          <w:tcPr>
            <w:tcW w:w="68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76</w:t>
            </w:r>
          </w:p>
        </w:tc>
        <w:tc>
          <w:tcPr>
            <w:tcW w:w="193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$45,500</w:t>
            </w:r>
          </w:p>
        </w:tc>
        <w:tc>
          <w:tcPr>
            <w:tcW w:w="1666" w:type="dxa"/>
            <w:tcBorders/>
            <w:shd w:fill="FFFFFF" w:val="clear"/>
            <w:vAlign w:val="center"/>
          </w:tcPr>
          <w:p>
            <w:pPr>
              <w:pStyle w:val="TableContents"/>
              <w:bidi w:val="0"/>
              <w:spacing w:before="0" w:after="283"/>
              <w:jc w:val="center"/>
              <w:rPr/>
            </w:pPr>
            <w:r>
              <w:rPr/>
              <w:t> </w:t>
            </w:r>
          </w:p>
        </w:tc>
        <w:tc>
          <w:tcPr>
            <w:tcW w:w="164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CVS</w:t>
            </w:r>
          </w:p>
        </w:tc>
      </w:tr>
      <w:tr>
        <w:trPr/>
        <w:tc>
          <w:tcPr>
            <w:tcW w:w="616"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c>
          <w:tcPr>
            <w:tcW w:w="1200" w:type="dxa"/>
            <w:tcBorders/>
            <w:shd w:fill="FFFFFF" w:val="clear"/>
            <w:vAlign w:val="center"/>
          </w:tcPr>
          <w:p>
            <w:pPr>
              <w:pStyle w:val="TableContents"/>
              <w:bidi w:val="0"/>
              <w:spacing w:before="0" w:after="283"/>
              <w:jc w:val="center"/>
              <w:rPr/>
            </w:pPr>
            <w:r>
              <w:rPr/>
              <w:t> </w:t>
            </w:r>
          </w:p>
        </w:tc>
        <w:tc>
          <w:tcPr>
            <w:tcW w:w="959" w:type="dxa"/>
            <w:tcBorders/>
            <w:shd w:fill="FFFFFF" w:val="clear"/>
            <w:vAlign w:val="center"/>
          </w:tcPr>
          <w:p>
            <w:pPr>
              <w:pStyle w:val="TableContents"/>
              <w:bidi w:val="0"/>
              <w:spacing w:before="0" w:after="283"/>
              <w:jc w:val="center"/>
              <w:rPr/>
            </w:pPr>
            <w:r>
              <w:rPr/>
              <w:t> </w:t>
            </w:r>
          </w:p>
        </w:tc>
        <w:tc>
          <w:tcPr>
            <w:tcW w:w="687" w:type="dxa"/>
            <w:tcBorders/>
            <w:shd w:fill="FFFFFF" w:val="clear"/>
            <w:vAlign w:val="center"/>
          </w:tcPr>
          <w:p>
            <w:pPr>
              <w:pStyle w:val="TableContents"/>
              <w:bidi w:val="0"/>
              <w:spacing w:before="0" w:after="283"/>
              <w:jc w:val="center"/>
              <w:rPr/>
            </w:pPr>
            <w:r>
              <w:rPr/>
              <w:t> </w:t>
            </w:r>
          </w:p>
        </w:tc>
        <w:tc>
          <w:tcPr>
            <w:tcW w:w="1935" w:type="dxa"/>
            <w:tcBorders/>
            <w:shd w:fill="FFFFFF" w:val="clear"/>
            <w:vAlign w:val="center"/>
          </w:tcPr>
          <w:p>
            <w:pPr>
              <w:pStyle w:val="TableContents"/>
              <w:bidi w:val="0"/>
              <w:spacing w:before="0" w:after="283"/>
              <w:jc w:val="center"/>
              <w:rPr/>
            </w:pPr>
            <w:r>
              <w:rPr/>
              <w:t> </w:t>
            </w:r>
          </w:p>
        </w:tc>
        <w:tc>
          <w:tcPr>
            <w:tcW w:w="1666" w:type="dxa"/>
            <w:tcBorders/>
            <w:shd w:fill="FFFFFF" w:val="clear"/>
            <w:vAlign w:val="center"/>
          </w:tcPr>
          <w:p>
            <w:pPr>
              <w:pStyle w:val="TableContents"/>
              <w:bidi w:val="0"/>
              <w:spacing w:before="0" w:after="283"/>
              <w:jc w:val="center"/>
              <w:rPr/>
            </w:pPr>
            <w:r>
              <w:rPr/>
              <w:t> </w:t>
            </w:r>
          </w:p>
        </w:tc>
        <w:tc>
          <w:tcPr>
            <w:tcW w:w="1642" w:type="dxa"/>
            <w:tcBorders/>
            <w:shd w:fill="FFFFFF" w:val="clear"/>
            <w:vAlign w:val="center"/>
          </w:tcPr>
          <w:p>
            <w:pPr>
              <w:pStyle w:val="TableContents"/>
              <w:bidi w:val="0"/>
              <w:spacing w:before="0" w:after="283"/>
              <w:jc w:val="center"/>
              <w:rPr/>
            </w:pPr>
            <w:r>
              <w:rPr/>
              <w:t> </w:t>
            </w:r>
          </w:p>
        </w:tc>
      </w:tr>
      <w:tr>
        <w:trPr/>
        <w:tc>
          <w:tcPr>
            <w:tcW w:w="6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Aug-24</w:t>
            </w:r>
          </w:p>
        </w:tc>
        <w:tc>
          <w:tcPr>
            <w:tcW w:w="1500"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East Greenwich Square</w:t>
            </w:r>
          </w:p>
        </w:tc>
        <w:tc>
          <w:tcPr>
            <w:tcW w:w="1200"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Brand Street (70%)</w:t>
            </w:r>
          </w:p>
        </w:tc>
        <w:tc>
          <w:tcPr>
            <w:tcW w:w="95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Rhode Island</w:t>
            </w:r>
          </w:p>
        </w:tc>
        <w:tc>
          <w:tcPr>
            <w:tcW w:w="68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159</w:t>
            </w:r>
          </w:p>
        </w:tc>
        <w:tc>
          <w:tcPr>
            <w:tcW w:w="193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$32,655</w:t>
            </w:r>
          </w:p>
        </w:tc>
        <w:tc>
          <w:tcPr>
            <w:tcW w:w="1666" w:type="dxa"/>
            <w:tcBorders/>
            <w:shd w:fill="FFFFFF" w:val="clear"/>
            <w:vAlign w:val="center"/>
          </w:tcPr>
          <w:p>
            <w:pPr>
              <w:pStyle w:val="TableContents"/>
              <w:bidi w:val="0"/>
              <w:spacing w:before="0" w:after="283"/>
              <w:jc w:val="center"/>
              <w:rPr/>
            </w:pPr>
            <w:r>
              <w:rPr/>
              <w:t> </w:t>
            </w:r>
          </w:p>
        </w:tc>
        <w:tc>
          <w:tcPr>
            <w:tcW w:w="164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Dave's Fresh Marketplace</w:t>
            </w:r>
          </w:p>
        </w:tc>
      </w:tr>
      <w:tr>
        <w:trPr/>
        <w:tc>
          <w:tcPr>
            <w:tcW w:w="616"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c>
          <w:tcPr>
            <w:tcW w:w="1200" w:type="dxa"/>
            <w:tcBorders/>
            <w:shd w:fill="FFFFFF" w:val="clear"/>
            <w:vAlign w:val="center"/>
          </w:tcPr>
          <w:p>
            <w:pPr>
              <w:pStyle w:val="TableContents"/>
              <w:bidi w:val="0"/>
              <w:spacing w:before="0" w:after="283"/>
              <w:jc w:val="center"/>
              <w:rPr/>
            </w:pPr>
            <w:r>
              <w:rPr/>
              <w:t> </w:t>
            </w:r>
          </w:p>
        </w:tc>
        <w:tc>
          <w:tcPr>
            <w:tcW w:w="959" w:type="dxa"/>
            <w:tcBorders/>
            <w:shd w:fill="FFFFFF" w:val="clear"/>
            <w:vAlign w:val="center"/>
          </w:tcPr>
          <w:p>
            <w:pPr>
              <w:pStyle w:val="TableContents"/>
              <w:bidi w:val="0"/>
              <w:spacing w:before="0" w:after="283"/>
              <w:jc w:val="center"/>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2700" w:type="dxa"/>
            <w:gridSpan w:val="2"/>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Property Total</w:t>
            </w:r>
          </w:p>
        </w:tc>
        <w:tc>
          <w:tcPr>
            <w:tcW w:w="959" w:type="dxa"/>
            <w:tcBorders/>
            <w:shd w:fill="FFFFFF" w:val="clear"/>
            <w:vAlign w:val="center"/>
          </w:tcPr>
          <w:p>
            <w:pPr>
              <w:pStyle w:val="TableContents"/>
              <w:bidi w:val="0"/>
              <w:spacing w:before="0" w:after="283"/>
              <w:jc w:val="center"/>
              <w:rPr/>
            </w:pPr>
            <w:r>
              <w:rPr/>
              <w:t> </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235</w:t>
            </w:r>
          </w:p>
        </w:tc>
        <w:tc>
          <w:tcPr>
            <w:tcW w:w="1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$78,155</w:t>
            </w:r>
          </w:p>
        </w:tc>
        <w:tc>
          <w:tcPr>
            <w:tcW w:w="1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6.6%</w:t>
            </w:r>
          </w:p>
        </w:tc>
        <w:tc>
          <w:tcPr>
            <w:tcW w:w="1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6"/>
        </w:rPr>
      </w:pPr>
      <w:r>
        <w:rPr>
          <w:rFonts w:ascii="Arial" w:hAnsi="Arial"/>
          <w:b/>
          <w:color w:val="000000"/>
          <w:sz w:val="16"/>
        </w:rPr>
        <w:t>Dispositions: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2"/>
        <w:gridCol w:w="1418"/>
        <w:gridCol w:w="1160"/>
        <w:gridCol w:w="1055"/>
        <w:gridCol w:w="672"/>
        <w:gridCol w:w="1854"/>
        <w:gridCol w:w="1604"/>
        <w:gridCol w:w="1830"/>
      </w:tblGrid>
      <w:tr>
        <w:trPr/>
        <w:tc>
          <w:tcPr>
            <w:tcW w:w="6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ahoma;sans-serif" w:hAnsi="Tahoma;sans-serif"/>
                <w:b/>
                <w:color w:val="000000"/>
                <w:sz w:val="16"/>
              </w:rPr>
            </w:pPr>
            <w:r>
              <w:rPr>
                <w:rFonts w:ascii="Tahoma;sans-serif" w:hAnsi="Tahoma;sans-serif"/>
                <w:b/>
                <w:color w:val="000000"/>
                <w:sz w:val="16"/>
              </w:rPr>
              <w:t>Date</w:t>
            </w:r>
          </w:p>
        </w:tc>
        <w:tc>
          <w:tcPr>
            <w:tcW w:w="1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Property Name</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Real Estate Partner</w:t>
              <w:br/>
              <w:t>(REG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Market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GLA</w:t>
            </w:r>
          </w:p>
        </w:tc>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Regency's Share of Purchase Price</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Weighted Average Cap Rate</w:t>
            </w:r>
          </w:p>
        </w:tc>
        <w:tc>
          <w:tcPr>
            <w:tcW w:w="18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ahoma;sans-serif" w:hAnsi="Tahoma;sans-serif"/>
                <w:b/>
                <w:color w:val="000000"/>
                <w:sz w:val="16"/>
              </w:rPr>
            </w:pPr>
            <w:r>
              <w:rPr>
                <w:rFonts w:ascii="Tahoma;sans-serif" w:hAnsi="Tahoma;sans-serif"/>
                <w:b/>
                <w:color w:val="000000"/>
                <w:sz w:val="16"/>
              </w:rPr>
              <w:t>Anchor(s)</w:t>
            </w:r>
          </w:p>
        </w:tc>
      </w:tr>
      <w:tr>
        <w:trPr/>
        <w:tc>
          <w:tcPr>
            <w:tcW w:w="612" w:type="dxa"/>
            <w:tcBorders/>
            <w:shd w:fill="FFFFFF" w:val="clear"/>
            <w:vAlign w:val="center"/>
          </w:tcPr>
          <w:p>
            <w:pPr>
              <w:pStyle w:val="TableContents"/>
              <w:bidi w:val="0"/>
              <w:spacing w:before="0" w:after="283"/>
              <w:ind w:left="0" w:right="0" w:firstLine="100"/>
              <w:jc w:val="left"/>
              <w:rPr/>
            </w:pPr>
            <w:r>
              <w:rPr/>
              <w:t> </w:t>
            </w:r>
          </w:p>
        </w:tc>
        <w:tc>
          <w:tcPr>
            <w:tcW w:w="1418" w:type="dxa"/>
            <w:tcBorders/>
            <w:shd w:fill="FFFFFF" w:val="clear"/>
            <w:vAlign w:val="center"/>
          </w:tcPr>
          <w:p>
            <w:pPr>
              <w:pStyle w:val="TableContents"/>
              <w:bidi w:val="0"/>
              <w:spacing w:before="0" w:after="283"/>
              <w:jc w:val="center"/>
              <w:rPr/>
            </w:pPr>
            <w:r>
              <w:rPr/>
              <w:t> </w:t>
            </w:r>
          </w:p>
        </w:tc>
        <w:tc>
          <w:tcPr>
            <w:tcW w:w="11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pPr>
            <w:r>
              <w:rPr/>
              <w:t> </w:t>
            </w:r>
          </w:p>
        </w:tc>
        <w:tc>
          <w:tcPr>
            <w:tcW w:w="672" w:type="dxa"/>
            <w:tcBorders/>
            <w:shd w:fill="FFFFFF" w:val="clear"/>
            <w:vAlign w:val="center"/>
          </w:tcPr>
          <w:p>
            <w:pPr>
              <w:pStyle w:val="TableContents"/>
              <w:bidi w:val="0"/>
              <w:spacing w:before="0" w:after="283"/>
              <w:jc w:val="center"/>
              <w:rPr/>
            </w:pPr>
            <w:r>
              <w:rPr/>
              <w:t> </w:t>
            </w:r>
          </w:p>
        </w:tc>
        <w:tc>
          <w:tcPr>
            <w:tcW w:w="1854" w:type="dxa"/>
            <w:tcBorders/>
            <w:shd w:fill="FFFFFF" w:val="clear"/>
            <w:vAlign w:val="center"/>
          </w:tcPr>
          <w:p>
            <w:pPr>
              <w:pStyle w:val="TableContents"/>
              <w:bidi w:val="0"/>
              <w:spacing w:before="0" w:after="283"/>
              <w:jc w:val="center"/>
              <w:rPr/>
            </w:pPr>
            <w:r>
              <w:rPr/>
              <w:t> </w:t>
            </w:r>
          </w:p>
        </w:tc>
        <w:tc>
          <w:tcPr>
            <w:tcW w:w="1604" w:type="dxa"/>
            <w:tcBorders/>
            <w:shd w:fill="FFFFFF" w:val="cle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pPr>
            <w:r>
              <w:rPr/>
              <w:t> </w:t>
            </w:r>
          </w:p>
        </w:tc>
      </w:tr>
      <w:tr>
        <w:trPr/>
        <w:tc>
          <w:tcPr>
            <w:tcW w:w="61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Jan-24</w:t>
            </w:r>
          </w:p>
        </w:tc>
        <w:tc>
          <w:tcPr>
            <w:tcW w:w="141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Glengary Shoppes</w:t>
            </w:r>
          </w:p>
        </w:tc>
        <w:tc>
          <w:tcPr>
            <w:tcW w:w="1160" w:type="dxa"/>
            <w:tcBorders/>
            <w:shd w:fill="FFFFFF" w:val="clear"/>
            <w:vAlign w:val="center"/>
          </w:tcPr>
          <w:p>
            <w:pPr>
              <w:pStyle w:val="TableContents"/>
              <w:bidi w:val="0"/>
              <w:spacing w:before="0" w:after="283"/>
              <w:jc w:val="left"/>
              <w:rPr>
                <w:sz w:val="4"/>
                <w:szCs w:val="4"/>
              </w:rPr>
            </w:pPr>
            <w:r>
              <w:rPr>
                <w:sz w:val="4"/>
                <w:szCs w:val="4"/>
              </w:rPr>
            </w:r>
          </w:p>
        </w:tc>
        <w:tc>
          <w:tcPr>
            <w:tcW w:w="105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Tampa</w:t>
            </w:r>
          </w:p>
        </w:tc>
        <w:tc>
          <w:tcPr>
            <w:tcW w:w="67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93</w:t>
            </w:r>
          </w:p>
        </w:tc>
        <w:tc>
          <w:tcPr>
            <w:tcW w:w="1854"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$30,500</w:t>
            </w:r>
          </w:p>
        </w:tc>
        <w:tc>
          <w:tcPr>
            <w:tcW w:w="1604" w:type="dxa"/>
            <w:tcBorders/>
            <w:shd w:fill="FFFFFF" w:val="cle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Best Buy, Barnes &amp; Noble</w:t>
            </w:r>
          </w:p>
        </w:tc>
      </w:tr>
      <w:tr>
        <w:trPr/>
        <w:tc>
          <w:tcPr>
            <w:tcW w:w="612" w:type="dxa"/>
            <w:tcBorders/>
            <w:shd w:fill="FFFFFF" w:val="clear"/>
            <w:vAlign w:val="center"/>
          </w:tcPr>
          <w:p>
            <w:pPr>
              <w:pStyle w:val="TableContents"/>
              <w:bidi w:val="0"/>
              <w:spacing w:before="0" w:after="283"/>
              <w:jc w:val="center"/>
              <w:rPr/>
            </w:pPr>
            <w:r>
              <w:rPr/>
              <w:t> </w:t>
            </w:r>
          </w:p>
        </w:tc>
        <w:tc>
          <w:tcPr>
            <w:tcW w:w="1418" w:type="dxa"/>
            <w:tcBorders/>
            <w:shd w:fill="FFFFFF" w:val="clear"/>
            <w:vAlign w:val="center"/>
          </w:tcPr>
          <w:p>
            <w:pPr>
              <w:pStyle w:val="TableContents"/>
              <w:bidi w:val="0"/>
              <w:spacing w:before="0" w:after="283"/>
              <w:jc w:val="center"/>
              <w:rPr/>
            </w:pPr>
            <w:r>
              <w:rPr/>
              <w:t> </w:t>
            </w:r>
          </w:p>
        </w:tc>
        <w:tc>
          <w:tcPr>
            <w:tcW w:w="11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pPr>
            <w:r>
              <w:rPr/>
              <w:t> </w:t>
            </w:r>
          </w:p>
        </w:tc>
        <w:tc>
          <w:tcPr>
            <w:tcW w:w="672" w:type="dxa"/>
            <w:tcBorders/>
            <w:shd w:fill="FFFFFF" w:val="clear"/>
            <w:vAlign w:val="center"/>
          </w:tcPr>
          <w:p>
            <w:pPr>
              <w:pStyle w:val="TableContents"/>
              <w:bidi w:val="0"/>
              <w:spacing w:before="0" w:after="283"/>
              <w:jc w:val="center"/>
              <w:rPr/>
            </w:pPr>
            <w:r>
              <w:rPr/>
              <w:t> </w:t>
            </w:r>
          </w:p>
        </w:tc>
        <w:tc>
          <w:tcPr>
            <w:tcW w:w="1854" w:type="dxa"/>
            <w:tcBorders/>
            <w:shd w:fill="FFFFFF" w:val="clear"/>
            <w:vAlign w:val="center"/>
          </w:tcPr>
          <w:p>
            <w:pPr>
              <w:pStyle w:val="TableContents"/>
              <w:bidi w:val="0"/>
              <w:spacing w:before="0" w:after="283"/>
              <w:jc w:val="center"/>
              <w:rPr/>
            </w:pPr>
            <w:r>
              <w:rPr/>
              <w:t> </w:t>
            </w:r>
          </w:p>
        </w:tc>
        <w:tc>
          <w:tcPr>
            <w:tcW w:w="1604" w:type="dxa"/>
            <w:tcBorders/>
            <w:shd w:fill="FFFFFF" w:val="cle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pPr>
            <w:r>
              <w:rPr/>
              <w:t> </w:t>
            </w:r>
          </w:p>
        </w:tc>
      </w:tr>
      <w:tr>
        <w:trPr/>
        <w:tc>
          <w:tcPr>
            <w:tcW w:w="61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Apr-24</w:t>
            </w:r>
          </w:p>
        </w:tc>
        <w:tc>
          <w:tcPr>
            <w:tcW w:w="141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Tamarac Town Square</w:t>
            </w:r>
          </w:p>
        </w:tc>
        <w:tc>
          <w:tcPr>
            <w:tcW w:w="1160" w:type="dxa"/>
            <w:tcBorders/>
            <w:shd w:fill="FFFFFF" w:val="clear"/>
            <w:vAlign w:val="center"/>
          </w:tcPr>
          <w:p>
            <w:pPr>
              <w:pStyle w:val="TableContents"/>
              <w:bidi w:val="0"/>
              <w:spacing w:before="0" w:after="283"/>
              <w:jc w:val="left"/>
              <w:rPr>
                <w:sz w:val="4"/>
                <w:szCs w:val="4"/>
              </w:rPr>
            </w:pPr>
            <w:r>
              <w:rPr>
                <w:sz w:val="4"/>
                <w:szCs w:val="4"/>
              </w:rPr>
            </w:r>
          </w:p>
        </w:tc>
        <w:tc>
          <w:tcPr>
            <w:tcW w:w="105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Ft. Lauderdale</w:t>
            </w:r>
          </w:p>
        </w:tc>
        <w:tc>
          <w:tcPr>
            <w:tcW w:w="67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125</w:t>
            </w:r>
          </w:p>
        </w:tc>
        <w:tc>
          <w:tcPr>
            <w:tcW w:w="1854"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$22,500</w:t>
            </w:r>
          </w:p>
        </w:tc>
        <w:tc>
          <w:tcPr>
            <w:tcW w:w="1604" w:type="dxa"/>
            <w:tcBorders/>
            <w:shd w:fill="FFFFFF" w:val="cle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Publix, Retro Fitness, Dollar Tree</w:t>
            </w:r>
          </w:p>
        </w:tc>
      </w:tr>
      <w:tr>
        <w:trPr/>
        <w:tc>
          <w:tcPr>
            <w:tcW w:w="612" w:type="dxa"/>
            <w:tcBorders/>
            <w:shd w:fill="FFFFFF" w:val="clear"/>
            <w:vAlign w:val="center"/>
          </w:tcPr>
          <w:p>
            <w:pPr>
              <w:pStyle w:val="TableContents"/>
              <w:bidi w:val="0"/>
              <w:spacing w:before="0" w:after="283"/>
              <w:jc w:val="center"/>
              <w:rPr/>
            </w:pPr>
            <w:r>
              <w:rPr/>
              <w:t> </w:t>
            </w:r>
          </w:p>
        </w:tc>
        <w:tc>
          <w:tcPr>
            <w:tcW w:w="1418" w:type="dxa"/>
            <w:tcBorders/>
            <w:shd w:fill="FFFFFF" w:val="clear"/>
            <w:vAlign w:val="center"/>
          </w:tcPr>
          <w:p>
            <w:pPr>
              <w:pStyle w:val="TableContents"/>
              <w:bidi w:val="0"/>
              <w:spacing w:before="0" w:after="283"/>
              <w:jc w:val="center"/>
              <w:rPr/>
            </w:pPr>
            <w:r>
              <w:rPr/>
              <w:t> </w:t>
            </w:r>
          </w:p>
        </w:tc>
        <w:tc>
          <w:tcPr>
            <w:tcW w:w="11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pPr>
            <w:r>
              <w:rPr/>
              <w:t> </w:t>
            </w:r>
          </w:p>
        </w:tc>
        <w:tc>
          <w:tcPr>
            <w:tcW w:w="672" w:type="dxa"/>
            <w:tcBorders/>
            <w:shd w:fill="FFFFFF" w:val="clear"/>
            <w:vAlign w:val="center"/>
          </w:tcPr>
          <w:p>
            <w:pPr>
              <w:pStyle w:val="TableContents"/>
              <w:bidi w:val="0"/>
              <w:spacing w:before="0" w:after="283"/>
              <w:jc w:val="center"/>
              <w:rPr/>
            </w:pPr>
            <w:r>
              <w:rPr/>
              <w:t> </w:t>
            </w:r>
          </w:p>
        </w:tc>
        <w:tc>
          <w:tcPr>
            <w:tcW w:w="1854" w:type="dxa"/>
            <w:tcBorders/>
            <w:shd w:fill="FFFFFF" w:val="clear"/>
            <w:vAlign w:val="center"/>
          </w:tcPr>
          <w:p>
            <w:pPr>
              <w:pStyle w:val="TableContents"/>
              <w:bidi w:val="0"/>
              <w:spacing w:before="0" w:after="283"/>
              <w:jc w:val="center"/>
              <w:rPr/>
            </w:pPr>
            <w:r>
              <w:rPr/>
              <w:t> </w:t>
            </w:r>
          </w:p>
        </w:tc>
        <w:tc>
          <w:tcPr>
            <w:tcW w:w="1604" w:type="dxa"/>
            <w:tcBorders/>
            <w:shd w:fill="FFFFFF" w:val="cle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pPr>
            <w:r>
              <w:rPr/>
              <w:t> </w:t>
            </w:r>
          </w:p>
        </w:tc>
      </w:tr>
      <w:tr>
        <w:trPr/>
        <w:tc>
          <w:tcPr>
            <w:tcW w:w="61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May-24</w:t>
            </w:r>
          </w:p>
        </w:tc>
        <w:tc>
          <w:tcPr>
            <w:tcW w:w="141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Star's at Quincy</w:t>
            </w:r>
          </w:p>
        </w:tc>
        <w:tc>
          <w:tcPr>
            <w:tcW w:w="1160" w:type="dxa"/>
            <w:tcBorders/>
            <w:shd w:fill="FFFFFF" w:val="clear"/>
            <w:vAlign w:val="center"/>
          </w:tcPr>
          <w:p>
            <w:pPr>
              <w:pStyle w:val="TableContents"/>
              <w:bidi w:val="0"/>
              <w:spacing w:before="0" w:after="283"/>
              <w:jc w:val="left"/>
              <w:rPr>
                <w:sz w:val="4"/>
                <w:szCs w:val="4"/>
              </w:rPr>
            </w:pPr>
            <w:r>
              <w:rPr>
                <w:sz w:val="4"/>
                <w:szCs w:val="4"/>
              </w:rPr>
            </w:r>
          </w:p>
        </w:tc>
        <w:tc>
          <w:tcPr>
            <w:tcW w:w="105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Boston</w:t>
            </w:r>
          </w:p>
        </w:tc>
        <w:tc>
          <w:tcPr>
            <w:tcW w:w="67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101</w:t>
            </w:r>
          </w:p>
        </w:tc>
        <w:tc>
          <w:tcPr>
            <w:tcW w:w="1854"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$41,500</w:t>
            </w:r>
          </w:p>
        </w:tc>
        <w:tc>
          <w:tcPr>
            <w:tcW w:w="1604" w:type="dxa"/>
            <w:tcBorders/>
            <w:shd w:fill="FFFFFF" w:val="cle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Star Market</w:t>
            </w:r>
          </w:p>
        </w:tc>
      </w:tr>
      <w:tr>
        <w:trPr/>
        <w:tc>
          <w:tcPr>
            <w:tcW w:w="612" w:type="dxa"/>
            <w:tcBorders/>
            <w:shd w:fill="FFFFFF" w:val="clear"/>
            <w:vAlign w:val="center"/>
          </w:tcPr>
          <w:p>
            <w:pPr>
              <w:pStyle w:val="TableContents"/>
              <w:bidi w:val="0"/>
              <w:spacing w:before="0" w:after="283"/>
              <w:jc w:val="center"/>
              <w:rPr/>
            </w:pPr>
            <w:r>
              <w:rPr/>
              <w:t> </w:t>
            </w:r>
          </w:p>
        </w:tc>
        <w:tc>
          <w:tcPr>
            <w:tcW w:w="1418" w:type="dxa"/>
            <w:tcBorders/>
            <w:shd w:fill="FFFFFF" w:val="clear"/>
            <w:vAlign w:val="center"/>
          </w:tcPr>
          <w:p>
            <w:pPr>
              <w:pStyle w:val="TableContents"/>
              <w:bidi w:val="0"/>
              <w:spacing w:before="0" w:after="283"/>
              <w:jc w:val="center"/>
              <w:rPr/>
            </w:pPr>
            <w:r>
              <w:rPr/>
              <w:t> </w:t>
            </w:r>
          </w:p>
        </w:tc>
        <w:tc>
          <w:tcPr>
            <w:tcW w:w="11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pPr>
            <w:r>
              <w:rPr/>
              <w:t> </w:t>
            </w:r>
          </w:p>
        </w:tc>
        <w:tc>
          <w:tcPr>
            <w:tcW w:w="672" w:type="dxa"/>
            <w:tcBorders/>
            <w:shd w:fill="FFFFFF" w:val="clear"/>
            <w:vAlign w:val="center"/>
          </w:tcPr>
          <w:p>
            <w:pPr>
              <w:pStyle w:val="TableContents"/>
              <w:bidi w:val="0"/>
              <w:spacing w:before="0" w:after="283"/>
              <w:jc w:val="center"/>
              <w:rPr/>
            </w:pPr>
            <w:r>
              <w:rPr/>
              <w:t> </w:t>
            </w:r>
          </w:p>
        </w:tc>
        <w:tc>
          <w:tcPr>
            <w:tcW w:w="1854" w:type="dxa"/>
            <w:tcBorders/>
            <w:shd w:fill="FFFFFF" w:val="clear"/>
            <w:vAlign w:val="center"/>
          </w:tcPr>
          <w:p>
            <w:pPr>
              <w:pStyle w:val="TableContents"/>
              <w:bidi w:val="0"/>
              <w:spacing w:before="0" w:after="283"/>
              <w:jc w:val="center"/>
              <w:rPr/>
            </w:pPr>
            <w:r>
              <w:rPr/>
              <w:t> </w:t>
            </w:r>
          </w:p>
        </w:tc>
        <w:tc>
          <w:tcPr>
            <w:tcW w:w="1604" w:type="dxa"/>
            <w:tcBorders/>
            <w:shd w:fill="FFFFFF" w:val="cle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pPr>
            <w:r>
              <w:rPr/>
              <w:t> </w:t>
            </w:r>
          </w:p>
        </w:tc>
      </w:tr>
      <w:tr>
        <w:trPr/>
        <w:tc>
          <w:tcPr>
            <w:tcW w:w="61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Aug-24</w:t>
            </w:r>
          </w:p>
        </w:tc>
        <w:tc>
          <w:tcPr>
            <w:tcW w:w="141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Fenton Marketplace</w:t>
            </w:r>
          </w:p>
        </w:tc>
        <w:tc>
          <w:tcPr>
            <w:tcW w:w="1160" w:type="dxa"/>
            <w:tcBorders/>
            <w:shd w:fill="FFFFFF" w:val="clear"/>
            <w:vAlign w:val="center"/>
          </w:tcPr>
          <w:p>
            <w:pPr>
              <w:pStyle w:val="TableContents"/>
              <w:bidi w:val="0"/>
              <w:spacing w:before="0" w:after="283"/>
              <w:jc w:val="left"/>
              <w:rPr>
                <w:sz w:val="4"/>
                <w:szCs w:val="4"/>
              </w:rPr>
            </w:pPr>
            <w:r>
              <w:rPr>
                <w:sz w:val="4"/>
                <w:szCs w:val="4"/>
              </w:rPr>
            </w:r>
          </w:p>
        </w:tc>
        <w:tc>
          <w:tcPr>
            <w:tcW w:w="105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Flint</w:t>
            </w:r>
          </w:p>
        </w:tc>
        <w:tc>
          <w:tcPr>
            <w:tcW w:w="67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w:t>
            </w:r>
          </w:p>
        </w:tc>
        <w:tc>
          <w:tcPr>
            <w:tcW w:w="1854"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$12,000</w:t>
            </w:r>
          </w:p>
        </w:tc>
        <w:tc>
          <w:tcPr>
            <w:tcW w:w="1604" w:type="dxa"/>
            <w:tcBorders/>
            <w:shd w:fill="FFFFFF" w:val="cle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Family Farm &amp; Home</w:t>
            </w:r>
          </w:p>
        </w:tc>
      </w:tr>
      <w:tr>
        <w:trPr/>
        <w:tc>
          <w:tcPr>
            <w:tcW w:w="612" w:type="dxa"/>
            <w:tcBorders/>
            <w:shd w:fill="FFFFFF" w:val="clear"/>
            <w:vAlign w:val="center"/>
          </w:tcPr>
          <w:p>
            <w:pPr>
              <w:pStyle w:val="TableContents"/>
              <w:bidi w:val="0"/>
              <w:spacing w:before="0" w:after="283"/>
              <w:jc w:val="center"/>
              <w:rPr/>
            </w:pPr>
            <w:r>
              <w:rPr/>
              <w:t> </w:t>
            </w:r>
          </w:p>
        </w:tc>
        <w:tc>
          <w:tcPr>
            <w:tcW w:w="1418" w:type="dxa"/>
            <w:tcBorders/>
            <w:shd w:fill="FFFFFF" w:val="clear"/>
            <w:vAlign w:val="center"/>
          </w:tcPr>
          <w:p>
            <w:pPr>
              <w:pStyle w:val="TableContents"/>
              <w:bidi w:val="0"/>
              <w:spacing w:before="0" w:after="283"/>
              <w:jc w:val="center"/>
              <w:rPr/>
            </w:pPr>
            <w:r>
              <w:rPr/>
              <w:t> </w:t>
            </w:r>
          </w:p>
        </w:tc>
        <w:tc>
          <w:tcPr>
            <w:tcW w:w="11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pPr>
            <w:r>
              <w:rPr/>
              <w:t> </w:t>
            </w:r>
          </w:p>
        </w:tc>
        <w:tc>
          <w:tcPr>
            <w:tcW w:w="672" w:type="dxa"/>
            <w:tcBorders/>
            <w:shd w:fill="FFFFFF" w:val="clear"/>
            <w:vAlign w:val="center"/>
          </w:tcPr>
          <w:p>
            <w:pPr>
              <w:pStyle w:val="TableContents"/>
              <w:bidi w:val="0"/>
              <w:spacing w:before="0" w:after="283"/>
              <w:jc w:val="center"/>
              <w:rPr/>
            </w:pPr>
            <w:r>
              <w:rPr/>
              <w:t> </w:t>
            </w:r>
          </w:p>
        </w:tc>
        <w:tc>
          <w:tcPr>
            <w:tcW w:w="1854" w:type="dxa"/>
            <w:tcBorders/>
            <w:shd w:fill="FFFFFF" w:val="clear"/>
            <w:vAlign w:val="center"/>
          </w:tcPr>
          <w:p>
            <w:pPr>
              <w:pStyle w:val="TableContents"/>
              <w:bidi w:val="0"/>
              <w:spacing w:before="0" w:after="283"/>
              <w:jc w:val="center"/>
              <w:rPr/>
            </w:pPr>
            <w:r>
              <w:rPr/>
              <w:t> </w:t>
            </w:r>
          </w:p>
        </w:tc>
        <w:tc>
          <w:tcPr>
            <w:tcW w:w="1604" w:type="dxa"/>
            <w:tcBorders/>
            <w:shd w:fill="FFFFFF" w:val="cle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pPr>
            <w:r>
              <w:rPr/>
              <w:t> </w:t>
            </w:r>
          </w:p>
        </w:tc>
      </w:tr>
      <w:tr>
        <w:trPr/>
        <w:tc>
          <w:tcPr>
            <w:tcW w:w="612" w:type="dxa"/>
            <w:tcBorders/>
            <w:shd w:fill="FFFFFF" w:val="clear"/>
            <w:vAlign w:val="center"/>
          </w:tcPr>
          <w:p>
            <w:pPr>
              <w:pStyle w:val="TableContents"/>
              <w:bidi w:val="0"/>
              <w:spacing w:before="0" w:after="283"/>
              <w:jc w:val="left"/>
              <w:rPr>
                <w:sz w:val="4"/>
                <w:szCs w:val="4"/>
              </w:rPr>
            </w:pPr>
            <w:r>
              <w:rPr>
                <w:sz w:val="4"/>
                <w:szCs w:val="4"/>
              </w:rPr>
            </w:r>
          </w:p>
        </w:tc>
        <w:tc>
          <w:tcPr>
            <w:tcW w:w="2578" w:type="dxa"/>
            <w:gridSpan w:val="2"/>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Property/Outparcel(s) Total</w:t>
            </w:r>
          </w:p>
        </w:tc>
        <w:tc>
          <w:tcPr>
            <w:tcW w:w="1055" w:type="dxa"/>
            <w:tcBorders/>
            <w:shd w:fill="FFFFFF" w:val="clear"/>
            <w:vAlign w:val="center"/>
          </w:tcPr>
          <w:p>
            <w:pPr>
              <w:pStyle w:val="TableContents"/>
              <w:bidi w:val="0"/>
              <w:spacing w:before="0" w:after="283"/>
              <w:jc w:val="center"/>
              <w:rPr/>
            </w:pPr>
            <w:r>
              <w:rPr/>
              <w:t> </w:t>
            </w:r>
          </w:p>
        </w:tc>
        <w:tc>
          <w:tcPr>
            <w:tcW w:w="6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416</w:t>
            </w:r>
          </w:p>
        </w:tc>
        <w:tc>
          <w:tcPr>
            <w:tcW w:w="18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$106,500</w:t>
            </w:r>
          </w:p>
        </w:tc>
        <w:tc>
          <w:tcPr>
            <w:tcW w:w="16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5.4%</w:t>
            </w:r>
          </w:p>
        </w:tc>
        <w:tc>
          <w:tcPr>
            <w:tcW w:w="1830"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20"/>
              <w:jc w:val="center"/>
              <w:rPr/>
            </w:pPr>
            <w:r>
              <w:rPr/>
              <w:t> </w:t>
            </w:r>
          </w:p>
        </w:tc>
      </w:tr>
      <w:tr>
        <w:trPr/>
        <w:tc>
          <w:tcPr>
            <w:tcW w:w="612" w:type="dxa"/>
            <w:tcBorders/>
            <w:shd w:fill="FFFFFF" w:val="clear"/>
            <w:vAlign w:val="center"/>
          </w:tcPr>
          <w:p>
            <w:pPr>
              <w:pStyle w:val="TableContents"/>
              <w:bidi w:val="0"/>
              <w:spacing w:before="0" w:after="283"/>
              <w:ind w:left="0" w:right="0" w:firstLine="320"/>
              <w:jc w:val="left"/>
              <w:rPr>
                <w:sz w:val="4"/>
                <w:szCs w:val="4"/>
              </w:rPr>
            </w:pPr>
            <w:r>
              <w:rPr>
                <w:sz w:val="4"/>
                <w:szCs w:val="4"/>
              </w:rPr>
            </w:r>
          </w:p>
        </w:tc>
        <w:tc>
          <w:tcPr>
            <w:tcW w:w="1418" w:type="dxa"/>
            <w:tcBorders/>
            <w:shd w:fill="FFFFFF" w:val="clear"/>
            <w:vAlign w:val="center"/>
          </w:tcPr>
          <w:p>
            <w:pPr>
              <w:pStyle w:val="TableContents"/>
              <w:bidi w:val="0"/>
              <w:spacing w:before="0" w:after="283"/>
              <w:jc w:val="center"/>
              <w:rPr/>
            </w:pPr>
            <w:r>
              <w:rPr/>
              <w:t> </w:t>
            </w:r>
          </w:p>
        </w:tc>
        <w:tc>
          <w:tcPr>
            <w:tcW w:w="1160" w:type="dxa"/>
            <w:tcBorders/>
            <w:shd w:fill="FFFFFF" w:val="clear"/>
            <w:vAlign w:val="center"/>
          </w:tcPr>
          <w:p>
            <w:pPr>
              <w:pStyle w:val="TableContents"/>
              <w:bidi w:val="0"/>
              <w:spacing w:before="0" w:after="283"/>
              <w:jc w:val="center"/>
              <w:rPr/>
            </w:pPr>
            <w:r>
              <w:rPr/>
              <w:t> </w:t>
            </w:r>
          </w:p>
        </w:tc>
        <w:tc>
          <w:tcPr>
            <w:tcW w:w="1055" w:type="dxa"/>
            <w:tcBorders/>
            <w:shd w:fill="FFFFFF" w:val="clear"/>
            <w:vAlign w:val="center"/>
          </w:tcPr>
          <w:p>
            <w:pPr>
              <w:pStyle w:val="TableContents"/>
              <w:bidi w:val="0"/>
              <w:spacing w:before="0" w:after="283"/>
              <w:jc w:val="center"/>
              <w:rPr/>
            </w:pPr>
            <w:r>
              <w:rPr/>
              <w:t> </w:t>
            </w:r>
          </w:p>
        </w:tc>
        <w:tc>
          <w:tcPr>
            <w:tcW w:w="672" w:type="dxa"/>
            <w:tcBorders/>
            <w:shd w:fill="FFFFFF" w:val="clear"/>
            <w:vAlign w:val="center"/>
          </w:tcPr>
          <w:p>
            <w:pPr>
              <w:pStyle w:val="TableContents"/>
              <w:bidi w:val="0"/>
              <w:spacing w:before="0" w:after="283"/>
              <w:jc w:val="center"/>
              <w:rPr/>
            </w:pPr>
            <w:r>
              <w:rPr/>
              <w:t> </w:t>
            </w:r>
          </w:p>
        </w:tc>
        <w:tc>
          <w:tcPr>
            <w:tcW w:w="1854" w:type="dxa"/>
            <w:tcBorders/>
            <w:shd w:fill="FFFFFF" w:val="clear"/>
            <w:vAlign w:val="center"/>
          </w:tcPr>
          <w:p>
            <w:pPr>
              <w:pStyle w:val="TableContents"/>
              <w:bidi w:val="0"/>
              <w:spacing w:before="0" w:after="283"/>
              <w:jc w:val="center"/>
              <w:rPr/>
            </w:pPr>
            <w:r>
              <w:rPr/>
              <w:t> </w:t>
            </w:r>
          </w:p>
        </w:tc>
        <w:tc>
          <w:tcPr>
            <w:tcW w:w="1604" w:type="dxa"/>
            <w:tcBorders/>
            <w:shd w:fill="FFFFFF" w:val="cle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pPr>
            <w:r>
              <w:rPr/>
              <w:t> </w:t>
            </w:r>
          </w:p>
        </w:tc>
      </w:tr>
      <w:tr>
        <w:trPr/>
        <w:tc>
          <w:tcPr>
            <w:tcW w:w="612" w:type="dxa"/>
            <w:tcBorders/>
            <w:shd w:fill="FFFFFF" w:val="clear"/>
            <w:vAlign w:val="center"/>
          </w:tcPr>
          <w:p>
            <w:pPr>
              <w:pStyle w:val="TableContents"/>
              <w:bidi w:val="0"/>
              <w:spacing w:before="0" w:after="283"/>
              <w:jc w:val="left"/>
              <w:rPr>
                <w:sz w:val="4"/>
                <w:szCs w:val="4"/>
              </w:rPr>
            </w:pPr>
            <w:r>
              <w:rPr>
                <w:sz w:val="4"/>
                <w:szCs w:val="4"/>
              </w:rPr>
            </w:r>
          </w:p>
        </w:tc>
        <w:tc>
          <w:tcPr>
            <w:tcW w:w="2578" w:type="dxa"/>
            <w:gridSpan w:val="2"/>
            <w:tcBorders/>
            <w:shd w:fill="FFFFFF" w:val="cle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Non-Income Producing Land Total</w:t>
            </w:r>
          </w:p>
        </w:tc>
        <w:tc>
          <w:tcPr>
            <w:tcW w:w="1055" w:type="dxa"/>
            <w:tcBorders/>
            <w:shd w:fill="FFFFFF" w:val="clear"/>
            <w:vAlign w:val="center"/>
          </w:tcPr>
          <w:p>
            <w:pPr>
              <w:pStyle w:val="TableContents"/>
              <w:bidi w:val="0"/>
              <w:spacing w:before="0" w:after="283"/>
              <w:jc w:val="center"/>
              <w:rPr/>
            </w:pPr>
            <w:r>
              <w:rPr/>
              <w:t> </w:t>
            </w:r>
          </w:p>
        </w:tc>
        <w:tc>
          <w:tcPr>
            <w:tcW w:w="672" w:type="dxa"/>
            <w:tcBorders/>
            <w:shd w:fill="FFFFFF" w:val="clear"/>
            <w:vAlign w:val="center"/>
          </w:tcPr>
          <w:p>
            <w:pPr>
              <w:pStyle w:val="TableContents"/>
              <w:bidi w:val="0"/>
              <w:spacing w:before="0" w:after="283"/>
              <w:jc w:val="center"/>
              <w:rPr/>
            </w:pPr>
            <w:r>
              <w:rPr/>
              <w:t> </w:t>
            </w:r>
          </w:p>
        </w:tc>
        <w:tc>
          <w:tcPr>
            <w:tcW w:w="1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$0</w:t>
            </w:r>
          </w:p>
        </w:tc>
        <w:tc>
          <w:tcPr>
            <w:tcW w:w="1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0"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right"/>
        <w:rPr/>
      </w:pPr>
      <w:r>
        <w:rPr/>
        <w:drawing>
          <wp:inline distT="0" distB="0" distL="0" distR="0">
            <wp:extent cx="476250" cy="2571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5" w:name="devredevinprocess"/>
      <w:bookmarkEnd w:id="25"/>
      <w:r>
        <w:rPr>
          <w:rFonts w:ascii="Tahoma;sans-serif" w:hAnsi="Tahoma;sans-serif"/>
          <w:b/>
          <w:color w:val="000000"/>
          <w:sz w:val="20"/>
        </w:rPr>
        <w:t>Summary of In-Process Developments and Redevelopments</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7"/>
        <w:gridCol w:w="930"/>
        <w:gridCol w:w="971"/>
        <w:gridCol w:w="864"/>
        <w:gridCol w:w="645"/>
        <w:gridCol w:w="1537"/>
        <w:gridCol w:w="1094"/>
        <w:gridCol w:w="860"/>
        <w:gridCol w:w="935"/>
        <w:gridCol w:w="892"/>
      </w:tblGrid>
      <w:tr>
        <w:trPr/>
        <w:tc>
          <w:tcPr>
            <w:tcW w:w="147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top w:val="single" w:sz="4" w:space="0" w:color="000000"/>
              <w:left w:val="single" w:sz="4" w:space="0" w:color="000000"/>
              <w:bottom w:val="single" w:sz="4" w:space="0" w:color="000000"/>
              <w:right w:val="single" w:sz="4" w:space="0" w:color="000000"/>
            </w:tcBorders>
            <w:shd w:fill="808080" w:val="clear"/>
            <w:vAlign w:val="center"/>
          </w:tcPr>
          <w:p>
            <w:pPr>
              <w:pStyle w:val="TableContents"/>
              <w:bidi w:val="0"/>
              <w:spacing w:before="0" w:after="283"/>
              <w:jc w:val="left"/>
              <w:rPr>
                <w:rFonts w:ascii="Times New Roman" w:hAnsi="Times New Roman"/>
                <w:sz w:val="12"/>
              </w:rPr>
            </w:pPr>
            <w:r>
              <w:rPr>
                <w:rFonts w:ascii="Tahoma;sans-serif" w:hAnsi="Tahoma;sans-serif"/>
                <w:b/>
                <w:color w:val="FFFFFF"/>
                <w:sz w:val="12"/>
              </w:rPr>
              <w:t>In-Process Developments and Redevelopments</w:t>
            </w:r>
            <w:r>
              <w:rPr>
                <w:rFonts w:ascii="Times New Roman" w:hAnsi="Times New Roman"/>
                <w:color w:val="FFFFFF"/>
                <w:sz w:val="12"/>
              </w:rPr>
              <w:t> </w:t>
            </w:r>
            <w:r>
              <w:rPr>
                <w:rFonts w:ascii="Tahoma;sans-serif" w:hAnsi="Tahoma;sans-serif"/>
                <w:b/>
                <w:color w:val="FFFFFF"/>
                <w:sz w:val="8"/>
              </w:rPr>
              <w:t>(1)</w:t>
            </w:r>
          </w:p>
        </w:tc>
      </w:tr>
      <w:tr>
        <w:trPr/>
        <w:tc>
          <w:tcPr>
            <w:tcW w:w="147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Shopping Center</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Market</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Grocer/Anchor Tenant</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Center % Leased</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Project Start</w:t>
            </w:r>
          </w:p>
        </w:tc>
        <w:tc>
          <w:tcPr>
            <w:tcW w:w="1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Est Initial Rent Commencement</w:t>
            </w:r>
            <w:r>
              <w:rPr>
                <w:rFonts w:ascii="Tahoma;sans-serif" w:hAnsi="Tahoma;sans-serif"/>
                <w:b/>
                <w:color w:val="000000"/>
                <w:sz w:val="8"/>
                <w:u w:val="single"/>
              </w:rPr>
              <w:t>(a)</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Est Stabilization Year</w:t>
            </w:r>
            <w:r>
              <w:rPr>
                <w:rFonts w:ascii="Tahoma;sans-serif" w:hAnsi="Tahoma;sans-serif"/>
                <w:b/>
                <w:color w:val="000000"/>
                <w:sz w:val="8"/>
                <w:u w:val="single"/>
              </w:rPr>
              <w:t>(b)</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Net Project Costs</w:t>
            </w:r>
            <w:r>
              <w:rPr>
                <w:rFonts w:ascii="Tahoma;sans-serif" w:hAnsi="Tahoma;sans-serif"/>
                <w:b/>
                <w:color w:val="000000"/>
                <w:sz w:val="8"/>
                <w:u w:val="single"/>
              </w:rPr>
              <w:t>(c)</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 of Costs Incurred</w:t>
            </w:r>
          </w:p>
        </w:tc>
        <w:tc>
          <w:tcPr>
            <w:tcW w:w="8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Stabilized Yield</w:t>
            </w:r>
            <w:r>
              <w:rPr>
                <w:rFonts w:ascii="Tahoma;sans-serif" w:hAnsi="Tahoma;sans-serif"/>
                <w:b/>
                <w:color w:val="000000"/>
                <w:sz w:val="8"/>
                <w:u w:val="single"/>
              </w:rPr>
              <w:t>(d)</w:t>
            </w:r>
          </w:p>
        </w:tc>
      </w:tr>
      <w:tr>
        <w:trPr/>
        <w:tc>
          <w:tcPr>
            <w:tcW w:w="1477"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Ground-up Developments</w:t>
            </w:r>
          </w:p>
        </w:tc>
        <w:tc>
          <w:tcPr>
            <w:tcW w:w="930"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73%</w:t>
            </w:r>
          </w:p>
        </w:tc>
        <w:tc>
          <w:tcPr>
            <w:tcW w:w="645"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537"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$237M</w:t>
            </w:r>
          </w:p>
        </w:tc>
        <w:tc>
          <w:tcPr>
            <w:tcW w:w="935"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38%</w:t>
            </w:r>
          </w:p>
        </w:tc>
        <w:tc>
          <w:tcPr>
            <w:tcW w:w="892"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7% +/-</w:t>
            </w:r>
          </w:p>
        </w:tc>
      </w:tr>
      <w:tr>
        <w:trPr/>
        <w:tc>
          <w:tcPr>
            <w:tcW w:w="147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Baybrook East - Phase 1B</w:t>
            </w:r>
            <w:r>
              <w:rPr>
                <w:rFonts w:ascii="Times New Roman" w:hAnsi="Times New Roman"/>
                <w:color w:val="000000"/>
                <w:sz w:val="12"/>
              </w:rPr>
              <w:t> </w:t>
            </w:r>
            <w:r>
              <w:rPr>
                <w:rFonts w:ascii="Tahoma;sans-serif" w:hAnsi="Tahoma;sans-serif"/>
                <w:color w:val="000000"/>
                <w:sz w:val="8"/>
              </w:rPr>
              <w:t>(2)(3)</w:t>
            </w:r>
          </w:p>
        </w:tc>
        <w:tc>
          <w:tcPr>
            <w:tcW w:w="930"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Houston, TX</w:t>
            </w:r>
          </w:p>
        </w:tc>
        <w:tc>
          <w:tcPr>
            <w:tcW w:w="971"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H-E-B</w:t>
            </w:r>
          </w:p>
        </w:tc>
        <w:tc>
          <w:tcPr>
            <w:tcW w:w="86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91%</w:t>
            </w:r>
          </w:p>
        </w:tc>
        <w:tc>
          <w:tcPr>
            <w:tcW w:w="64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Q2-2022</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2H-2023</w:t>
            </w:r>
          </w:p>
        </w:tc>
        <w:tc>
          <w:tcPr>
            <w:tcW w:w="109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60"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$10M</w:t>
            </w:r>
          </w:p>
        </w:tc>
        <w:tc>
          <w:tcPr>
            <w:tcW w:w="93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87%</w:t>
            </w:r>
          </w:p>
        </w:tc>
        <w:tc>
          <w:tcPr>
            <w:tcW w:w="8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 +/-</w:t>
            </w:r>
          </w:p>
        </w:tc>
      </w:tr>
      <w:tr>
        <w:trPr/>
        <w:tc>
          <w:tcPr>
            <w:tcW w:w="1477"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Sienna Grande Shops</w:t>
            </w:r>
            <w:r>
              <w:rPr>
                <w:rFonts w:ascii="Times New Roman" w:hAnsi="Times New Roman"/>
                <w:color w:val="000000"/>
                <w:sz w:val="12"/>
              </w:rPr>
              <w:t> </w:t>
            </w:r>
            <w:r>
              <w:rPr>
                <w:rFonts w:ascii="Tahoma;sans-serif" w:hAnsi="Tahoma;sans-serif"/>
                <w:color w:val="000000"/>
                <w:sz w:val="8"/>
              </w:rPr>
              <w:t>(2)(3)</w:t>
            </w:r>
          </w:p>
        </w:tc>
        <w:tc>
          <w:tcPr>
            <w:tcW w:w="930"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Houston, TX</w:t>
            </w:r>
          </w:p>
        </w:tc>
        <w:tc>
          <w:tcPr>
            <w:tcW w:w="971"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Retail</w:t>
            </w:r>
          </w:p>
        </w:tc>
        <w:tc>
          <w:tcPr>
            <w:tcW w:w="86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w:t>
            </w:r>
          </w:p>
        </w:tc>
        <w:tc>
          <w:tcPr>
            <w:tcW w:w="64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Q2-2023</w:t>
            </w:r>
          </w:p>
        </w:tc>
        <w:tc>
          <w:tcPr>
            <w:tcW w:w="1537"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1H-2025</w:t>
            </w:r>
          </w:p>
        </w:tc>
        <w:tc>
          <w:tcPr>
            <w:tcW w:w="109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0"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$9M</w:t>
            </w:r>
          </w:p>
        </w:tc>
        <w:tc>
          <w:tcPr>
            <w:tcW w:w="93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69%</w:t>
            </w:r>
          </w:p>
        </w:tc>
        <w:tc>
          <w:tcPr>
            <w:tcW w:w="892"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 +/-</w:t>
            </w:r>
          </w:p>
        </w:tc>
      </w:tr>
      <w:tr>
        <w:trPr/>
        <w:tc>
          <w:tcPr>
            <w:tcW w:w="147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The Shops at SunVet</w:t>
            </w:r>
            <w:r>
              <w:rPr>
                <w:rFonts w:ascii="Times New Roman" w:hAnsi="Times New Roman"/>
                <w:color w:val="000000"/>
                <w:sz w:val="12"/>
              </w:rPr>
              <w:t> </w:t>
            </w:r>
            <w:r>
              <w:rPr>
                <w:rFonts w:ascii="Tahoma;sans-serif" w:hAnsi="Tahoma;sans-serif"/>
                <w:color w:val="000000"/>
                <w:sz w:val="8"/>
              </w:rPr>
              <w:t>(2)</w:t>
            </w:r>
          </w:p>
        </w:tc>
        <w:tc>
          <w:tcPr>
            <w:tcW w:w="930"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Long Island, NY</w:t>
            </w:r>
          </w:p>
        </w:tc>
        <w:tc>
          <w:tcPr>
            <w:tcW w:w="971"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6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61%</w:t>
            </w:r>
          </w:p>
        </w:tc>
        <w:tc>
          <w:tcPr>
            <w:tcW w:w="64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Q2-2023</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2H-2025</w:t>
            </w:r>
          </w:p>
        </w:tc>
        <w:tc>
          <w:tcPr>
            <w:tcW w:w="109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0"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$91M</w:t>
            </w:r>
          </w:p>
        </w:tc>
        <w:tc>
          <w:tcPr>
            <w:tcW w:w="93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52%</w:t>
            </w:r>
          </w:p>
        </w:tc>
        <w:tc>
          <w:tcPr>
            <w:tcW w:w="8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477"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The Shops at Stone Bridge</w:t>
            </w:r>
            <w:r>
              <w:rPr>
                <w:rFonts w:ascii="Times New Roman" w:hAnsi="Times New Roman"/>
                <w:color w:val="000000"/>
                <w:sz w:val="12"/>
              </w:rPr>
              <w:t> </w:t>
            </w:r>
            <w:r>
              <w:rPr>
                <w:rFonts w:ascii="Tahoma;sans-serif" w:hAnsi="Tahoma;sans-serif"/>
                <w:color w:val="000000"/>
                <w:sz w:val="8"/>
              </w:rPr>
              <w:t>(2)</w:t>
            </w:r>
          </w:p>
        </w:tc>
        <w:tc>
          <w:tcPr>
            <w:tcW w:w="930"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Cheshire, CT</w:t>
            </w:r>
          </w:p>
        </w:tc>
        <w:tc>
          <w:tcPr>
            <w:tcW w:w="971"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6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74%</w:t>
            </w:r>
          </w:p>
        </w:tc>
        <w:tc>
          <w:tcPr>
            <w:tcW w:w="64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Q1-2024</w:t>
            </w:r>
          </w:p>
        </w:tc>
        <w:tc>
          <w:tcPr>
            <w:tcW w:w="1537"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1H-2026</w:t>
            </w:r>
          </w:p>
        </w:tc>
        <w:tc>
          <w:tcPr>
            <w:tcW w:w="109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0"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$68M</w:t>
            </w:r>
          </w:p>
        </w:tc>
        <w:tc>
          <w:tcPr>
            <w:tcW w:w="93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w:t>
            </w:r>
          </w:p>
        </w:tc>
        <w:tc>
          <w:tcPr>
            <w:tcW w:w="892"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47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Jordan Ranch Market</w:t>
            </w:r>
            <w:r>
              <w:rPr>
                <w:rFonts w:ascii="Times New Roman" w:hAnsi="Times New Roman"/>
                <w:color w:val="000000"/>
                <w:sz w:val="12"/>
              </w:rPr>
              <w:t> </w:t>
            </w:r>
            <w:r>
              <w:rPr>
                <w:rFonts w:ascii="Tahoma;sans-serif" w:hAnsi="Tahoma;sans-serif"/>
                <w:color w:val="000000"/>
                <w:sz w:val="8"/>
              </w:rPr>
              <w:t>(2)(3)</w:t>
            </w:r>
          </w:p>
        </w:tc>
        <w:tc>
          <w:tcPr>
            <w:tcW w:w="930"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Houston, TX</w:t>
            </w:r>
          </w:p>
        </w:tc>
        <w:tc>
          <w:tcPr>
            <w:tcW w:w="971"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H-E-B</w:t>
            </w:r>
          </w:p>
        </w:tc>
        <w:tc>
          <w:tcPr>
            <w:tcW w:w="86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83%</w:t>
            </w:r>
          </w:p>
        </w:tc>
        <w:tc>
          <w:tcPr>
            <w:tcW w:w="64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Q3-2024</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1H-2026</w:t>
            </w:r>
          </w:p>
        </w:tc>
        <w:tc>
          <w:tcPr>
            <w:tcW w:w="109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0"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$23M</w:t>
            </w:r>
          </w:p>
        </w:tc>
        <w:tc>
          <w:tcPr>
            <w:tcW w:w="93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w:t>
            </w:r>
          </w:p>
        </w:tc>
        <w:tc>
          <w:tcPr>
            <w:tcW w:w="8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477" w:type="dxa"/>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Oakley Shops at Laurel Fields</w:t>
            </w:r>
            <w:r>
              <w:rPr>
                <w:rFonts w:ascii="Times New Roman" w:hAnsi="Times New Roman"/>
                <w:color w:val="000000"/>
                <w:sz w:val="12"/>
              </w:rPr>
              <w:t> </w:t>
            </w:r>
            <w:r>
              <w:rPr>
                <w:rFonts w:ascii="Tahoma;sans-serif" w:hAnsi="Tahoma;sans-serif"/>
                <w:color w:val="000000"/>
                <w:sz w:val="8"/>
              </w:rPr>
              <w:t>(2)</w:t>
            </w:r>
          </w:p>
        </w:tc>
        <w:tc>
          <w:tcPr>
            <w:tcW w:w="93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Bay Area, CA</w:t>
            </w:r>
          </w:p>
        </w:tc>
        <w:tc>
          <w:tcPr>
            <w:tcW w:w="9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Safeway</w:t>
            </w:r>
          </w:p>
        </w:tc>
        <w:tc>
          <w:tcPr>
            <w:tcW w:w="86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74%</w:t>
            </w:r>
          </w:p>
        </w:tc>
        <w:tc>
          <w:tcPr>
            <w:tcW w:w="64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Q3-2024</w:t>
            </w:r>
          </w:p>
        </w:tc>
        <w:tc>
          <w:tcPr>
            <w:tcW w:w="15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1H-2026</w:t>
            </w:r>
          </w:p>
        </w:tc>
        <w:tc>
          <w:tcPr>
            <w:tcW w:w="10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$35M</w:t>
            </w:r>
          </w:p>
        </w:tc>
        <w:tc>
          <w:tcPr>
            <w:tcW w:w="9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c>
          <w:tcPr>
            <w:tcW w:w="892"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477"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Redevelopments</w:t>
            </w:r>
          </w:p>
        </w:tc>
        <w:tc>
          <w:tcPr>
            <w:tcW w:w="930"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94%</w:t>
            </w:r>
          </w:p>
        </w:tc>
        <w:tc>
          <w:tcPr>
            <w:tcW w:w="645"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537"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$382M</w:t>
            </w:r>
          </w:p>
        </w:tc>
        <w:tc>
          <w:tcPr>
            <w:tcW w:w="935"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52%</w:t>
            </w:r>
          </w:p>
        </w:tc>
        <w:tc>
          <w:tcPr>
            <w:tcW w:w="892"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10% +/-</w:t>
            </w:r>
          </w:p>
        </w:tc>
      </w:tr>
      <w:tr>
        <w:trPr/>
        <w:tc>
          <w:tcPr>
            <w:tcW w:w="147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Abbot</w:t>
            </w:r>
          </w:p>
        </w:tc>
        <w:tc>
          <w:tcPr>
            <w:tcW w:w="930"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Boston, MA</w:t>
            </w:r>
          </w:p>
        </w:tc>
        <w:tc>
          <w:tcPr>
            <w:tcW w:w="971"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Retail / Office Users</w:t>
            </w:r>
          </w:p>
        </w:tc>
        <w:tc>
          <w:tcPr>
            <w:tcW w:w="86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72%</w:t>
            </w:r>
          </w:p>
        </w:tc>
        <w:tc>
          <w:tcPr>
            <w:tcW w:w="64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Q2-2019</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2H-2022</w:t>
            </w:r>
          </w:p>
        </w:tc>
        <w:tc>
          <w:tcPr>
            <w:tcW w:w="109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60"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$60M</w:t>
            </w:r>
          </w:p>
        </w:tc>
        <w:tc>
          <w:tcPr>
            <w:tcW w:w="93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94%</w:t>
            </w:r>
          </w:p>
        </w:tc>
        <w:tc>
          <w:tcPr>
            <w:tcW w:w="8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 +/-</w:t>
            </w:r>
          </w:p>
        </w:tc>
      </w:tr>
      <w:tr>
        <w:trPr/>
        <w:tc>
          <w:tcPr>
            <w:tcW w:w="1477"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Westbard Square - Phase 1</w:t>
            </w:r>
            <w:r>
              <w:rPr>
                <w:rFonts w:ascii="Times New Roman" w:hAnsi="Times New Roman"/>
                <w:color w:val="000000"/>
                <w:sz w:val="12"/>
              </w:rPr>
              <w:t> </w:t>
            </w:r>
            <w:r>
              <w:rPr>
                <w:rFonts w:ascii="Tahoma;sans-serif" w:hAnsi="Tahoma;sans-serif"/>
                <w:color w:val="000000"/>
                <w:sz w:val="8"/>
              </w:rPr>
              <w:t>(4)(5)</w:t>
            </w:r>
          </w:p>
        </w:tc>
        <w:tc>
          <w:tcPr>
            <w:tcW w:w="930"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Bethesda, MD</w:t>
            </w:r>
          </w:p>
        </w:tc>
        <w:tc>
          <w:tcPr>
            <w:tcW w:w="971"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Giant</w:t>
            </w:r>
          </w:p>
        </w:tc>
        <w:tc>
          <w:tcPr>
            <w:tcW w:w="86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w:t>
            </w:r>
          </w:p>
        </w:tc>
        <w:tc>
          <w:tcPr>
            <w:tcW w:w="64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Q2-2021</w:t>
            </w:r>
          </w:p>
        </w:tc>
        <w:tc>
          <w:tcPr>
            <w:tcW w:w="1537"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2H-2023</w:t>
            </w:r>
          </w:p>
        </w:tc>
        <w:tc>
          <w:tcPr>
            <w:tcW w:w="109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2025</w:t>
            </w:r>
          </w:p>
        </w:tc>
        <w:tc>
          <w:tcPr>
            <w:tcW w:w="860"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$39M</w:t>
            </w:r>
          </w:p>
        </w:tc>
        <w:tc>
          <w:tcPr>
            <w:tcW w:w="93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81%</w:t>
            </w:r>
          </w:p>
        </w:tc>
        <w:tc>
          <w:tcPr>
            <w:tcW w:w="892"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 +/-</w:t>
            </w:r>
          </w:p>
        </w:tc>
      </w:tr>
      <w:tr>
        <w:trPr/>
        <w:tc>
          <w:tcPr>
            <w:tcW w:w="147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Buckhead Landing</w:t>
            </w:r>
          </w:p>
        </w:tc>
        <w:tc>
          <w:tcPr>
            <w:tcW w:w="930"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Atlanta, GA</w:t>
            </w:r>
          </w:p>
        </w:tc>
        <w:tc>
          <w:tcPr>
            <w:tcW w:w="971"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Publix</w:t>
            </w:r>
          </w:p>
        </w:tc>
        <w:tc>
          <w:tcPr>
            <w:tcW w:w="86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w:t>
            </w:r>
          </w:p>
        </w:tc>
        <w:tc>
          <w:tcPr>
            <w:tcW w:w="64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Q2-2022</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2H-2024</w:t>
            </w:r>
          </w:p>
        </w:tc>
        <w:tc>
          <w:tcPr>
            <w:tcW w:w="109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2025</w:t>
            </w:r>
          </w:p>
        </w:tc>
        <w:tc>
          <w:tcPr>
            <w:tcW w:w="860"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$31M</w:t>
            </w:r>
          </w:p>
        </w:tc>
        <w:tc>
          <w:tcPr>
            <w:tcW w:w="93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84%</w:t>
            </w:r>
          </w:p>
        </w:tc>
        <w:tc>
          <w:tcPr>
            <w:tcW w:w="8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477"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Bloom on Third</w:t>
            </w:r>
            <w:r>
              <w:rPr>
                <w:rFonts w:ascii="Times New Roman" w:hAnsi="Times New Roman"/>
                <w:color w:val="000000"/>
                <w:sz w:val="12"/>
              </w:rPr>
              <w:t> </w:t>
            </w:r>
            <w:r>
              <w:rPr>
                <w:rFonts w:ascii="Tahoma;sans-serif" w:hAnsi="Tahoma;sans-serif"/>
                <w:color w:val="000000"/>
                <w:sz w:val="8"/>
              </w:rPr>
              <w:t>(3)(4)</w:t>
            </w:r>
          </w:p>
        </w:tc>
        <w:tc>
          <w:tcPr>
            <w:tcW w:w="930"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Los Angeles, CA</w:t>
            </w:r>
          </w:p>
        </w:tc>
        <w:tc>
          <w:tcPr>
            <w:tcW w:w="971"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6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w:t>
            </w:r>
          </w:p>
        </w:tc>
        <w:tc>
          <w:tcPr>
            <w:tcW w:w="64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Q4-2022</w:t>
            </w:r>
          </w:p>
        </w:tc>
        <w:tc>
          <w:tcPr>
            <w:tcW w:w="1537"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2H-2026</w:t>
            </w:r>
          </w:p>
        </w:tc>
        <w:tc>
          <w:tcPr>
            <w:tcW w:w="109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0"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$25M</w:t>
            </w:r>
          </w:p>
        </w:tc>
        <w:tc>
          <w:tcPr>
            <w:tcW w:w="93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w:t>
            </w:r>
          </w:p>
        </w:tc>
        <w:tc>
          <w:tcPr>
            <w:tcW w:w="892"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 +/-</w:t>
            </w:r>
          </w:p>
        </w:tc>
      </w:tr>
      <w:tr>
        <w:trPr/>
        <w:tc>
          <w:tcPr>
            <w:tcW w:w="147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Mandarin Landing</w:t>
            </w:r>
          </w:p>
        </w:tc>
        <w:tc>
          <w:tcPr>
            <w:tcW w:w="930"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Jacksonville, FL</w:t>
            </w:r>
          </w:p>
        </w:tc>
        <w:tc>
          <w:tcPr>
            <w:tcW w:w="971"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6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100%</w:t>
            </w:r>
          </w:p>
        </w:tc>
        <w:tc>
          <w:tcPr>
            <w:tcW w:w="64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Q2-2023</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1H-2024</w:t>
            </w:r>
          </w:p>
        </w:tc>
        <w:tc>
          <w:tcPr>
            <w:tcW w:w="109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2025</w:t>
            </w:r>
          </w:p>
        </w:tc>
        <w:tc>
          <w:tcPr>
            <w:tcW w:w="860"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$16M</w:t>
            </w:r>
          </w:p>
        </w:tc>
        <w:tc>
          <w:tcPr>
            <w:tcW w:w="93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55%</w:t>
            </w:r>
          </w:p>
        </w:tc>
        <w:tc>
          <w:tcPr>
            <w:tcW w:w="8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 +/-</w:t>
            </w:r>
          </w:p>
        </w:tc>
      </w:tr>
      <w:tr>
        <w:trPr/>
        <w:tc>
          <w:tcPr>
            <w:tcW w:w="1477"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Serramonte Center - Phase 3</w:t>
            </w:r>
          </w:p>
        </w:tc>
        <w:tc>
          <w:tcPr>
            <w:tcW w:w="930"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San Francisco, CA</w:t>
            </w:r>
          </w:p>
        </w:tc>
        <w:tc>
          <w:tcPr>
            <w:tcW w:w="971"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Jagalchi</w:t>
            </w:r>
          </w:p>
        </w:tc>
        <w:tc>
          <w:tcPr>
            <w:tcW w:w="86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w:t>
            </w:r>
          </w:p>
        </w:tc>
        <w:tc>
          <w:tcPr>
            <w:tcW w:w="64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Q2-2023</w:t>
            </w:r>
          </w:p>
        </w:tc>
        <w:tc>
          <w:tcPr>
            <w:tcW w:w="1537"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1H-2025</w:t>
            </w:r>
          </w:p>
        </w:tc>
        <w:tc>
          <w:tcPr>
            <w:tcW w:w="109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2025</w:t>
            </w:r>
          </w:p>
        </w:tc>
        <w:tc>
          <w:tcPr>
            <w:tcW w:w="860"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$37M</w:t>
            </w:r>
          </w:p>
        </w:tc>
        <w:tc>
          <w:tcPr>
            <w:tcW w:w="93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c>
          <w:tcPr>
            <w:tcW w:w="892"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 +/-</w:t>
            </w:r>
          </w:p>
        </w:tc>
      </w:tr>
      <w:tr>
        <w:trPr/>
        <w:tc>
          <w:tcPr>
            <w:tcW w:w="147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Circle Marina Center</w:t>
            </w:r>
          </w:p>
        </w:tc>
        <w:tc>
          <w:tcPr>
            <w:tcW w:w="930"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Los Angeles, CA</w:t>
            </w:r>
          </w:p>
        </w:tc>
        <w:tc>
          <w:tcPr>
            <w:tcW w:w="971"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Sprouts</w:t>
            </w:r>
          </w:p>
        </w:tc>
        <w:tc>
          <w:tcPr>
            <w:tcW w:w="86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83%</w:t>
            </w:r>
          </w:p>
        </w:tc>
        <w:tc>
          <w:tcPr>
            <w:tcW w:w="64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Q3-2023</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2H-2024</w:t>
            </w:r>
          </w:p>
        </w:tc>
        <w:tc>
          <w:tcPr>
            <w:tcW w:w="109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2025</w:t>
            </w:r>
          </w:p>
        </w:tc>
        <w:tc>
          <w:tcPr>
            <w:tcW w:w="860"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$15M</w:t>
            </w:r>
          </w:p>
        </w:tc>
        <w:tc>
          <w:tcPr>
            <w:tcW w:w="93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w:t>
            </w:r>
          </w:p>
        </w:tc>
        <w:tc>
          <w:tcPr>
            <w:tcW w:w="8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 +/-</w:t>
            </w:r>
          </w:p>
        </w:tc>
      </w:tr>
      <w:tr>
        <w:trPr/>
        <w:tc>
          <w:tcPr>
            <w:tcW w:w="1477"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Avenida Biscayne</w:t>
            </w:r>
          </w:p>
        </w:tc>
        <w:tc>
          <w:tcPr>
            <w:tcW w:w="930"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Miami, FL</w:t>
            </w:r>
          </w:p>
        </w:tc>
        <w:tc>
          <w:tcPr>
            <w:tcW w:w="971"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Retail</w:t>
            </w:r>
          </w:p>
        </w:tc>
        <w:tc>
          <w:tcPr>
            <w:tcW w:w="86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w:t>
            </w:r>
          </w:p>
        </w:tc>
        <w:tc>
          <w:tcPr>
            <w:tcW w:w="64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Q4-2023</w:t>
            </w:r>
          </w:p>
        </w:tc>
        <w:tc>
          <w:tcPr>
            <w:tcW w:w="1537"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1H-2025</w:t>
            </w:r>
          </w:p>
        </w:tc>
        <w:tc>
          <w:tcPr>
            <w:tcW w:w="109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60"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$23M</w:t>
            </w:r>
          </w:p>
        </w:tc>
        <w:tc>
          <w:tcPr>
            <w:tcW w:w="93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w:t>
            </w:r>
          </w:p>
        </w:tc>
        <w:tc>
          <w:tcPr>
            <w:tcW w:w="892"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 +/-</w:t>
            </w:r>
          </w:p>
        </w:tc>
      </w:tr>
      <w:tr>
        <w:trPr/>
        <w:tc>
          <w:tcPr>
            <w:tcW w:w="147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Cambridge Square</w:t>
            </w:r>
          </w:p>
        </w:tc>
        <w:tc>
          <w:tcPr>
            <w:tcW w:w="930"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Atlanta, GA</w:t>
            </w:r>
          </w:p>
        </w:tc>
        <w:tc>
          <w:tcPr>
            <w:tcW w:w="971"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Publix</w:t>
            </w:r>
          </w:p>
        </w:tc>
        <w:tc>
          <w:tcPr>
            <w:tcW w:w="86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w:t>
            </w:r>
          </w:p>
        </w:tc>
        <w:tc>
          <w:tcPr>
            <w:tcW w:w="64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Q4-2023</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2H-2025</w:t>
            </w:r>
          </w:p>
        </w:tc>
        <w:tc>
          <w:tcPr>
            <w:tcW w:w="109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60"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$15M</w:t>
            </w:r>
          </w:p>
        </w:tc>
        <w:tc>
          <w:tcPr>
            <w:tcW w:w="93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24%</w:t>
            </w:r>
          </w:p>
        </w:tc>
        <w:tc>
          <w:tcPr>
            <w:tcW w:w="8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 +/-</w:t>
            </w:r>
          </w:p>
        </w:tc>
      </w:tr>
      <w:tr>
        <w:trPr/>
        <w:tc>
          <w:tcPr>
            <w:tcW w:w="1477"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Anastasia Plaza</w:t>
            </w:r>
          </w:p>
        </w:tc>
        <w:tc>
          <w:tcPr>
            <w:tcW w:w="930"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Jacksonville, FL</w:t>
            </w:r>
          </w:p>
        </w:tc>
        <w:tc>
          <w:tcPr>
            <w:tcW w:w="971" w:type="dxa"/>
            <w:tcBorders/>
            <w:shd w:fill="D9D9D9"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Publix</w:t>
            </w:r>
          </w:p>
        </w:tc>
        <w:tc>
          <w:tcPr>
            <w:tcW w:w="86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w:t>
            </w:r>
          </w:p>
        </w:tc>
        <w:tc>
          <w:tcPr>
            <w:tcW w:w="64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Q3-2024</w:t>
            </w:r>
          </w:p>
        </w:tc>
        <w:tc>
          <w:tcPr>
            <w:tcW w:w="1537"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2H-2025</w:t>
            </w:r>
          </w:p>
        </w:tc>
        <w:tc>
          <w:tcPr>
            <w:tcW w:w="1094"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60"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$16M</w:t>
            </w:r>
          </w:p>
        </w:tc>
        <w:tc>
          <w:tcPr>
            <w:tcW w:w="935" w:type="dxa"/>
            <w:tcBorders/>
            <w:shd w:fill="D9D9D9"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w:t>
            </w:r>
          </w:p>
        </w:tc>
        <w:tc>
          <w:tcPr>
            <w:tcW w:w="892"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 +/-</w:t>
            </w:r>
          </w:p>
        </w:tc>
      </w:tr>
      <w:tr>
        <w:trPr/>
        <w:tc>
          <w:tcPr>
            <w:tcW w:w="147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East Meadow Plaza - Phase 1</w:t>
            </w:r>
          </w:p>
        </w:tc>
        <w:tc>
          <w:tcPr>
            <w:tcW w:w="930"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Long Island, NY</w:t>
            </w:r>
          </w:p>
        </w:tc>
        <w:tc>
          <w:tcPr>
            <w:tcW w:w="971" w:type="dxa"/>
            <w:tcBorders/>
            <w:shd w:fill="FFFFFF" w:val="cle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Lidl</w:t>
            </w:r>
          </w:p>
        </w:tc>
        <w:tc>
          <w:tcPr>
            <w:tcW w:w="86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62%</w:t>
            </w:r>
          </w:p>
        </w:tc>
        <w:tc>
          <w:tcPr>
            <w:tcW w:w="64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Q3-2024</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2H-2025</w:t>
            </w:r>
          </w:p>
        </w:tc>
        <w:tc>
          <w:tcPr>
            <w:tcW w:w="1094"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60"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$12M</w:t>
            </w:r>
          </w:p>
        </w:tc>
        <w:tc>
          <w:tcPr>
            <w:tcW w:w="935" w:type="dxa"/>
            <w:tcBorders/>
            <w:shd w:fill="FFFFFF" w:val="cle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c>
          <w:tcPr>
            <w:tcW w:w="89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 +/-</w:t>
            </w:r>
          </w:p>
        </w:tc>
      </w:tr>
      <w:tr>
        <w:trPr/>
        <w:tc>
          <w:tcPr>
            <w:tcW w:w="3378" w:type="dxa"/>
            <w:gridSpan w:val="3"/>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Various Redevelopments (est costs &lt; $10 million individually)</w:t>
            </w:r>
          </w:p>
        </w:tc>
        <w:tc>
          <w:tcPr>
            <w:tcW w:w="86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w:t>
            </w:r>
          </w:p>
        </w:tc>
        <w:tc>
          <w:tcPr>
            <w:tcW w:w="64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15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10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86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$93M</w:t>
            </w:r>
          </w:p>
        </w:tc>
        <w:tc>
          <w:tcPr>
            <w:tcW w:w="9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w:t>
            </w:r>
          </w:p>
        </w:tc>
        <w:tc>
          <w:tcPr>
            <w:tcW w:w="892"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 +/-</w:t>
            </w:r>
          </w:p>
        </w:tc>
      </w:tr>
      <w:tr>
        <w:trPr/>
        <w:tc>
          <w:tcPr>
            <w:tcW w:w="3378" w:type="dxa"/>
            <w:gridSpan w:val="3"/>
            <w:tcBorders>
              <w:left w:val="single" w:sz="4" w:space="0" w:color="000000"/>
              <w:bottom w:val="single" w:sz="4" w:space="0" w:color="000000"/>
            </w:tcBorders>
            <w:shd w:fill="181717"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Total In-Process (In Construction)</w:t>
            </w:r>
          </w:p>
        </w:tc>
        <w:tc>
          <w:tcPr>
            <w:tcW w:w="864"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92%</w:t>
            </w:r>
          </w:p>
        </w:tc>
        <w:tc>
          <w:tcPr>
            <w:tcW w:w="645"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1537"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1094"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860"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$618M</w:t>
            </w:r>
          </w:p>
        </w:tc>
        <w:tc>
          <w:tcPr>
            <w:tcW w:w="935"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47%</w:t>
            </w:r>
          </w:p>
        </w:tc>
        <w:tc>
          <w:tcPr>
            <w:tcW w:w="892" w:type="dxa"/>
            <w:tcBorders>
              <w:bottom w:val="single" w:sz="4" w:space="0" w:color="000000"/>
              <w:right w:val="single" w:sz="4" w:space="0" w:color="000000"/>
            </w:tcBorders>
            <w:shd w:fill="181717"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9%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4"/>
        <w:gridCol w:w="908"/>
        <w:gridCol w:w="908"/>
        <w:gridCol w:w="908"/>
        <w:gridCol w:w="908"/>
        <w:gridCol w:w="908"/>
        <w:gridCol w:w="908"/>
        <w:gridCol w:w="908"/>
        <w:gridCol w:w="908"/>
        <w:gridCol w:w="1197"/>
      </w:tblGrid>
      <w:tr>
        <w:trPr/>
        <w:tc>
          <w:tcPr>
            <w:tcW w:w="174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In-Process Development and Redevelopment Descriptions</w:t>
            </w:r>
          </w:p>
        </w:tc>
      </w:tr>
      <w:tr>
        <w:trPr/>
        <w:tc>
          <w:tcPr>
            <w:tcW w:w="1744"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Ground-up Developments</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174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Baybrook East - Phase 1B</w:t>
            </w:r>
          </w:p>
        </w:tc>
        <w:tc>
          <w:tcPr>
            <w:tcW w:w="846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Phase 1B of a ground-up development in Houston, TX, including 50K SF of shop space. Combined with the previously completed Phase 1A (featuring H-E-B, the market's leading grocer) Baybrook East will be approximately 155K SF.</w:t>
            </w:r>
          </w:p>
        </w:tc>
      </w:tr>
      <w:tr>
        <w:trPr/>
        <w:tc>
          <w:tcPr>
            <w:tcW w:w="174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Sienna Grande Shops</w:t>
            </w:r>
          </w:p>
        </w:tc>
        <w:tc>
          <w:tcPr>
            <w:tcW w:w="846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approximately 20 miles southwest of Houston, TX, in a 10,500-acre master-planned development that is consistently among the top-selling communities in the United States, Phase 1 will feature approximately 30K SF of shop space and outparcels.</w:t>
            </w:r>
          </w:p>
        </w:tc>
      </w:tr>
      <w:tr>
        <w:trPr/>
        <w:tc>
          <w:tcPr>
            <w:tcW w:w="174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Shops at SunVet</w:t>
            </w:r>
          </w:p>
        </w:tc>
        <w:tc>
          <w:tcPr>
            <w:tcW w:w="846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in Long Island, NY, The Shops at SunVet will include the development of a vacant enclosed mall into a 170k open-air shopping center, anchored by Whole Foods and other leading retailers in a mix of junior anchors, shop space, and outparcels.</w:t>
            </w:r>
          </w:p>
        </w:tc>
      </w:tr>
      <w:tr>
        <w:trPr/>
        <w:tc>
          <w:tcPr>
            <w:tcW w:w="174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Shops at Stone Bridge</w:t>
            </w:r>
          </w:p>
        </w:tc>
        <w:tc>
          <w:tcPr>
            <w:tcW w:w="846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Development featuring a 155K SF shopping center, anchored by a 40K SF Whole Foods and part of a larger master planned community known as Stone Bridge Crossing in Cheshire, CT. The project will also feature 41K SF of junior anchor space, 51K SF of inline shop space, and multiple outparcels.</w:t>
            </w:r>
          </w:p>
        </w:tc>
      </w:tr>
      <w:tr>
        <w:trPr/>
        <w:tc>
          <w:tcPr>
            <w:tcW w:w="174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Jordan Ranch Market</w:t>
            </w:r>
          </w:p>
        </w:tc>
        <w:tc>
          <w:tcPr>
            <w:tcW w:w="846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approximately 30 miles west of downtown Houston, within the Jordan Ranch master planned community, the 162K development will feature the market-leading grocer, H-E-B, plus 40K SF of shop space.</w:t>
            </w:r>
          </w:p>
        </w:tc>
      </w:tr>
      <w:tr>
        <w:trPr/>
        <w:tc>
          <w:tcPr>
            <w:tcW w:w="1744" w:type="dxa"/>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Oakley Shops at Laurel Fields</w:t>
            </w:r>
          </w:p>
        </w:tc>
        <w:tc>
          <w:tcPr>
            <w:tcW w:w="8461" w:type="dxa"/>
            <w:gridSpan w:val="9"/>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in the Bay Area, the 78K SF development of a traditional neighborhood center will include a 55K SF Safeway grocer and 23K SF of shop space.</w:t>
            </w:r>
          </w:p>
        </w:tc>
      </w:tr>
      <w:tr>
        <w:trPr/>
        <w:tc>
          <w:tcPr>
            <w:tcW w:w="1744"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Redevelopments</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174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Abbot</w:t>
            </w:r>
          </w:p>
        </w:tc>
        <w:tc>
          <w:tcPr>
            <w:tcW w:w="846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Generational redevelopment and modernization of three historic buildings in the heart of Harvard Square into an unparalleled mixed-use project with flagship retail and Class A office space.</w:t>
            </w:r>
          </w:p>
        </w:tc>
      </w:tr>
      <w:tr>
        <w:trPr/>
        <w:tc>
          <w:tcPr>
            <w:tcW w:w="174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Westbard Square - Phase 1</w:t>
            </w:r>
          </w:p>
        </w:tc>
        <w:tc>
          <w:tcPr>
            <w:tcW w:w="846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At acquisition, property included a Giant-anchored retail center, a three-level office building, two gas stations, and a vacant senior housing building. Phase 1 of the redevelopment includes construction of a 126k SF retail building anchored by a 74k SF Giant, and realignment of Westbard Avenue at the intersection with River Road. Regency will also participate in a joint venture whereby the partner will construct a ~100-unit senior living building.</w:t>
            </w:r>
          </w:p>
        </w:tc>
      </w:tr>
      <w:tr>
        <w:trPr/>
        <w:tc>
          <w:tcPr>
            <w:tcW w:w="174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Buckhead Landing</w:t>
            </w:r>
          </w:p>
        </w:tc>
        <w:tc>
          <w:tcPr>
            <w:tcW w:w="846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Buckhead Landing will be anchored by a 55k SF Publix with 38k SF of junior anchors and 59k SF of restaurant &amp; retail space. This redevelopment will include the complete scrape and rebuild of the existing anchor box, in addition to delivering extensive site improvements and enhanced placemaking.</w:t>
            </w:r>
          </w:p>
        </w:tc>
      </w:tr>
      <w:tr>
        <w:trPr/>
        <w:tc>
          <w:tcPr>
            <w:tcW w:w="174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Bloom on Third</w:t>
            </w:r>
          </w:p>
        </w:tc>
        <w:tc>
          <w:tcPr>
            <w:tcW w:w="846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in Los Angeles, CA, directly across from The Grove and The Original Farmers Market, this transformational redevelopment includes the demolition of a former Kmart building into new retail space and approximately 300 luxury mid-rise apartments. Regency has partnered with a leading multifamily developer, who will construct the apartments on a ground lease.</w:t>
            </w:r>
          </w:p>
        </w:tc>
      </w:tr>
      <w:tr>
        <w:trPr/>
        <w:tc>
          <w:tcPr>
            <w:tcW w:w="174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Mandarin Landing</w:t>
            </w:r>
          </w:p>
        </w:tc>
        <w:tc>
          <w:tcPr>
            <w:tcW w:w="846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redevelopment will transform a Whole Foods-anchored site in Jacksonville, FL into a modern healthy-living center, featuring a 25k SF medical care facility to replace a vacant, former Office Depot space. The project also features a reconfiguration of adjacent shop space, an additional pad building, and a full façade renovation.</w:t>
            </w:r>
          </w:p>
        </w:tc>
      </w:tr>
      <w:tr>
        <w:trPr/>
        <w:tc>
          <w:tcPr>
            <w:tcW w:w="174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Serramonte Center - Phase 3</w:t>
            </w:r>
          </w:p>
        </w:tc>
        <w:tc>
          <w:tcPr>
            <w:tcW w:w="846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of the northeastern portion of the site, including a backfill of the former J.C. Penney box and adjacent space, plus two exterior pads. The former J.C. Penney box will feature Jagalchi, a leading Asian grocer with locations in South Korea, China, and the US.</w:t>
            </w:r>
          </w:p>
        </w:tc>
      </w:tr>
      <w:tr>
        <w:trPr/>
        <w:tc>
          <w:tcPr>
            <w:tcW w:w="174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Circle Marina Center</w:t>
            </w:r>
          </w:p>
        </w:tc>
        <w:tc>
          <w:tcPr>
            <w:tcW w:w="846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Acquired in 2019 with the intention of redevelopment, the project will transform an existing Staples box and adjacent shop space into a 23k SF prototype for Sprouts Farmers Market, plus reconfigured space for other leading retailers. In addition, the project will feature extensive site improvements, facade renovation, and enhanced placemaking.</w:t>
            </w:r>
          </w:p>
        </w:tc>
      </w:tr>
      <w:tr>
        <w:trPr/>
        <w:tc>
          <w:tcPr>
            <w:tcW w:w="174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Avenida Biscayne</w:t>
            </w:r>
          </w:p>
        </w:tc>
        <w:tc>
          <w:tcPr>
            <w:tcW w:w="846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 boutique retail development adjacent to Aventura Square, a Regency-owned asset in Miami’s highly desirable Aventura submarket, that includes the complete scrape of all existing buildings and transformation of the property into three separate retail buildings, featuring first-class shop space and restaurants.</w:t>
            </w:r>
          </w:p>
        </w:tc>
      </w:tr>
      <w:tr>
        <w:trPr/>
        <w:tc>
          <w:tcPr>
            <w:tcW w:w="174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Cambridge Square</w:t>
            </w:r>
          </w:p>
        </w:tc>
        <w:tc>
          <w:tcPr>
            <w:tcW w:w="846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Transformational redevelopment adding a best-in-class grocer and featuring extensive improvement to the site and existing facades.</w:t>
            </w:r>
          </w:p>
        </w:tc>
      </w:tr>
      <w:tr>
        <w:trPr/>
        <w:tc>
          <w:tcPr>
            <w:tcW w:w="174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Anastasia Plaza</w:t>
            </w:r>
          </w:p>
        </w:tc>
        <w:tc>
          <w:tcPr>
            <w:tcW w:w="846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to include the complete scrape and rebuild of the existing anchor box and adjacent space, anchored by a 58K SF Publix and 44K SF of shop space, plus extensive improvements to the site and existing facades.</w:t>
            </w:r>
          </w:p>
        </w:tc>
      </w:tr>
      <w:tr>
        <w:trPr/>
        <w:tc>
          <w:tcPr>
            <w:tcW w:w="174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East Meadow Plaza - Phase 1</w:t>
            </w:r>
          </w:p>
        </w:tc>
        <w:tc>
          <w:tcPr>
            <w:tcW w:w="846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Acquired in 2022 with the intention of redevelopment. Phase 1 includes various site improvements, complete facade renovation, and reconfigured space for leading retailers.</w:t>
            </w:r>
          </w:p>
        </w:tc>
      </w:tr>
      <w:tr>
        <w:trPr/>
        <w:tc>
          <w:tcPr>
            <w:tcW w:w="1744" w:type="dxa"/>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Various Redevelopments (est costs &lt; $10 million individually)</w:t>
            </w:r>
          </w:p>
        </w:tc>
        <w:tc>
          <w:tcPr>
            <w:tcW w:w="7264" w:type="dxa"/>
            <w:gridSpan w:val="8"/>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Various Redevelopment properties where estimated incremental costs at each project are less than $10 million.</w:t>
            </w:r>
          </w:p>
        </w:tc>
        <w:tc>
          <w:tcPr>
            <w:tcW w:w="1197"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left"/>
              <w:rPr/>
            </w:pPr>
            <w:r>
              <w:rPr/>
              <w:t> </w:t>
            </w:r>
          </w:p>
        </w:tc>
      </w:tr>
    </w:tbl>
    <w:p>
      <w:pPr>
        <w:pStyle w:val="TextBody"/>
        <w:bidi w:val="0"/>
        <w:jc w:val="both"/>
        <w:rPr>
          <w:rFonts w:ascii="Tahoma;sans-serif" w:hAnsi="Tahoma;sans-serif"/>
          <w:color w:val="000000"/>
          <w:sz w:val="12"/>
        </w:rPr>
      </w:pPr>
      <w:r>
        <w:rPr>
          <w:rFonts w:ascii="Tahoma;sans-serif" w:hAnsi="Tahoma;sans-serif"/>
          <w:color w:val="000000"/>
          <w:sz w:val="12"/>
        </w:rPr>
        <w:t>See page 18 for footnotes</w:t>
      </w:r>
    </w:p>
    <w:p>
      <w:pPr>
        <w:pStyle w:val="TextBody"/>
        <w:bidi w:val="0"/>
        <w:jc w:val="right"/>
        <w:rPr/>
      </w:pPr>
      <w:r>
        <w:rPr/>
        <w:drawing>
          <wp:inline distT="0" distB="0" distL="0" distR="0">
            <wp:extent cx="476250" cy="2571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6" w:name="devredevcompletions"/>
      <w:bookmarkEnd w:id="26"/>
      <w:r>
        <w:rPr>
          <w:rFonts w:ascii="Tahoma;sans-serif" w:hAnsi="Tahoma;sans-serif"/>
          <w:b/>
          <w:color w:val="000000"/>
          <w:sz w:val="20"/>
        </w:rPr>
        <w:t>Development and Redevelopment Current Year Completions</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97"/>
        <w:gridCol w:w="894"/>
        <w:gridCol w:w="938"/>
        <w:gridCol w:w="702"/>
        <w:gridCol w:w="1662"/>
        <w:gridCol w:w="1170"/>
        <w:gridCol w:w="910"/>
        <w:gridCol w:w="977"/>
        <w:gridCol w:w="955"/>
      </w:tblGrid>
      <w:tr>
        <w:trPr/>
        <w:tc>
          <w:tcPr>
            <w:tcW w:w="199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bottom w:val="single" w:sz="4" w:space="0" w:color="000000"/>
              <w:right w:val="single" w:sz="4" w:space="0" w:color="000000"/>
            </w:tcBorders>
            <w:shd w:fill="808080" w:val="clear"/>
            <w:vAlign w:val="center"/>
          </w:tcPr>
          <w:p>
            <w:pPr>
              <w:pStyle w:val="TableContents"/>
              <w:bidi w:val="0"/>
              <w:spacing w:before="0" w:after="283"/>
              <w:jc w:val="left"/>
              <w:rPr>
                <w:rFonts w:ascii="Tahoma;sans-serif" w:hAnsi="Tahoma;sans-serif"/>
                <w:b/>
                <w:color w:val="FFFFFF"/>
                <w:sz w:val="14"/>
              </w:rPr>
            </w:pPr>
            <w:r>
              <w:rPr>
                <w:rFonts w:ascii="Tahoma;sans-serif" w:hAnsi="Tahoma;sans-serif"/>
                <w:b/>
                <w:color w:val="FFFFFF"/>
                <w:sz w:val="14"/>
              </w:rPr>
              <w:t>Current Year Development and Redevelopment Completions</w:t>
            </w:r>
          </w:p>
        </w:tc>
      </w:tr>
      <w:tr>
        <w:trPr/>
        <w:tc>
          <w:tcPr>
            <w:tcW w:w="199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Shopping Center</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Market</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Center % Leased</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Project Start</w:t>
            </w:r>
          </w:p>
        </w:tc>
        <w:tc>
          <w:tcPr>
            <w:tcW w:w="1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ahoma;sans-serif" w:hAnsi="Tahoma;sans-serif"/>
                <w:b/>
                <w:color w:val="000000"/>
                <w:sz w:val="14"/>
                <w:u w:val="single"/>
              </w:rPr>
              <w:t>Est Initial Rent Commencement</w:t>
            </w:r>
            <w:r>
              <w:rPr>
                <w:rFonts w:ascii="Tahoma;sans-serif" w:hAnsi="Tahoma;sans-serif"/>
                <w:b/>
                <w:color w:val="000000"/>
                <w:sz w:val="9"/>
                <w:u w:val="single"/>
              </w:rPr>
              <w:t>(a)</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ahoma;sans-serif" w:hAnsi="Tahoma;sans-serif"/>
                <w:b/>
                <w:color w:val="000000"/>
                <w:sz w:val="14"/>
                <w:u w:val="single"/>
              </w:rPr>
              <w:t>Est Stabilization Year</w:t>
            </w:r>
            <w:r>
              <w:rPr>
                <w:rFonts w:ascii="Tahoma;sans-serif" w:hAnsi="Tahoma;sans-serif"/>
                <w:b/>
                <w:color w:val="000000"/>
                <w:sz w:val="9"/>
                <w:u w:val="single"/>
              </w:rPr>
              <w:t>(b)</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ahoma;sans-serif" w:hAnsi="Tahoma;sans-serif"/>
                <w:b/>
                <w:color w:val="000000"/>
                <w:sz w:val="14"/>
                <w:u w:val="single"/>
              </w:rPr>
              <w:t>Net Project Costs</w:t>
            </w:r>
            <w:r>
              <w:rPr>
                <w:rFonts w:ascii="Tahoma;sans-serif" w:hAnsi="Tahoma;sans-serif"/>
                <w:b/>
                <w:color w:val="000000"/>
                <w:sz w:val="9"/>
                <w:u w:val="single"/>
              </w:rPr>
              <w:t>(c)</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 of Costs Incurred</w:t>
            </w:r>
          </w:p>
        </w:tc>
        <w:tc>
          <w:tcPr>
            <w:tcW w:w="9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4"/>
              </w:rPr>
            </w:pPr>
            <w:r>
              <w:rPr>
                <w:rFonts w:ascii="Tahoma;sans-serif" w:hAnsi="Tahoma;sans-serif"/>
                <w:b/>
                <w:color w:val="000000"/>
                <w:sz w:val="14"/>
                <w:u w:val="single"/>
              </w:rPr>
              <w:t>Stabilized Yield</w:t>
            </w:r>
            <w:r>
              <w:rPr>
                <w:rFonts w:ascii="Tahoma;sans-serif" w:hAnsi="Tahoma;sans-serif"/>
                <w:b/>
                <w:color w:val="000000"/>
                <w:sz w:val="9"/>
                <w:u w:val="single"/>
              </w:rPr>
              <w:t>(d)</w:t>
            </w:r>
          </w:p>
        </w:tc>
      </w:tr>
      <w:tr>
        <w:trPr/>
        <w:tc>
          <w:tcPr>
            <w:tcW w:w="1997"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4"/>
              </w:rPr>
            </w:pPr>
            <w:r>
              <w:rPr>
                <w:rFonts w:ascii="Tahoma;sans-serif" w:hAnsi="Tahoma;sans-serif"/>
                <w:b/>
                <w:color w:val="FFFFFF"/>
                <w:sz w:val="14"/>
              </w:rPr>
              <w:t>Ground-up Developments</w:t>
            </w:r>
          </w:p>
        </w:tc>
        <w:tc>
          <w:tcPr>
            <w:tcW w:w="894"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95%</w:t>
            </w:r>
          </w:p>
        </w:tc>
        <w:tc>
          <w:tcPr>
            <w:tcW w:w="70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66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$46M</w:t>
            </w:r>
          </w:p>
        </w:tc>
        <w:tc>
          <w:tcPr>
            <w:tcW w:w="977"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94%</w:t>
            </w:r>
          </w:p>
        </w:tc>
        <w:tc>
          <w:tcPr>
            <w:tcW w:w="955"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7% +/-</w:t>
            </w:r>
          </w:p>
        </w:tc>
      </w:tr>
      <w:tr>
        <w:trPr/>
        <w:tc>
          <w:tcPr>
            <w:tcW w:w="1997"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Glenwood Green</w:t>
            </w:r>
            <w:r>
              <w:rPr>
                <w:rFonts w:ascii="Times New Roman" w:hAnsi="Times New Roman"/>
                <w:color w:val="000000"/>
                <w:sz w:val="14"/>
              </w:rPr>
              <w:t> </w:t>
            </w:r>
            <w:r>
              <w:rPr>
                <w:rFonts w:ascii="Tahoma;sans-serif" w:hAnsi="Tahoma;sans-serif"/>
                <w:color w:val="000000"/>
                <w:sz w:val="9"/>
              </w:rPr>
              <w:t>(2)(3)</w:t>
            </w:r>
          </w:p>
        </w:tc>
        <w:tc>
          <w:tcPr>
            <w:tcW w:w="894"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Metro NYC</w:t>
            </w:r>
          </w:p>
        </w:tc>
        <w:tc>
          <w:tcPr>
            <w:tcW w:w="93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95%</w:t>
            </w:r>
          </w:p>
        </w:tc>
        <w:tc>
          <w:tcPr>
            <w:tcW w:w="702"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Q1-2022</w:t>
            </w:r>
          </w:p>
        </w:tc>
        <w:tc>
          <w:tcPr>
            <w:tcW w:w="1662"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1H-2024</w:t>
            </w:r>
          </w:p>
        </w:tc>
        <w:tc>
          <w:tcPr>
            <w:tcW w:w="117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2025</w:t>
            </w:r>
          </w:p>
        </w:tc>
        <w:tc>
          <w:tcPr>
            <w:tcW w:w="91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$46M</w:t>
            </w:r>
          </w:p>
        </w:tc>
        <w:tc>
          <w:tcPr>
            <w:tcW w:w="977"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94%</w:t>
            </w:r>
          </w:p>
        </w:tc>
        <w:tc>
          <w:tcPr>
            <w:tcW w:w="95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 +/-</w:t>
            </w:r>
          </w:p>
        </w:tc>
      </w:tr>
      <w:tr>
        <w:trPr/>
        <w:tc>
          <w:tcPr>
            <w:tcW w:w="1997"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4"/>
              </w:rPr>
            </w:pPr>
            <w:r>
              <w:rPr>
                <w:rFonts w:ascii="Tahoma;sans-serif" w:hAnsi="Tahoma;sans-serif"/>
                <w:b/>
                <w:color w:val="FFFFFF"/>
                <w:sz w:val="14"/>
              </w:rPr>
              <w:t>Redevelopments</w:t>
            </w:r>
          </w:p>
        </w:tc>
        <w:tc>
          <w:tcPr>
            <w:tcW w:w="894"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97%</w:t>
            </w:r>
          </w:p>
        </w:tc>
        <w:tc>
          <w:tcPr>
            <w:tcW w:w="70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66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$33M</w:t>
            </w:r>
          </w:p>
        </w:tc>
        <w:tc>
          <w:tcPr>
            <w:tcW w:w="977"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95%</w:t>
            </w:r>
          </w:p>
        </w:tc>
        <w:tc>
          <w:tcPr>
            <w:tcW w:w="955"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9% +/-</w:t>
            </w:r>
          </w:p>
        </w:tc>
      </w:tr>
      <w:tr>
        <w:trPr/>
        <w:tc>
          <w:tcPr>
            <w:tcW w:w="2891" w:type="dxa"/>
            <w:gridSpan w:val="2"/>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Redevelopment Completion (est costs &lt; $10 million individually)</w:t>
            </w:r>
          </w:p>
        </w:tc>
        <w:tc>
          <w:tcPr>
            <w:tcW w:w="93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97%</w:t>
            </w:r>
          </w:p>
        </w:tc>
        <w:tc>
          <w:tcPr>
            <w:tcW w:w="702" w:type="dxa"/>
            <w:tcBorders/>
            <w:shd w:fill="FFFFFF" w:val="clear"/>
            <w:vAlign w:val="center"/>
          </w:tcPr>
          <w:p>
            <w:pPr>
              <w:pStyle w:val="TableContents"/>
              <w:bidi w:val="0"/>
              <w:spacing w:before="0" w:after="283"/>
              <w:jc w:val="center"/>
              <w:rPr/>
            </w:pPr>
            <w:r>
              <w:rPr/>
              <w:t> </w:t>
            </w:r>
          </w:p>
        </w:tc>
        <w:tc>
          <w:tcPr>
            <w:tcW w:w="1662" w:type="dxa"/>
            <w:tcBorders/>
            <w:shd w:fill="FFFFFF" w:val="clear"/>
            <w:vAlign w:val="center"/>
          </w:tcPr>
          <w:p>
            <w:pPr>
              <w:pStyle w:val="TableContents"/>
              <w:bidi w:val="0"/>
              <w:spacing w:before="0" w:after="283"/>
              <w:jc w:val="center"/>
              <w:rPr/>
            </w:pPr>
            <w:r>
              <w:rPr/>
              <w:t> </w:t>
            </w:r>
          </w:p>
        </w:tc>
        <w:tc>
          <w:tcPr>
            <w:tcW w:w="1170" w:type="dxa"/>
            <w:tcBorders/>
            <w:shd w:fill="FFFFFF" w:val="clear"/>
            <w:vAlign w:val="center"/>
          </w:tcPr>
          <w:p>
            <w:pPr>
              <w:pStyle w:val="TableContents"/>
              <w:bidi w:val="0"/>
              <w:spacing w:before="0" w:after="283"/>
              <w:jc w:val="center"/>
              <w:rPr/>
            </w:pPr>
            <w:r>
              <w:rPr/>
              <w:t> </w:t>
            </w:r>
          </w:p>
        </w:tc>
        <w:tc>
          <w:tcPr>
            <w:tcW w:w="910"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$33M</w:t>
            </w:r>
          </w:p>
        </w:tc>
        <w:tc>
          <w:tcPr>
            <w:tcW w:w="977"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95%</w:t>
            </w:r>
          </w:p>
        </w:tc>
        <w:tc>
          <w:tcPr>
            <w:tcW w:w="95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 +/-</w:t>
            </w:r>
          </w:p>
        </w:tc>
      </w:tr>
      <w:tr>
        <w:trPr/>
        <w:tc>
          <w:tcPr>
            <w:tcW w:w="2891" w:type="dxa"/>
            <w:gridSpan w:val="2"/>
            <w:tcBorders>
              <w:top w:val="single" w:sz="4" w:space="0" w:color="000000"/>
              <w:left w:val="single" w:sz="4" w:space="0" w:color="000000"/>
              <w:bottom w:val="single" w:sz="4" w:space="0" w:color="000000"/>
            </w:tcBorders>
            <w:shd w:fill="181717" w:val="clear"/>
            <w:tcMar>
              <w:right w:w="0" w:type="dxa"/>
            </w:tcMar>
            <w:vAlign w:val="center"/>
          </w:tcPr>
          <w:p>
            <w:pPr>
              <w:pStyle w:val="TableContents"/>
              <w:bidi w:val="0"/>
              <w:spacing w:before="0" w:after="283"/>
              <w:jc w:val="left"/>
              <w:rPr>
                <w:rFonts w:ascii="Tahoma;sans-serif" w:hAnsi="Tahoma;sans-serif"/>
                <w:b/>
                <w:color w:val="FFFFFF"/>
                <w:sz w:val="14"/>
              </w:rPr>
            </w:pPr>
            <w:r>
              <w:rPr>
                <w:rFonts w:ascii="Tahoma;sans-serif" w:hAnsi="Tahoma;sans-serif"/>
                <w:b/>
                <w:color w:val="FFFFFF"/>
                <w:sz w:val="14"/>
              </w:rPr>
              <w:t>Total Completions</w:t>
            </w:r>
          </w:p>
        </w:tc>
        <w:tc>
          <w:tcPr>
            <w:tcW w:w="938"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97%</w:t>
            </w:r>
          </w:p>
        </w:tc>
        <w:tc>
          <w:tcPr>
            <w:tcW w:w="702"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pPr>
            <w:r>
              <w:rPr/>
              <w:t> </w:t>
            </w:r>
          </w:p>
        </w:tc>
        <w:tc>
          <w:tcPr>
            <w:tcW w:w="1662"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pPr>
            <w:r>
              <w:rPr/>
              <w:t> </w:t>
            </w:r>
          </w:p>
        </w:tc>
        <w:tc>
          <w:tcPr>
            <w:tcW w:w="1170"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pPr>
            <w:r>
              <w:rPr/>
              <w:t> </w:t>
            </w:r>
          </w:p>
        </w:tc>
        <w:tc>
          <w:tcPr>
            <w:tcW w:w="910"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$79M</w:t>
            </w:r>
          </w:p>
        </w:tc>
        <w:tc>
          <w:tcPr>
            <w:tcW w:w="977"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94%</w:t>
            </w:r>
          </w:p>
        </w:tc>
        <w:tc>
          <w:tcPr>
            <w:tcW w:w="955" w:type="dxa"/>
            <w:tcBorders>
              <w:top w:val="single" w:sz="4" w:space="0" w:color="000000"/>
              <w:bottom w:val="single" w:sz="4" w:space="0" w:color="000000"/>
              <w:right w:val="single" w:sz="4" w:space="0" w:color="000000"/>
            </w:tcBorders>
            <w:shd w:fill="181717" w:val="clear"/>
            <w:tcMar>
              <w:lef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8% +/-</w:t>
            </w:r>
          </w:p>
        </w:tc>
      </w:tr>
    </w:tbl>
    <w:p>
      <w:pPr>
        <w:pStyle w:val="TextBody"/>
        <w:bidi w:val="0"/>
        <w:spacing w:before="120" w:after="283"/>
        <w:jc w:val="left"/>
        <w:rPr>
          <w:rFonts w:ascii="Tahoma" w:hAnsi="Tahoma"/>
          <w:color w:val="000000"/>
          <w:sz w:val="14"/>
        </w:rPr>
      </w:pPr>
      <w:r>
        <w:rPr>
          <w:rFonts w:ascii="Tahoma" w:hAnsi="Tahoma"/>
          <w:color w:val="000000"/>
          <w:sz w:val="14"/>
        </w:rPr>
        <w:t>(a)</w:t>
      </w:r>
    </w:p>
    <w:p>
      <w:pPr>
        <w:pStyle w:val="TextBody"/>
        <w:bidi w:val="0"/>
        <w:spacing w:before="120" w:after="283"/>
        <w:jc w:val="left"/>
        <w:rPr>
          <w:rFonts w:ascii="Tahoma;sans-serif" w:hAnsi="Tahoma;sans-serif"/>
          <w:color w:val="000000"/>
          <w:sz w:val="14"/>
        </w:rPr>
      </w:pPr>
      <w:r>
        <w:rPr>
          <w:rFonts w:ascii="Tahoma;sans-serif" w:hAnsi="Tahoma;sans-serif"/>
          <w:color w:val="000000"/>
          <w:sz w:val="14"/>
        </w:rPr>
        <w:t>Estimated Initial Rent Commencement represents the estimated date that the anchor or first tenants at each project will rent commence.</w:t>
      </w:r>
    </w:p>
    <w:p>
      <w:pPr>
        <w:pStyle w:val="TextBody"/>
        <w:bidi w:val="0"/>
        <w:spacing w:before="20" w:after="283"/>
        <w:jc w:val="left"/>
        <w:rPr>
          <w:rFonts w:ascii="Tahoma" w:hAnsi="Tahoma"/>
          <w:color w:val="000000"/>
          <w:sz w:val="14"/>
        </w:rPr>
      </w:pPr>
      <w:r>
        <w:rPr>
          <w:rFonts w:ascii="Tahoma" w:hAnsi="Tahoma"/>
          <w:color w:val="000000"/>
          <w:sz w:val="14"/>
        </w:rPr>
        <w:t>(b)</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Estimated Stabilization Year represents the estimated year that the project will reach the stated stabilized yield on an annualized basis.</w:t>
      </w:r>
    </w:p>
    <w:p>
      <w:pPr>
        <w:pStyle w:val="TextBody"/>
        <w:bidi w:val="0"/>
        <w:spacing w:before="20" w:after="283"/>
        <w:jc w:val="left"/>
        <w:rPr>
          <w:rFonts w:ascii="Tahoma" w:hAnsi="Tahoma"/>
          <w:color w:val="000000"/>
          <w:sz w:val="14"/>
        </w:rPr>
      </w:pPr>
      <w:r>
        <w:rPr>
          <w:rFonts w:ascii="Tahoma" w:hAnsi="Tahoma"/>
          <w:color w:val="000000"/>
          <w:sz w:val="14"/>
        </w:rPr>
        <w:t>(c)</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Represents Regency's pro-rata share of net project costs.</w:t>
      </w:r>
    </w:p>
    <w:p>
      <w:pPr>
        <w:pStyle w:val="TextBody"/>
        <w:bidi w:val="0"/>
        <w:spacing w:before="20" w:after="283"/>
        <w:jc w:val="left"/>
        <w:rPr>
          <w:rFonts w:ascii="Tahoma" w:hAnsi="Tahoma"/>
          <w:color w:val="000000"/>
          <w:sz w:val="14"/>
        </w:rPr>
      </w:pPr>
      <w:r>
        <w:rPr>
          <w:rFonts w:ascii="Tahoma" w:hAnsi="Tahoma"/>
          <w:color w:val="000000"/>
          <w:sz w:val="14"/>
        </w:rPr>
        <w:t>(d)</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A stabilized yield for a redevelopment property represents the incremental NOI (estimated stabilized NOI less NOI prior to project commencement) divided by the total project costs.</w:t>
      </w:r>
    </w:p>
    <w:p>
      <w:pPr>
        <w:pStyle w:val="TextBody"/>
        <w:bidi w:val="0"/>
        <w:jc w:val="both"/>
        <w:rPr/>
      </w:pPr>
      <w:r>
        <w:rPr/>
        <w:t> </w:t>
      </w:r>
    </w:p>
    <w:p>
      <w:pPr>
        <w:pStyle w:val="TextBody"/>
        <w:bidi w:val="0"/>
        <w:spacing w:before="60" w:after="283"/>
        <w:jc w:val="left"/>
        <w:rPr>
          <w:rFonts w:ascii="Tahoma" w:hAnsi="Tahoma"/>
          <w:color w:val="000000"/>
          <w:sz w:val="14"/>
        </w:rPr>
      </w:pPr>
      <w:r>
        <w:rPr>
          <w:rFonts w:ascii="Tahoma" w:hAnsi="Tahoma"/>
          <w:color w:val="000000"/>
          <w:sz w:val="14"/>
        </w:rPr>
        <w:t>(1)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Scope, economics and timing of development and redevelopment projects can change materially from estimates provided.</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Ground-up development or redevelopment that is excluded from the Same Property NOI pool.</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Estimated costs represent Regency's pro-rata share: Baybrook East (50%); Sienna Grande Shops (75%); Jordan Ranch Market (50%); Bloom on Third (35%); and Glenwood Green (70%)</w:t>
      </w:r>
    </w:p>
    <w:p>
      <w:pPr>
        <w:pStyle w:val="TextBody"/>
        <w:bidi w:val="0"/>
        <w:spacing w:before="20" w:after="283"/>
        <w:jc w:val="left"/>
        <w:rPr>
          <w:rFonts w:ascii="Tahoma" w:hAnsi="Tahoma"/>
          <w:color w:val="000000"/>
          <w:sz w:val="14"/>
        </w:rPr>
      </w:pPr>
      <w:r>
        <w:rPr>
          <w:rFonts w:ascii="Tahoma" w:hAnsi="Tahoma"/>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GLA and % Leased represents: Westbard Square – Phase 1 only; Bloom on Third – fully redeveloped center (existing center is 73k SF and 100% leased)</w:t>
      </w:r>
    </w:p>
    <w:p>
      <w:pPr>
        <w:pStyle w:val="TextBody"/>
        <w:bidi w:val="0"/>
        <w:spacing w:before="20" w:after="283"/>
        <w:jc w:val="left"/>
        <w:rPr>
          <w:rFonts w:ascii="Tahoma" w:hAnsi="Tahoma"/>
          <w:color w:val="000000"/>
          <w:sz w:val="14"/>
        </w:rPr>
      </w:pPr>
      <w:r>
        <w:rPr>
          <w:rFonts w:ascii="Tahoma" w:hAnsi="Tahoma"/>
          <w:color w:val="000000"/>
          <w:sz w:val="14"/>
        </w:rPr>
        <w:t>(5)</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Estimated costs are net of expected land sale proceeds of approximately $50m.</w:t>
      </w:r>
    </w:p>
    <w:p>
      <w:pPr>
        <w:pStyle w:val="TextBody"/>
        <w:bidi w:val="0"/>
        <w:spacing w:before="20" w:after="283"/>
        <w:jc w:val="both"/>
        <w:rPr/>
      </w:pPr>
      <w:r>
        <w:rPr/>
        <w:t> </w:t>
      </w:r>
    </w:p>
    <w:p>
      <w:pPr>
        <w:pStyle w:val="TextBody"/>
        <w:bidi w:val="0"/>
        <w:spacing w:before="20" w:after="283"/>
        <w:jc w:val="both"/>
        <w:rPr>
          <w:rFonts w:ascii="Times New Roman" w:hAnsi="Times New Roman"/>
          <w:sz w:val="20"/>
        </w:rPr>
      </w:pPr>
      <w:r>
        <w:rPr>
          <w:rFonts w:ascii="Tahoma;sans-serif" w:hAnsi="Tahoma;sans-serif"/>
          <w:color w:val="000000"/>
          <w:sz w:val="14"/>
        </w:rPr>
        <w:t>Note: Regency’s Estimate of Net GAAP Project Costs, after additional interest and overhead capitalization, is $686M for Ground-up Developments and Redevelopments In-Process. Percent of costs incurred is 46% for Ground-up Developments and Redevelopments In-Process.</w:t>
      </w:r>
      <w:r>
        <w:rPr>
          <w:rFonts w:ascii="Times New Roman" w:hAnsi="Times New Roman"/>
          <w:color w:val="000000"/>
          <w:sz w:val="20"/>
        </w:rPr>
        <w:t xml:space="preserve"> </w:t>
      </w:r>
    </w:p>
    <w:p>
      <w:pPr>
        <w:pStyle w:val="TextBody"/>
        <w:bidi w:val="0"/>
        <w:jc w:val="right"/>
        <w:rPr/>
      </w:pPr>
      <w:r>
        <w:rPr/>
        <w:drawing>
          <wp:inline distT="0" distB="0" distL="0" distR="0">
            <wp:extent cx="476250" cy="2571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7" w:name="leasingstats"/>
      <w:bookmarkEnd w:id="27"/>
      <w:r>
        <w:rPr>
          <w:rFonts w:ascii="Tahoma;sans-serif" w:hAnsi="Tahoma;sans-serif"/>
          <w:b/>
          <w:color w:val="000000"/>
          <w:sz w:val="20"/>
        </w:rPr>
        <w:t>Leasing Statistics</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(Retail Operating Properties Only)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1"/>
        <w:gridCol w:w="1181"/>
        <w:gridCol w:w="569"/>
        <w:gridCol w:w="1128"/>
        <w:gridCol w:w="1168"/>
        <w:gridCol w:w="1678"/>
        <w:gridCol w:w="1366"/>
        <w:gridCol w:w="2084"/>
      </w:tblGrid>
      <w:tr>
        <w:trPr/>
        <w:tc>
          <w:tcPr>
            <w:tcW w:w="103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2781" w:type="dxa"/>
            <w:gridSpan w:val="3"/>
            <w:tcBorders/>
            <w:shd w:fill="FFFFFF" w:val="cle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Leasing Statistics - Comparable</w:t>
            </w:r>
          </w:p>
        </w:tc>
        <w:tc>
          <w:tcPr>
            <w:tcW w:w="1128" w:type="dxa"/>
            <w:tcBorders/>
            <w:shd w:fill="FFFFFF" w:val="clear"/>
            <w:vAlign w:val="center"/>
          </w:tcPr>
          <w:p>
            <w:pPr>
              <w:pStyle w:val="TableContents"/>
              <w:bidi w:val="0"/>
              <w:spacing w:before="0" w:after="283"/>
              <w:jc w:val="center"/>
              <w:rPr/>
            </w:pPr>
            <w:r>
              <w:rPr/>
              <w:t> </w:t>
            </w:r>
          </w:p>
        </w:tc>
        <w:tc>
          <w:tcPr>
            <w:tcW w:w="1168" w:type="dxa"/>
            <w:tcBorders/>
            <w:shd w:fill="FFFFFF" w:val="cle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shd w:fill="FFFFFF" w:val="clear"/>
            <w:vAlign w:val="center"/>
          </w:tcPr>
          <w:p>
            <w:pPr>
              <w:pStyle w:val="TableContents"/>
              <w:bidi w:val="0"/>
              <w:spacing w:before="0" w:after="283"/>
              <w:jc w:val="center"/>
              <w:rPr/>
            </w:pPr>
            <w:r>
              <w:rPr/>
              <w:t> </w:t>
            </w:r>
          </w:p>
        </w:tc>
        <w:tc>
          <w:tcPr>
            <w:tcW w:w="2084" w:type="dxa"/>
            <w:tcBorders/>
            <w:shd w:fill="FFFFFF" w:val="cle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Total</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(Cash)</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(Straight-lined)</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404</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1,802</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$24.86</w:t>
            </w:r>
          </w:p>
        </w:tc>
        <w:tc>
          <w:tcPr>
            <w:tcW w:w="116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w:t>
            </w:r>
          </w:p>
        </w:tc>
        <w:tc>
          <w:tcPr>
            <w:tcW w:w="167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20.7%</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6.3</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$7.33</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443</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2,221</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26.92</w:t>
            </w:r>
          </w:p>
        </w:tc>
        <w:tc>
          <w:tcPr>
            <w:tcW w:w="116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9.2%</w:t>
            </w:r>
          </w:p>
        </w:tc>
        <w:tc>
          <w:tcPr>
            <w:tcW w:w="167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18.2%</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7.11</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389</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1,811</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28.49</w:t>
            </w:r>
          </w:p>
        </w:tc>
        <w:tc>
          <w:tcPr>
            <w:tcW w:w="116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8.5%</w:t>
            </w:r>
          </w:p>
        </w:tc>
        <w:tc>
          <w:tcPr>
            <w:tcW w:w="167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17.4%</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6.0</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8.53</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2023</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435</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2,066</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28.15</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11.7%</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21.1%</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6.4</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6.89</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1,671</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7,900</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$27.14</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9.7%</w:t>
            </w:r>
          </w:p>
        </w:tc>
        <w:tc>
          <w:tcPr>
            <w:tcW w:w="1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19.2%</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6.0</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$7.45</w:t>
            </w:r>
          </w:p>
        </w:tc>
      </w:tr>
      <w:tr>
        <w:trPr/>
        <w:tc>
          <w:tcPr>
            <w:tcW w:w="1031"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center"/>
              <w:rPr/>
            </w:pPr>
            <w:r>
              <w:rPr/>
              <w:t> </w:t>
            </w:r>
          </w:p>
        </w:tc>
        <w:tc>
          <w:tcPr>
            <w:tcW w:w="569" w:type="dxa"/>
            <w:tcBorders/>
            <w:shd w:fill="FFFFFF" w:val="clear"/>
            <w:vAlign w:val="center"/>
          </w:tcPr>
          <w:p>
            <w:pPr>
              <w:pStyle w:val="TableContents"/>
              <w:bidi w:val="0"/>
              <w:spacing w:before="0" w:after="283"/>
              <w:jc w:val="center"/>
              <w:rPr/>
            </w:pPr>
            <w:r>
              <w:rPr/>
              <w:t> </w:t>
            </w:r>
          </w:p>
        </w:tc>
        <w:tc>
          <w:tcPr>
            <w:tcW w:w="1128" w:type="dxa"/>
            <w:tcBorders/>
            <w:shd w:fill="FFFFFF" w:val="clear"/>
            <w:vAlign w:val="center"/>
          </w:tcPr>
          <w:p>
            <w:pPr>
              <w:pStyle w:val="TableContents"/>
              <w:bidi w:val="0"/>
              <w:spacing w:before="0" w:after="283"/>
              <w:jc w:val="center"/>
              <w:rPr/>
            </w:pPr>
            <w:r>
              <w:rPr/>
              <w:t> </w:t>
            </w:r>
          </w:p>
        </w:tc>
        <w:tc>
          <w:tcPr>
            <w:tcW w:w="1168" w:type="dxa"/>
            <w:tcBorders/>
            <w:shd w:fill="FFFFFF" w:val="cle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shd w:fill="FFFFFF" w:val="clear"/>
            <w:vAlign w:val="center"/>
          </w:tcPr>
          <w:p>
            <w:pPr>
              <w:pStyle w:val="TableContents"/>
              <w:bidi w:val="0"/>
              <w:spacing w:before="0" w:after="283"/>
              <w:jc w:val="center"/>
              <w:rPr/>
            </w:pPr>
            <w:r>
              <w:rPr/>
              <w:t> </w:t>
            </w:r>
          </w:p>
        </w:tc>
        <w:tc>
          <w:tcPr>
            <w:tcW w:w="2084" w:type="dxa"/>
            <w:tcBorders/>
            <w:shd w:fill="FFFFFF" w:val="cle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Leases</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(Cash)</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(Straight-lined)</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98</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249</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$32.25</w:t>
            </w:r>
          </w:p>
        </w:tc>
        <w:tc>
          <w:tcPr>
            <w:tcW w:w="116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10.8%</w:t>
            </w:r>
          </w:p>
        </w:tc>
        <w:tc>
          <w:tcPr>
            <w:tcW w:w="167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26.3%</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8.7</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$49.39</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105</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261</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37.98</w:t>
            </w:r>
          </w:p>
        </w:tc>
        <w:tc>
          <w:tcPr>
            <w:tcW w:w="116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12.4%</w:t>
            </w:r>
          </w:p>
        </w:tc>
        <w:tc>
          <w:tcPr>
            <w:tcW w:w="167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27.9%</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8.5</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53.67</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96</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274</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33.54</w:t>
            </w:r>
          </w:p>
        </w:tc>
        <w:tc>
          <w:tcPr>
            <w:tcW w:w="116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11.7%</w:t>
            </w:r>
          </w:p>
        </w:tc>
        <w:tc>
          <w:tcPr>
            <w:tcW w:w="167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23.0%</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8.5</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48.51</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2023</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111</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442</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30.63</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35.2%</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51.4%</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11.3</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29.26</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410</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1,227</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$33.30</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18.0%</w:t>
            </w:r>
          </w:p>
        </w:tc>
        <w:tc>
          <w:tcPr>
            <w:tcW w:w="1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32.6%</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9.5</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$43.39</w:t>
            </w:r>
          </w:p>
        </w:tc>
      </w:tr>
      <w:tr>
        <w:trPr/>
        <w:tc>
          <w:tcPr>
            <w:tcW w:w="1031"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center"/>
              <w:rPr/>
            </w:pPr>
            <w:r>
              <w:rPr/>
              <w:t> </w:t>
            </w:r>
          </w:p>
        </w:tc>
        <w:tc>
          <w:tcPr>
            <w:tcW w:w="569" w:type="dxa"/>
            <w:tcBorders/>
            <w:shd w:fill="FFFFFF" w:val="clear"/>
            <w:vAlign w:val="center"/>
          </w:tcPr>
          <w:p>
            <w:pPr>
              <w:pStyle w:val="TableContents"/>
              <w:bidi w:val="0"/>
              <w:spacing w:before="0" w:after="283"/>
              <w:jc w:val="center"/>
              <w:rPr/>
            </w:pPr>
            <w:r>
              <w:rPr/>
              <w:t> </w:t>
            </w:r>
          </w:p>
        </w:tc>
        <w:tc>
          <w:tcPr>
            <w:tcW w:w="1128" w:type="dxa"/>
            <w:tcBorders/>
            <w:shd w:fill="FFFFFF" w:val="clear"/>
            <w:vAlign w:val="center"/>
          </w:tcPr>
          <w:p>
            <w:pPr>
              <w:pStyle w:val="TableContents"/>
              <w:bidi w:val="0"/>
              <w:spacing w:before="0" w:after="283"/>
              <w:jc w:val="center"/>
              <w:rPr/>
            </w:pPr>
            <w:r>
              <w:rPr/>
              <w:t> </w:t>
            </w:r>
          </w:p>
        </w:tc>
        <w:tc>
          <w:tcPr>
            <w:tcW w:w="1168" w:type="dxa"/>
            <w:tcBorders/>
            <w:shd w:fill="FFFFFF" w:val="cle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shd w:fill="FFFFFF" w:val="clear"/>
            <w:vAlign w:val="center"/>
          </w:tcPr>
          <w:p>
            <w:pPr>
              <w:pStyle w:val="TableContents"/>
              <w:bidi w:val="0"/>
              <w:spacing w:before="0" w:after="283"/>
              <w:jc w:val="center"/>
              <w:rPr/>
            </w:pPr>
            <w:r>
              <w:rPr/>
              <w:t> </w:t>
            </w:r>
          </w:p>
        </w:tc>
        <w:tc>
          <w:tcPr>
            <w:tcW w:w="2084" w:type="dxa"/>
            <w:tcBorders/>
            <w:shd w:fill="FFFFFF" w:val="cle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Renewals</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(Cash)</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(Straight-lined)</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306</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1,553</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$23.69</w:t>
            </w:r>
          </w:p>
        </w:tc>
        <w:tc>
          <w:tcPr>
            <w:tcW w:w="116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9.0%</w:t>
            </w:r>
          </w:p>
        </w:tc>
        <w:tc>
          <w:tcPr>
            <w:tcW w:w="167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19.5%</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5.9</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$0.63</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338</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1,960</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25.36</w:t>
            </w:r>
          </w:p>
        </w:tc>
        <w:tc>
          <w:tcPr>
            <w:tcW w:w="116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8.6%</w:t>
            </w:r>
          </w:p>
        </w:tc>
        <w:tc>
          <w:tcPr>
            <w:tcW w:w="167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16.2%</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0.56</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293</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1,537</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27.58</w:t>
            </w:r>
          </w:p>
        </w:tc>
        <w:tc>
          <w:tcPr>
            <w:tcW w:w="116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7.8%</w:t>
            </w:r>
          </w:p>
        </w:tc>
        <w:tc>
          <w:tcPr>
            <w:tcW w:w="167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16.2%</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5.5</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1.34</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2023</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324</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1,623</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27.49</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6.3%</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14.0%</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0.98</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1,261</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6,673</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$26.01</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7.9%</w:t>
            </w:r>
          </w:p>
        </w:tc>
        <w:tc>
          <w:tcPr>
            <w:tcW w:w="1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16.3%</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$0.86</w:t>
            </w:r>
          </w:p>
        </w:tc>
      </w:tr>
      <w:tr>
        <w:trPr/>
        <w:tc>
          <w:tcPr>
            <w:tcW w:w="1031"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center"/>
              <w:rPr/>
            </w:pPr>
            <w:r>
              <w:rPr/>
              <w:t> </w:t>
            </w:r>
          </w:p>
        </w:tc>
        <w:tc>
          <w:tcPr>
            <w:tcW w:w="569" w:type="dxa"/>
            <w:tcBorders/>
            <w:shd w:fill="FFFFFF" w:val="clear"/>
            <w:vAlign w:val="center"/>
          </w:tcPr>
          <w:p>
            <w:pPr>
              <w:pStyle w:val="TableContents"/>
              <w:bidi w:val="0"/>
              <w:spacing w:before="0" w:after="283"/>
              <w:jc w:val="center"/>
              <w:rPr/>
            </w:pPr>
            <w:r>
              <w:rPr/>
              <w:t> </w:t>
            </w:r>
          </w:p>
        </w:tc>
        <w:tc>
          <w:tcPr>
            <w:tcW w:w="1128" w:type="dxa"/>
            <w:tcBorders/>
            <w:shd w:fill="FFFFFF" w:val="clear"/>
            <w:vAlign w:val="center"/>
          </w:tcPr>
          <w:p>
            <w:pPr>
              <w:pStyle w:val="TableContents"/>
              <w:bidi w:val="0"/>
              <w:spacing w:before="0" w:after="283"/>
              <w:jc w:val="center"/>
              <w:rPr/>
            </w:pPr>
            <w:r>
              <w:rPr/>
              <w:t> </w:t>
            </w:r>
          </w:p>
        </w:tc>
        <w:tc>
          <w:tcPr>
            <w:tcW w:w="1168" w:type="dxa"/>
            <w:tcBorders/>
            <w:shd w:fill="FFFFFF" w:val="cle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shd w:fill="FFFFFF" w:val="clear"/>
            <w:vAlign w:val="center"/>
          </w:tcPr>
          <w:p>
            <w:pPr>
              <w:pStyle w:val="TableContents"/>
              <w:bidi w:val="0"/>
              <w:spacing w:before="0" w:after="283"/>
              <w:jc w:val="center"/>
              <w:rPr/>
            </w:pPr>
            <w:r>
              <w:rPr/>
              <w:t> </w:t>
            </w:r>
          </w:p>
        </w:tc>
        <w:tc>
          <w:tcPr>
            <w:tcW w:w="2084" w:type="dxa"/>
            <w:tcBorders/>
            <w:shd w:fill="FFFFFF" w:val="clear"/>
            <w:vAlign w:val="center"/>
          </w:tcPr>
          <w:p>
            <w:pPr>
              <w:pStyle w:val="TableContents"/>
              <w:bidi w:val="0"/>
              <w:spacing w:before="0" w:after="283"/>
              <w:jc w:val="center"/>
              <w:rPr/>
            </w:pPr>
            <w:r>
              <w:rPr/>
              <w:t> </w:t>
            </w:r>
          </w:p>
        </w:tc>
      </w:tr>
      <w:tr>
        <w:trPr/>
        <w:tc>
          <w:tcPr>
            <w:tcW w:w="3909" w:type="dxa"/>
            <w:gridSpan w:val="4"/>
            <w:tcBorders/>
            <w:shd w:fill="FFFFFF" w:val="cle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Leasing Statistics - Comparable and Non-comparable</w:t>
            </w:r>
          </w:p>
        </w:tc>
        <w:tc>
          <w:tcPr>
            <w:tcW w:w="1168" w:type="dxa"/>
            <w:tcBorders/>
            <w:shd w:fill="FFFFFF" w:val="cle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shd w:fill="FFFFFF" w:val="clear"/>
            <w:vAlign w:val="center"/>
          </w:tcPr>
          <w:p>
            <w:pPr>
              <w:pStyle w:val="TableContents"/>
              <w:bidi w:val="0"/>
              <w:spacing w:before="0" w:after="283"/>
              <w:jc w:val="center"/>
              <w:rPr/>
            </w:pPr>
            <w:r>
              <w:rPr/>
              <w:t> </w:t>
            </w:r>
          </w:p>
        </w:tc>
        <w:tc>
          <w:tcPr>
            <w:tcW w:w="2084" w:type="dxa"/>
            <w:tcBorders/>
            <w:shd w:fill="FFFFFF" w:val="cle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Total</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498</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2,274</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$25.02</w:t>
            </w:r>
          </w:p>
        </w:tc>
        <w:tc>
          <w:tcPr>
            <w:tcW w:w="1168" w:type="dxa"/>
            <w:tcBorders/>
            <w:shd w:fill="FFFFFF" w:val="cle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6.5</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$14.16</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512</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2,435</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27.28</w:t>
            </w:r>
          </w:p>
        </w:tc>
        <w:tc>
          <w:tcPr>
            <w:tcW w:w="1168" w:type="dxa"/>
            <w:tcBorders/>
            <w:shd w:fill="FFFFFF" w:val="cle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5.7</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10.15</w:t>
            </w:r>
          </w:p>
        </w:tc>
      </w:tr>
      <w:tr>
        <w:trPr/>
        <w:tc>
          <w:tcPr>
            <w:tcW w:w="10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2024</w:t>
            </w:r>
          </w:p>
        </w:tc>
        <w:tc>
          <w:tcPr>
            <w:tcW w:w="118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452</w:t>
            </w:r>
          </w:p>
        </w:tc>
        <w:tc>
          <w:tcPr>
            <w:tcW w:w="569"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2,041</w:t>
            </w:r>
          </w:p>
        </w:tc>
        <w:tc>
          <w:tcPr>
            <w:tcW w:w="1128"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28.27</w:t>
            </w:r>
          </w:p>
        </w:tc>
        <w:tc>
          <w:tcPr>
            <w:tcW w:w="1168" w:type="dxa"/>
            <w:tcBorders/>
            <w:shd w:fill="FFFFFF" w:val="cle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6.9</w:t>
            </w:r>
          </w:p>
        </w:tc>
        <w:tc>
          <w:tcPr>
            <w:tcW w:w="2084"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13.34</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2023</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526</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2,499</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28.55</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14.80</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1,988</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9,249</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$27.28</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tcBorders/>
            <w:shd w:fill="FFFFFF" w:val="clear"/>
            <w:vAlign w:val="center"/>
          </w:tcPr>
          <w:p>
            <w:pPr>
              <w:pStyle w:val="TableContents"/>
              <w:bidi w:val="0"/>
              <w:spacing w:before="0" w:after="283"/>
              <w:jc w:val="center"/>
              <w:rPr/>
            </w:pPr>
            <w:r>
              <w:rPr/>
              <w:t> </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6.5</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$13.09</w:t>
            </w:r>
          </w:p>
        </w:tc>
      </w:tr>
    </w:tbl>
    <w:p>
      <w:pPr>
        <w:pStyle w:val="TextBody"/>
        <w:bidi w:val="0"/>
        <w:jc w:val="left"/>
        <w:rPr/>
      </w:pPr>
      <w:r>
        <w:rPr/>
        <w:t> </w:t>
      </w:r>
    </w:p>
    <w:p>
      <w:pPr>
        <w:pStyle w:val="TextBody"/>
        <w:bidi w:val="0"/>
        <w:jc w:val="left"/>
        <w:rPr/>
      </w:pPr>
      <w:r>
        <w:rPr/>
        <w:t> </w:t>
      </w:r>
    </w:p>
    <w:p>
      <w:pPr>
        <w:pStyle w:val="TextBody"/>
        <w:bidi w:val="0"/>
        <w:spacing w:before="60" w:after="283"/>
        <w:jc w:val="left"/>
        <w:rPr>
          <w:rFonts w:ascii="Tahoma;sans-serif" w:hAnsi="Tahoma;sans-serif"/>
          <w:b/>
          <w:color w:val="000000"/>
          <w:sz w:val="16"/>
        </w:rPr>
      </w:pPr>
      <w:r>
        <w:rPr>
          <w:rFonts w:ascii="Tahoma;sans-serif" w:hAnsi="Tahoma;sans-serif"/>
          <w:b/>
          <w:color w:val="000000"/>
          <w:sz w:val="16"/>
        </w:rPr>
        <w:t>Notes:</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Represents Regency's consolidated and pro-rata share of real estate partnerships. Number of leasing transactions and GLA leased reported at 100%; All other statistics reported at pro-rata share.</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All amounts reported at execution.</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Rent Spreads are calculated on a comparable-space, cash basis for new and renewal leases executed and include all leasing transactions, including spaces vacant &gt; 12 months.</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Rent Spreads % (Cash) represent the percentage change between the initial 12 months of rent of the executed lease and the rent over the last 12 months of the prior lease.</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Rent Spreads % (Straight-lined) represent the percentage change between the average rent over the duration of the executed lease and the average rent over the duration of the prior lease.</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Tenant Allowance &amp; Landlord Work includes costs for landlord work required to return space to a baseline condition, as well as tenant allowances and improvements as it relates to a specific lease.</w:t>
      </w:r>
    </w:p>
    <w:p>
      <w:pPr>
        <w:pStyle w:val="TextBody"/>
        <w:bidi w:val="0"/>
        <w:jc w:val="right"/>
        <w:rPr/>
      </w:pPr>
      <w:r>
        <w:rPr/>
        <w:drawing>
          <wp:inline distT="0" distB="0" distL="0" distR="0">
            <wp:extent cx="476250" cy="2571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8" w:name="neteffectiverent"/>
      <w:bookmarkEnd w:id="28"/>
      <w:r>
        <w:rPr>
          <w:rFonts w:ascii="Tahoma;sans-serif" w:hAnsi="Tahoma;sans-serif"/>
          <w:b/>
          <w:color w:val="000000"/>
          <w:sz w:val="20"/>
        </w:rPr>
        <w:t>New Lease Net Effective Rent and Leases Signed Not Yet Commenced</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(Retail Operating Properties Only)</w:t>
      </w:r>
    </w:p>
    <w:p>
      <w:pPr>
        <w:pStyle w:val="TextBody"/>
        <w:bidi w:val="0"/>
        <w:jc w:val="center"/>
        <w:rPr/>
      </w:pPr>
      <w:r>
        <w:rPr/>
        <w:t> </w:t>
      </w:r>
    </w:p>
    <w:tbl>
      <w:tblPr>
        <w:tblW w:w="9063" w:type="dxa"/>
        <w:jc w:val="left"/>
        <w:tblInd w:w="0" w:type="dxa"/>
        <w:tblLayout w:type="fixed"/>
        <w:tblCellMar>
          <w:top w:w="28" w:type="dxa"/>
          <w:left w:w="28" w:type="dxa"/>
          <w:bottom w:w="28" w:type="dxa"/>
          <w:right w:w="28" w:type="dxa"/>
        </w:tblCellMar>
      </w:tblPr>
      <w:tblGrid>
        <w:gridCol w:w="2776"/>
        <w:gridCol w:w="146"/>
        <w:gridCol w:w="1486"/>
        <w:gridCol w:w="146"/>
        <w:gridCol w:w="721"/>
        <w:gridCol w:w="146"/>
        <w:gridCol w:w="796"/>
        <w:gridCol w:w="146"/>
        <w:gridCol w:w="841"/>
        <w:gridCol w:w="146"/>
        <w:gridCol w:w="796"/>
        <w:gridCol w:w="146"/>
        <w:gridCol w:w="77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275" w:type="dxa"/>
            <w:gridSpan w:val="5"/>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New Lease Net Effective Rent</w:t>
            </w:r>
            <w:r>
              <w:rPr>
                <w:rFonts w:ascii="Times New Roman" w:hAnsi="Times New Roman"/>
                <w:color w:val="000000"/>
                <w:sz w:val="16"/>
              </w:rPr>
              <w:t> </w:t>
            </w:r>
            <w:r>
              <w:rPr>
                <w:rFonts w:ascii="Tahoma;sans-serif" w:hAnsi="Tahoma;sans-serif"/>
                <w:b/>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Trailing Twelve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Three Months Ended</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6/30/2024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12/31/2023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9/30/2023</w:t>
            </w:r>
          </w:p>
        </w:tc>
      </w:tr>
      <w:tr>
        <w:trPr/>
        <w:tc>
          <w:tcPr>
            <w:tcW w:w="2776"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New Leases weighted avg. over lease term:</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ind w:left="0" w:right="0" w:firstLine="200"/>
              <w:jc w:val="center"/>
              <w:rPr/>
            </w:pPr>
            <w:r>
              <w:rPr/>
              <w:t> </w:t>
            </w:r>
          </w:p>
        </w:tc>
      </w:tr>
      <w:tr>
        <w:trPr/>
        <w:tc>
          <w:tcPr>
            <w:tcW w:w="27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$32.23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$41.26</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$33.07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$32.55</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$29.39</w:t>
            </w:r>
          </w:p>
        </w:tc>
      </w:tr>
      <w:tr>
        <w:trPr/>
        <w:tc>
          <w:tcPr>
            <w:tcW w:w="2776"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00"/>
              <w:jc w:val="right"/>
              <w:rPr/>
            </w:pPr>
            <w:r>
              <w:rPr/>
              <w:t> </w:t>
            </w:r>
          </w:p>
        </w:tc>
      </w:tr>
      <w:tr>
        <w:trPr/>
        <w:tc>
          <w:tcPr>
            <w:tcW w:w="2776" w:type="dxa"/>
            <w:tcBorders/>
            <w:shd w:fill="FFFFFF" w:val="cle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Tenant allowance and landlord work </w:t>
            </w:r>
            <w:r>
              <w:rPr>
                <w:rFonts w:ascii="Tahoma;sans-serif" w:hAnsi="Tahoma;sans-serif"/>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(5.40)</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(6.78)</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(4.44)</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(4.68)</w:t>
            </w:r>
          </w:p>
        </w:tc>
      </w:tr>
      <w:tr>
        <w:trPr/>
        <w:tc>
          <w:tcPr>
            <w:tcW w:w="2776"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00"/>
              <w:jc w:val="right"/>
              <w:rPr/>
            </w:pPr>
            <w:r>
              <w:rPr/>
              <w:t> </w:t>
            </w:r>
          </w:p>
        </w:tc>
      </w:tr>
      <w:tr>
        <w:trPr/>
        <w:tc>
          <w:tcPr>
            <w:tcW w:w="27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Third party leasing commissions</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(1.08)</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(0.78)</w:t>
            </w:r>
          </w:p>
        </w:tc>
      </w:tr>
      <w:tr>
        <w:trPr/>
        <w:tc>
          <w:tcPr>
            <w:tcW w:w="2776"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76"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Net Effective Rent</w:t>
            </w:r>
          </w:p>
        </w:tc>
        <w:tc>
          <w:tcPr>
            <w:tcW w:w="146" w:type="dxa"/>
            <w:tcBorders/>
            <w:shd w:fill="FFFFFF" w:val="clear"/>
            <w:vAlign w:val="center"/>
          </w:tcPr>
          <w:p>
            <w:pPr>
              <w:pStyle w:val="TableContents"/>
              <w:bidi w:val="0"/>
              <w:spacing w:before="0" w:after="283"/>
              <w:jc w:val="left"/>
              <w:rPr/>
            </w:pPr>
            <w:r>
              <w:rPr/>
              <w:t> </w:t>
            </w:r>
          </w:p>
        </w:tc>
        <w:tc>
          <w:tcPr>
            <w:tcW w:w="1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$27.64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$23.93</w:t>
            </w:r>
          </w:p>
        </w:tc>
      </w:tr>
      <w:tr>
        <w:trPr/>
        <w:tc>
          <w:tcPr>
            <w:tcW w:w="2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Net effective rent/base rent</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81%</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78%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81%</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83%</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81%</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r>
      <w:tr>
        <w:trPr/>
        <w:tc>
          <w:tcPr>
            <w:tcW w:w="277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avg. lease term (years)</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10.3</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12.4</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r>
      <w:tr>
        <w:trPr/>
        <w:tc>
          <w:tcPr>
            <w:tcW w:w="2776"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Percent of New Leases by Anchor &amp; Shop</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00"/>
              <w:jc w:val="right"/>
              <w:rPr/>
            </w:pPr>
            <w:r>
              <w:rPr/>
              <w:t> </w:t>
            </w:r>
          </w:p>
        </w:tc>
      </w:tr>
      <w:tr>
        <w:trPr/>
        <w:tc>
          <w:tcPr>
            <w:tcW w:w="2776" w:type="dxa"/>
            <w:tcBorders/>
            <w:shd w:fill="FFFFFF" w:val="clear"/>
            <w:vAlign w:val="center"/>
          </w:tcPr>
          <w:p>
            <w:pPr>
              <w:pStyle w:val="TableContents"/>
              <w:bidi w:val="0"/>
              <w:spacing w:before="0" w:after="283"/>
              <w:ind w:left="0" w:right="0" w:firstLine="200"/>
              <w:jc w:val="left"/>
              <w:rPr>
                <w:color w:val="000000"/>
              </w:rPr>
            </w:pPr>
            <w:r>
              <w:rPr>
                <w:color w:val="000000"/>
              </w:rPr>
              <w:t xml:space="preserve">≥ </w:t>
            </w:r>
            <w:r>
              <w:rPr>
                <w:rFonts w:ascii="Tahoma;sans-serif" w:hAnsi="Tahoma;sans-serif"/>
                <w:color w:val="000000"/>
                <w:sz w:val="14"/>
              </w:rPr>
              <w:t>10,000 SF</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47%</w:t>
            </w:r>
          </w:p>
        </w:tc>
      </w:tr>
      <w:tr>
        <w:trPr/>
        <w:tc>
          <w:tcPr>
            <w:tcW w:w="2776"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00"/>
              <w:jc w:val="right"/>
              <w:rPr/>
            </w:pPr>
            <w:r>
              <w:rPr/>
              <w:t> </w:t>
            </w:r>
          </w:p>
        </w:tc>
      </w:tr>
      <w:tr>
        <w:trPr/>
        <w:tc>
          <w:tcPr>
            <w:tcW w:w="27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&lt; 10,000 SF</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w:t>
            </w:r>
          </w:p>
        </w:tc>
        <w:tc>
          <w:tcPr>
            <w:tcW w:w="14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w:t>
            </w:r>
          </w:p>
        </w:tc>
        <w:tc>
          <w:tcPr>
            <w:tcW w:w="146" w:type="dxa"/>
            <w:tcBorders/>
            <w:shd w:fill="FFFFFF" w:val="clear"/>
            <w:vAlign w:val="center"/>
          </w:tcPr>
          <w:p>
            <w:pPr>
              <w:pStyle w:val="TableContents"/>
              <w:bidi w:val="0"/>
              <w:spacing w:before="0" w:after="283"/>
              <w:jc w:val="right"/>
              <w:rPr/>
            </w:pPr>
            <w:r>
              <w:rPr/>
              <w:t> </w:t>
            </w:r>
          </w:p>
        </w:tc>
        <w:tc>
          <w:tcPr>
            <w:tcW w:w="84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7204" w:type="dxa"/>
            <w:gridSpan w:val="9"/>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Leases Signed Not Yet Commenced</w:t>
            </w:r>
            <w:r>
              <w:rPr>
                <w:rFonts w:ascii="Times New Roman" w:hAnsi="Times New Roman"/>
                <w:color w:val="000000"/>
                <w:sz w:val="16"/>
              </w:rPr>
              <w:t xml:space="preserve"> </w:t>
            </w:r>
            <w:r>
              <w:rPr>
                <w:rFonts w:ascii="Tahoma;sans-serif" w:hAnsi="Tahoma;sans-serif"/>
                <w:b/>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As of 9/30/2024:</w:t>
            </w:r>
          </w:p>
        </w:tc>
        <w:tc>
          <w:tcPr>
            <w:tcW w:w="146" w:type="dxa"/>
            <w:tcBorders/>
            <w:shd w:fill="FFFFFF" w:val="cle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Annual ABR</w:t>
              <w:br/>
              <w:t>($ in 000s)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xml:space="preserve">Annual ABR </w:t>
              <w:br/>
              <w:t>($ PSF)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ind w:left="0" w:right="0" w:firstLine="200"/>
              <w:jc w:val="left"/>
              <w:rPr/>
            </w:pPr>
            <w:r>
              <w:rPr/>
              <w:t> </w:t>
            </w:r>
          </w:p>
        </w:tc>
      </w:tr>
      <w:tr>
        <w:trPr/>
        <w:tc>
          <w:tcPr>
            <w:tcW w:w="2776" w:type="dxa"/>
            <w:tcBorders/>
            <w:shd w:fill="FFFFFF" w:val="clear"/>
            <w:vAlign w:val="center"/>
          </w:tcPr>
          <w:p>
            <w:pPr>
              <w:pStyle w:val="TableContents"/>
              <w:bidi w:val="0"/>
              <w:spacing w:before="0" w:after="283"/>
              <w:ind w:left="0" w:right="0" w:firstLine="200"/>
              <w:jc w:val="left"/>
              <w:rPr>
                <w:color w:val="000000"/>
              </w:rPr>
            </w:pPr>
            <w:r>
              <w:rPr>
                <w:color w:val="000000"/>
              </w:rPr>
              <w:t xml:space="preserve">≥ </w:t>
            </w:r>
            <w:r>
              <w:rPr>
                <w:rFonts w:ascii="Tahoma;sans-serif" w:hAnsi="Tahoma;sans-serif"/>
                <w:color w:val="000000"/>
                <w:sz w:val="14"/>
              </w:rPr>
              <w:t>10,000 SF</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1,043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$20,978</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$21.43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ind w:left="0" w:right="0" w:firstLine="200"/>
              <w:jc w:val="left"/>
              <w:rPr/>
            </w:pPr>
            <w:r>
              <w:rPr/>
              <w:t> </w:t>
            </w:r>
          </w:p>
        </w:tc>
      </w:tr>
      <w:tr>
        <w:trPr/>
        <w:tc>
          <w:tcPr>
            <w:tcW w:w="2776"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ind w:left="0" w:right="0" w:firstLine="200"/>
              <w:jc w:val="left"/>
              <w:rPr/>
            </w:pPr>
            <w:r>
              <w:rPr/>
              <w:t> </w:t>
            </w:r>
          </w:p>
        </w:tc>
      </w:tr>
      <w:tr>
        <w:trPr/>
        <w:tc>
          <w:tcPr>
            <w:tcW w:w="2776" w:type="dxa"/>
            <w:tcBorders/>
            <w:shd w:fill="FFFFFF" w:val="cle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&lt; 10,000 SF</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298</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781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27,665</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39.83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Total</w:t>
            </w:r>
          </w:p>
        </w:tc>
        <w:tc>
          <w:tcPr>
            <w:tcW w:w="146" w:type="dxa"/>
            <w:tcBorders/>
            <w:shd w:fill="FFFFFF" w:val="clear"/>
            <w:vAlign w:val="center"/>
          </w:tcPr>
          <w:p>
            <w:pPr>
              <w:pStyle w:val="TableContents"/>
              <w:bidi w:val="0"/>
              <w:spacing w:before="0" w:after="283"/>
              <w:jc w:val="left"/>
              <w:rPr/>
            </w:pPr>
            <w:r>
              <w:rPr/>
              <w:t> </w:t>
            </w:r>
          </w:p>
        </w:tc>
        <w:tc>
          <w:tcPr>
            <w:tcW w:w="1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$48,643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$29.07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r>
    </w:tbl>
    <w:p>
      <w:pPr>
        <w:pStyle w:val="TextBody"/>
        <w:bidi w:val="0"/>
        <w:spacing w:before="400" w:after="283"/>
        <w:jc w:val="left"/>
        <w:rPr>
          <w:rFonts w:ascii="Tahoma" w:hAnsi="Tahoma"/>
          <w:color w:val="000000"/>
          <w:sz w:val="16"/>
        </w:rPr>
      </w:pPr>
      <w:r>
        <w:rPr>
          <w:rFonts w:ascii="Tahoma" w:hAnsi="Tahoma"/>
          <w:color w:val="000000"/>
          <w:sz w:val="16"/>
        </w:rPr>
        <w:t>(1)</w:t>
      </w:r>
    </w:p>
    <w:p>
      <w:pPr>
        <w:pStyle w:val="TextBody"/>
        <w:bidi w:val="0"/>
        <w:spacing w:before="400" w:after="283"/>
        <w:jc w:val="left"/>
        <w:rPr>
          <w:rFonts w:ascii="Tahoma;sans-serif" w:hAnsi="Tahoma;sans-serif"/>
          <w:color w:val="000000"/>
          <w:sz w:val="16"/>
        </w:rPr>
      </w:pPr>
      <w:r>
        <w:rPr>
          <w:rFonts w:ascii="Tahoma;sans-serif" w:hAnsi="Tahoma;sans-serif"/>
          <w:color w:val="000000"/>
          <w:sz w:val="16"/>
        </w:rPr>
        <w:t>Includes comparable and non-comparable leasing transactions.</w:t>
      </w:r>
    </w:p>
    <w:p>
      <w:pPr>
        <w:pStyle w:val="TextBody"/>
        <w:bidi w:val="0"/>
        <w:spacing w:before="20" w:after="283"/>
        <w:jc w:val="left"/>
        <w:rPr>
          <w:rFonts w:ascii="Tahoma" w:hAnsi="Tahoma"/>
          <w:color w:val="000000"/>
          <w:sz w:val="16"/>
        </w:rPr>
      </w:pPr>
      <w:r>
        <w:rPr>
          <w:rFonts w:ascii="Tahoma" w:hAnsi="Tahoma"/>
          <w:color w:val="000000"/>
          <w:sz w:val="16"/>
        </w:rPr>
        <w:t>(2)</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Tenant Allowance &amp; Landlord Work includes costs for landlord work required to return space to a baseline condition, as well as tenant allowances and improvements as it relates to a specific lease.</w:t>
      </w:r>
    </w:p>
    <w:p>
      <w:pPr>
        <w:pStyle w:val="TextBody"/>
        <w:bidi w:val="0"/>
        <w:spacing w:before="20" w:after="283"/>
        <w:jc w:val="left"/>
        <w:rPr>
          <w:rFonts w:ascii="Tahoma" w:hAnsi="Tahoma"/>
          <w:color w:val="000000"/>
          <w:sz w:val="16"/>
        </w:rPr>
      </w:pPr>
      <w:r>
        <w:rPr>
          <w:rFonts w:ascii="Tahoma" w:hAnsi="Tahoma"/>
          <w:color w:val="000000"/>
          <w:sz w:val="16"/>
        </w:rPr>
        <w:t>(3)</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Only represents leases on spaces that are currently vacant.</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Note: Represents Regency's wholly owned and pro-rata share of real estate partnerships, except GLA which is shown at 100%.</w:t>
      </w:r>
    </w:p>
    <w:p>
      <w:pPr>
        <w:pStyle w:val="TextBody"/>
        <w:bidi w:val="0"/>
        <w:jc w:val="right"/>
        <w:rPr/>
      </w:pPr>
      <w:r>
        <w:rPr/>
        <w:drawing>
          <wp:inline distT="0" distB="0" distL="0" distR="0">
            <wp:extent cx="476250" cy="2571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9" w:name="abrbystate"/>
      <w:bookmarkEnd w:id="29"/>
      <w:r>
        <w:rPr>
          <w:rFonts w:ascii="Tahoma;sans-serif" w:hAnsi="Tahoma;sans-serif"/>
          <w:b/>
          <w:color w:val="000000"/>
          <w:sz w:val="20"/>
        </w:rPr>
        <w:t>Annual Base Rent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2"/>
        <w:gridCol w:w="146"/>
        <w:gridCol w:w="1599"/>
        <w:gridCol w:w="601"/>
        <w:gridCol w:w="967"/>
        <w:gridCol w:w="916"/>
        <w:gridCol w:w="903"/>
        <w:gridCol w:w="1971"/>
        <w:gridCol w:w="768"/>
        <w:gridCol w:w="832"/>
      </w:tblGrid>
      <w:tr>
        <w:trPr/>
        <w:tc>
          <w:tcPr>
            <w:tcW w:w="1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Number of Properties</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Leased</w:t>
            </w:r>
            <w:r>
              <w:rPr>
                <w:rFonts w:ascii="Tahoma;sans-serif" w:hAnsi="Tahoma;sans-serif"/>
                <w:b/>
                <w:color w:val="000000"/>
                <w:sz w:val="11"/>
              </w:rPr>
              <w:t>(1)</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ABR/Sq. Ft.</w:t>
            </w:r>
          </w:p>
        </w:tc>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Number of Properties</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GLA</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ABR</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California</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72</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9,263</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95.5%</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$270,718</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$30.49</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14.9%</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19.0%</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23.2%</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Florida</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92</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10,789</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95.8%</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220,412</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21.34</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19.0%</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22.1%</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18.9%</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New York</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47</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3,713</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90.5%</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101,810</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29.35</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7.6%</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8.7%</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Connecticut</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46</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4,015</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93.1%</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101,226</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27.10</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8.2%</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8.7%</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Texas</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3,775</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96.6%</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78,003</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21.40</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6.6%</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7.7%</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Georgia</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2,125</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97.1%</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51,323</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24.74</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4.6%</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Virginia</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1,647</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96.7%</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48,436</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30.37</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New Jersey</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1,707</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95.2%</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38,968</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23.98</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4.3%</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North Carolina</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1,610</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98.7%</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36,421</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22.99</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Washington</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1,267</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96.5%</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35,035</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28.63</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Illinois</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1,355</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97.6%</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28,748</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22.05</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Massachusetts</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895</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95.8%</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27,629</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31.38</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Colorado</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1,408</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97.1%</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23,768</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17.26</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Pennsylvania</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715</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97.6%</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19,262</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27.33</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Maryland</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622</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95.9%</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18,189</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30.57</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Ohio</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1,221</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97.3%</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16,600</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13.67</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Oregon</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778</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99.2%</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16,523</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22.06</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Minnesota</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390</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89.9%</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7,162</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20.46</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Indiana</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345</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98.6%</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6,262</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18.44</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Tennessee</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314</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100.0%</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5,691</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17.91</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Delaware</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255</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96.8%</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4,519</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18.30</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Missouri</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408</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98.9%</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4,481</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11.09</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r>
      <w:tr>
        <w:trPr/>
        <w:tc>
          <w:tcPr>
            <w:tcW w:w="1502"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South Carolina</w:t>
            </w:r>
          </w:p>
        </w:tc>
        <w:tc>
          <w:tcPr>
            <w:tcW w:w="146"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83</w:t>
            </w:r>
          </w:p>
        </w:tc>
        <w:tc>
          <w:tcPr>
            <w:tcW w:w="96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99.4%</w:t>
            </w:r>
          </w:p>
        </w:tc>
        <w:tc>
          <w:tcPr>
            <w:tcW w:w="91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2,225</w:t>
            </w:r>
          </w:p>
        </w:tc>
        <w:tc>
          <w:tcPr>
            <w:tcW w:w="9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26.99</w:t>
            </w:r>
          </w:p>
        </w:tc>
        <w:tc>
          <w:tcPr>
            <w:tcW w:w="197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c>
          <w:tcPr>
            <w:tcW w:w="832"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r>
      <w:tr>
        <w:trPr/>
        <w:tc>
          <w:tcPr>
            <w:tcW w:w="1502"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Rhode Island</w:t>
            </w:r>
          </w:p>
        </w:tc>
        <w:tc>
          <w:tcPr>
            <w:tcW w:w="146" w:type="dxa"/>
            <w:tcBorders/>
            <w:shd w:fill="BFBFBF" w:val="clear"/>
            <w:vAlign w:val="center"/>
          </w:tcPr>
          <w:p>
            <w:pPr>
              <w:pStyle w:val="TableContents"/>
              <w:bidi w:val="0"/>
              <w:spacing w:before="0" w:after="283"/>
              <w:jc w:val="left"/>
              <w:rPr/>
            </w:pPr>
            <w:r>
              <w:rPr/>
              <w:t> </w:t>
            </w:r>
          </w:p>
        </w:tc>
        <w:tc>
          <w:tcPr>
            <w:tcW w:w="1599"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6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111</w:t>
            </w:r>
          </w:p>
        </w:tc>
        <w:tc>
          <w:tcPr>
            <w:tcW w:w="96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100.0%</w:t>
            </w:r>
          </w:p>
        </w:tc>
        <w:tc>
          <w:tcPr>
            <w:tcW w:w="916"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2,150</w:t>
            </w:r>
          </w:p>
        </w:tc>
        <w:tc>
          <w:tcPr>
            <w:tcW w:w="9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19.94</w:t>
            </w:r>
          </w:p>
        </w:tc>
        <w:tc>
          <w:tcPr>
            <w:tcW w:w="197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c>
          <w:tcPr>
            <w:tcW w:w="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c>
          <w:tcPr>
            <w:tcW w:w="832"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r>
      <w:tr>
        <w:trPr/>
        <w:tc>
          <w:tcPr>
            <w:tcW w:w="1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Washington, D.C.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96.9%</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1,574</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53.24</w:t>
            </w:r>
          </w:p>
        </w:tc>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r>
      <w:tr>
        <w:trPr/>
        <w:tc>
          <w:tcPr>
            <w:tcW w:w="1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Total All Properties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483</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48,842</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95.6%</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$1,167,133</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$24.91</w:t>
            </w:r>
          </w:p>
        </w:tc>
        <w:tc>
          <w:tcPr>
            <w:tcW w:w="1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r>
    </w:tbl>
    <w:p>
      <w:pPr>
        <w:pStyle w:val="TextBody"/>
        <w:bidi w:val="0"/>
        <w:spacing w:before="60" w:after="283"/>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Note: Represents Regency's consolidated and pro-rata share of real estate partnerships.</w:t>
      </w:r>
    </w:p>
    <w:p>
      <w:pPr>
        <w:pStyle w:val="TextBody"/>
        <w:bidi w:val="0"/>
        <w:spacing w:before="60" w:after="283"/>
        <w:jc w:val="left"/>
        <w:rPr>
          <w:rFonts w:ascii="Tahoma" w:hAnsi="Tahoma"/>
          <w:color w:val="000000"/>
          <w:sz w:val="16"/>
        </w:rPr>
      </w:pPr>
      <w:r>
        <w:rPr>
          <w:rFonts w:ascii="Tahoma" w:hAnsi="Tahoma"/>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Properties in Development and leases that are executed but have not commenced.</w:t>
      </w:r>
    </w:p>
    <w:p>
      <w:pPr>
        <w:pStyle w:val="TextBody"/>
        <w:bidi w:val="0"/>
        <w:spacing w:before="60" w:after="283"/>
        <w:jc w:val="left"/>
        <w:rPr/>
      </w:pPr>
      <w:r>
        <w:rPr/>
        <w:t> </w:t>
      </w:r>
    </w:p>
    <w:p>
      <w:pPr>
        <w:pStyle w:val="TextBody"/>
        <w:bidi w:val="0"/>
        <w:jc w:val="left"/>
        <w:rPr/>
      </w:pPr>
      <w:r>
        <w:rPr/>
        <w:drawing>
          <wp:inline distT="0" distB="0" distL="0" distR="0">
            <wp:extent cx="476250" cy="2571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 xml:space="preserve">Supplemental Information </w:t>
      </w: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0" w:name="abrbycbsa"/>
      <w:bookmarkEnd w:id="30"/>
      <w:r>
        <w:rPr>
          <w:rFonts w:ascii="Tahoma;sans-serif" w:hAnsi="Tahoma;sans-serif"/>
          <w:b/>
          <w:color w:val="000000"/>
          <w:sz w:val="20"/>
        </w:rPr>
        <w:t>Annual Base Rent by CBSA</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tbl>
      <w:tblPr>
        <w:tblW w:w="8555" w:type="dxa"/>
        <w:jc w:val="left"/>
        <w:tblInd w:w="0" w:type="dxa"/>
        <w:tblLayout w:type="fixed"/>
        <w:tblCellMar>
          <w:top w:w="28" w:type="dxa"/>
          <w:left w:w="28" w:type="dxa"/>
          <w:bottom w:w="28" w:type="dxa"/>
          <w:right w:w="28" w:type="dxa"/>
        </w:tblCellMar>
      </w:tblPr>
      <w:tblGrid>
        <w:gridCol w:w="2356"/>
        <w:gridCol w:w="146"/>
        <w:gridCol w:w="1141"/>
        <w:gridCol w:w="436"/>
        <w:gridCol w:w="676"/>
        <w:gridCol w:w="646"/>
        <w:gridCol w:w="631"/>
        <w:gridCol w:w="1396"/>
        <w:gridCol w:w="541"/>
        <w:gridCol w:w="58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1"/>
              </w:rPr>
            </w:pPr>
            <w:r>
              <w:rPr>
                <w:rFonts w:ascii="Tahoma;sans-serif" w:hAnsi="Tahoma;sans-serif"/>
                <w:b/>
                <w:color w:val="000000"/>
                <w:sz w:val="11"/>
              </w:rPr>
              <w:t>Largest CBSAs by Population</w:t>
            </w:r>
            <w:r>
              <w:rPr>
                <w:rFonts w:ascii="Tahoma;sans-serif" w:hAnsi="Tahoma;sans-serif"/>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Number of Properties</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Leased</w:t>
            </w:r>
            <w:r>
              <w:rPr>
                <w:rFonts w:ascii="Tahoma;sans-serif" w:hAnsi="Tahoma;sans-serif"/>
                <w:b/>
                <w:color w:val="000000"/>
                <w:sz w:val="7"/>
              </w:rPr>
              <w:t>(2)</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ABR</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ABR/Sq. Ft.</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of Number of Properties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of GLA</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of ABR</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 New York-Newark-Jersey City</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65</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5,040</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91.8%</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$135,840</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$29.37</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13.5%</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 Los Angeles-Long Beach-Anaheim</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2,546</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97.6%</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$78,099</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$31.44</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 Chicago-Naperville-Elgin</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1,645</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96.6%</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$33,872</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$21.33</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 Dallas-Fort Worth-Arlington</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913</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97.6%</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$20,647</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$23.17</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5) Houston-Woodlands-Sugar Land</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2,028</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96.3%</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$39,243</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$20.10</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6) Washington-Arlington-Alexandria</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1,834</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97.1%</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$56,213</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$31.58</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7) Atlanta-SandySprings-Alpharetta</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2,125</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97.1%</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$51,323</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$24.87</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8) Philadelphia-Camden-Wilmington</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1,168</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96.3%</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$24,480</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$21.76</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9) Miami-Ft Lauderdale-Pompano Beach</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5,177</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93.4%</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$116,548</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$24.10</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10.6%</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10) Phoenix-Mesa-Chandler</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11) Boston-Cambridge-Newton</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907</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97.3%</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$26,660</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$30.20</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12) San Francisco-Oakland-Berkeley</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3,413</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94.6%</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$99,633</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$30.86</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8.5%</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13) Riverside-San Bernardino-Ontario</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$3,225</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$32.66</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0.2%</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0.2%</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0.3%</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14) Detroit-Warren-Dearborn</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15) Seattle-Tacoma-Bellevue</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1,267</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96.5%</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$35,035</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$28.65</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16) Minneapolis-St. Paul-Bloomington</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390</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89.9%</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$7,162</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$20.44</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0.8%</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0.6%</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17) San Diego-Chula Vista-Carlsbad</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1,370</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97.8%</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$42,830</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$31.97</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18) Tampa-St Petersburg-Clearwater</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1,296</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99.3%</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$27,099</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$21.06</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19) Denver-Aurora-Lakewood</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940</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97.1%</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$15,651</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$17.14</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20) Baltimore-Columbia-Towson</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267</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96.8%</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$7,284</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$28.23</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0.8%</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0.5%</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0.6%</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21) Orlando-Kissimmee-Sanford</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834</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96.7%</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$16,707</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$20.72</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22) St. Louis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408</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$4,481</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$11.09</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0.8%</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0.8%</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0.4%</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23) Charlotte-Concord-Gastonia</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609</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98.7%</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$15,297</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$25.48</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0.8%</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24) San Antonio-New Braunfels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25) Portland-Vancouver-Hillsboro</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436</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94.8%</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$9,556</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$23.13</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0.9%</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0.8%</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26) Austin-Round Rock-Georgetown</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834</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96.2%</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$18,113</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$22.58</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27) Sacramento-Roseville-Folsom</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318</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92.6%</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$6,975</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$23.72</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0.8%</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0.7%</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0.6%</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28) Pittsburgh</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29) Las Vegas-Henderson-Paradise</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30) Cincinnati</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899</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$12,537</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$14.11</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31) Kansas City</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32) Indianapolis-Carmel-Anderson</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91.6%</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$1,138</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$22.38</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0.4%</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0.1%</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0.1%</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33) Nashville-Davidson-Murfreesboro-Franklin</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314</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$5,691</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$18.10</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0.6%</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0.6%</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0.5%</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34) Cleveland-Elyria</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35) San Jose-Sunnyvale-Santa Clara</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645</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96.2%</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$20,469</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$32.97</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36) Virginia Beach-Norfolk-Newport News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37) Jacksonville</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1,926</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$34,052</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$17.87</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38) Providence-Warwick</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39) Milwaukee-Waukesha</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40) Raleigh-Cary</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703</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98.5%</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$15,675</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$22.62</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41) Oklahoma City</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42) Memphis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43) Salt Lake City</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44) Louisville/Jefferson County</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45) New Orleans-Metairie</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46) Hartford-E Hartford-Middletown</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302</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96.4%</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$6,007</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$20.67</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0.4%</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0.6%</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0.5%</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47) Buffalo-Cheektowaga</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48) Birmingham-Hoover</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49) Grand Rapids-Kentwood</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50) Tucson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r>
      <w:tr>
        <w:trPr/>
        <w:tc>
          <w:tcPr>
            <w:tcW w:w="2356" w:type="dxa"/>
            <w:tcBorders/>
            <w:shd w:fill="BFBFBF" w:val="clear"/>
            <w:vAlign w:val="center"/>
          </w:tcPr>
          <w:p>
            <w:pPr>
              <w:pStyle w:val="TableContents"/>
              <w:bidi w:val="0"/>
              <w:spacing w:before="0" w:after="283"/>
              <w:jc w:val="left"/>
              <w:rPr>
                <w:rFonts w:ascii="Tahoma;sans-serif" w:hAnsi="Tahoma;sans-serif"/>
                <w:b/>
                <w:color w:val="000000"/>
                <w:sz w:val="11"/>
              </w:rPr>
            </w:pPr>
            <w:r>
              <w:rPr>
                <w:rFonts w:ascii="Tahoma;sans-serif" w:hAnsi="Tahoma;sans-serif"/>
                <w:b/>
                <w:color w:val="000000"/>
                <w:sz w:val="11"/>
              </w:rPr>
              <w:t>Top 50 CBSAs by Population</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387</w:t>
            </w:r>
          </w:p>
        </w:tc>
        <w:tc>
          <w:tcPr>
            <w:tcW w:w="436" w:type="dxa"/>
            <w:tcBorders/>
            <w:shd w:fill="BFBFB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40,707</w:t>
            </w:r>
          </w:p>
        </w:tc>
        <w:tc>
          <w:tcPr>
            <w:tcW w:w="676" w:type="dxa"/>
            <w:tcBorders/>
            <w:shd w:fill="BFBFB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95.8%</w:t>
            </w:r>
          </w:p>
        </w:tc>
        <w:tc>
          <w:tcPr>
            <w:tcW w:w="646" w:type="dxa"/>
            <w:tcBorders/>
            <w:shd w:fill="BFBFB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$987,542</w:t>
            </w:r>
          </w:p>
        </w:tc>
        <w:tc>
          <w:tcPr>
            <w:tcW w:w="631" w:type="dxa"/>
            <w:tcBorders/>
            <w:shd w:fill="BFBFB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$25.20</w:t>
            </w:r>
          </w:p>
        </w:tc>
        <w:tc>
          <w:tcPr>
            <w:tcW w:w="1396" w:type="dxa"/>
            <w:tcBorders/>
            <w:shd w:fill="BFBFB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80.1%</w:t>
            </w:r>
          </w:p>
        </w:tc>
        <w:tc>
          <w:tcPr>
            <w:tcW w:w="541" w:type="dxa"/>
            <w:tcBorders/>
            <w:shd w:fill="BFBFB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83.3%</w:t>
            </w:r>
          </w:p>
        </w:tc>
        <w:tc>
          <w:tcPr>
            <w:tcW w:w="586" w:type="dxa"/>
            <w:tcBorders/>
            <w:shd w:fill="BFBFB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84.6%</w:t>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396" w:type="dxa"/>
            <w:tcBorders/>
            <w:shd w:fill="FFFFFF" w:val="clear"/>
            <w:vAlign w:val="center"/>
          </w:tcPr>
          <w:p>
            <w:pPr>
              <w:pStyle w:val="TableContents"/>
              <w:bidi w:val="0"/>
              <w:spacing w:before="0" w:after="283"/>
              <w:jc w:val="center"/>
              <w:rPr/>
            </w:pPr>
            <w:r>
              <w:rPr/>
              <w:t> </w:t>
            </w:r>
          </w:p>
        </w:tc>
        <w:tc>
          <w:tcPr>
            <w:tcW w:w="541"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CBSAs Ranked 51 - 75 by Population</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4,533</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92.8%</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$119,850</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$28.47</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396" w:type="dxa"/>
            <w:tcBorders/>
            <w:shd w:fill="FFFFFF" w:val="clear"/>
            <w:vAlign w:val="center"/>
          </w:tcPr>
          <w:p>
            <w:pPr>
              <w:pStyle w:val="TableContents"/>
              <w:bidi w:val="0"/>
              <w:spacing w:before="0" w:after="283"/>
              <w:jc w:val="center"/>
              <w:rPr/>
            </w:pPr>
            <w:r>
              <w:rPr/>
              <w:t> </w:t>
            </w:r>
          </w:p>
        </w:tc>
        <w:tc>
          <w:tcPr>
            <w:tcW w:w="541"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CBSAs Ranked 76 - 100 by Population</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1,563</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96.7%</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$26,053</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$17.20</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396" w:type="dxa"/>
            <w:tcBorders/>
            <w:shd w:fill="FFFFFF" w:val="clear"/>
            <w:vAlign w:val="center"/>
          </w:tcPr>
          <w:p>
            <w:pPr>
              <w:pStyle w:val="TableContents"/>
              <w:bidi w:val="0"/>
              <w:spacing w:before="0" w:after="283"/>
              <w:jc w:val="center"/>
              <w:rPr/>
            </w:pPr>
            <w:r>
              <w:rPr/>
              <w:t> </w:t>
            </w:r>
          </w:p>
        </w:tc>
        <w:tc>
          <w:tcPr>
            <w:tcW w:w="541"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r>
      <w:tr>
        <w:trPr/>
        <w:tc>
          <w:tcPr>
            <w:tcW w:w="2356" w:type="dxa"/>
            <w:tcBorders/>
            <w:shd w:fill="BFBFB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Other CBSAs</w:t>
            </w:r>
          </w:p>
        </w:tc>
        <w:tc>
          <w:tcPr>
            <w:tcW w:w="146" w:type="dxa"/>
            <w:tcBorders/>
            <w:shd w:fill="BFBFBF" w:val="clear"/>
            <w:vAlign w:val="center"/>
          </w:tcPr>
          <w:p>
            <w:pPr>
              <w:pStyle w:val="TableContents"/>
              <w:bidi w:val="0"/>
              <w:spacing w:before="0" w:after="283"/>
              <w:jc w:val="left"/>
              <w:rPr/>
            </w:pPr>
            <w:r>
              <w:rPr/>
              <w:t> </w:t>
            </w:r>
          </w:p>
        </w:tc>
        <w:tc>
          <w:tcPr>
            <w:tcW w:w="11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43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2,039</w:t>
            </w:r>
          </w:p>
        </w:tc>
        <w:tc>
          <w:tcPr>
            <w:tcW w:w="67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96.1%</w:t>
            </w:r>
          </w:p>
        </w:tc>
        <w:tc>
          <w:tcPr>
            <w:tcW w:w="64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$33,688</w:t>
            </w:r>
          </w:p>
        </w:tc>
        <w:tc>
          <w:tcPr>
            <w:tcW w:w="63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$17.22</w:t>
            </w:r>
          </w:p>
        </w:tc>
        <w:tc>
          <w:tcPr>
            <w:tcW w:w="139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541"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586" w:type="dxa"/>
            <w:tcBorders/>
            <w:shd w:fill="BFBFB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w:t>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1"/>
              </w:rPr>
            </w:pPr>
            <w:r>
              <w:rPr>
                <w:rFonts w:ascii="Tahoma;sans-serif" w:hAnsi="Tahoma;sans-serif"/>
                <w:b/>
                <w:color w:val="000000"/>
                <w:sz w:val="11"/>
              </w:rPr>
              <w:t>Total All Properties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483</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48,842</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95.6%</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$1,167,133</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$24.91</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100.0%</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100.0%</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100.0%</w:t>
            </w:r>
          </w:p>
        </w:tc>
      </w:tr>
    </w:tbl>
    <w:p>
      <w:pPr>
        <w:pStyle w:val="TextBody"/>
        <w:bidi w:val="0"/>
        <w:spacing w:before="180" w:after="283"/>
        <w:jc w:val="left"/>
        <w:rPr>
          <w:rFonts w:ascii="Tahoma;sans-serif" w:hAnsi="Tahoma;sans-serif"/>
          <w:color w:val="000000"/>
          <w:sz w:val="14"/>
        </w:rPr>
      </w:pPr>
      <w:r>
        <w:rPr>
          <w:rFonts w:ascii="Tahoma;sans-serif" w:hAnsi="Tahoma;sans-serif"/>
          <w:color w:val="000000"/>
          <w:sz w:val="14"/>
        </w:rPr>
        <w:t>Note: Represents Regency's consolidated and pro-rata share of real estate partnerships</w:t>
      </w:r>
    </w:p>
    <w:p>
      <w:pPr>
        <w:pStyle w:val="TextBody"/>
        <w:bidi w:val="0"/>
        <w:spacing w:before="20" w:after="283"/>
        <w:jc w:val="left"/>
        <w:rPr>
          <w:rFonts w:ascii="Tahoma" w:hAnsi="Tahoma"/>
          <w:color w:val="000000"/>
          <w:sz w:val="14"/>
        </w:rPr>
      </w:pPr>
      <w:r>
        <w:rPr>
          <w:rFonts w:ascii="Tahoma" w:hAnsi="Tahoma"/>
          <w:color w:val="000000"/>
          <w:sz w:val="14"/>
        </w:rPr>
        <w:t>(1)</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Population Data Source: ESRI</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Properties in Development and leases that are executed but have not commenced.</w:t>
      </w:r>
    </w:p>
    <w:p>
      <w:pPr>
        <w:pStyle w:val="TextBody"/>
        <w:bidi w:val="0"/>
        <w:jc w:val="left"/>
        <w:rPr/>
      </w:pPr>
      <w:r>
        <w:rPr/>
        <w:drawing>
          <wp:inline distT="0" distB="0" distL="0" distR="0">
            <wp:extent cx="476250" cy="2571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 xml:space="preserve">Supplemental Information </w:t>
      </w: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1" w:name="abrbycategory"/>
      <w:bookmarkEnd w:id="31"/>
      <w:r>
        <w:rPr>
          <w:rFonts w:ascii="Tahoma;sans-serif" w:hAnsi="Tahoma;sans-serif"/>
          <w:b/>
          <w:color w:val="000000"/>
          <w:sz w:val="20"/>
        </w:rPr>
        <w:t>Annual Base Rent By Tenant Category</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4483" w:type="dxa"/>
        <w:jc w:val="left"/>
        <w:tblInd w:w="0" w:type="dxa"/>
        <w:tblLayout w:type="fixed"/>
        <w:tblCellMar>
          <w:top w:w="28" w:type="dxa"/>
          <w:left w:w="28" w:type="dxa"/>
          <w:bottom w:w="28" w:type="dxa"/>
          <w:right w:w="28" w:type="dxa"/>
        </w:tblCellMar>
      </w:tblPr>
      <w:tblGrid>
        <w:gridCol w:w="3181"/>
        <w:gridCol w:w="146"/>
        <w:gridCol w:w="115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20"/>
              </w:rPr>
            </w:pPr>
            <w:r>
              <w:rPr>
                <w:rFonts w:ascii="Tahoma;sans-serif" w:hAnsi="Tahoma;sans-serif"/>
                <w:b/>
                <w:color w:val="000000"/>
                <w:sz w:val="20"/>
              </w:rPr>
              <w:t>Tenant Category Exposure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ahoma;sans-serif" w:hAnsi="Tahoma;sans-serif"/>
                <w:b/>
                <w:color w:val="000000"/>
                <w:sz w:val="20"/>
              </w:rPr>
              <w:t>% of ABR</w:t>
            </w:r>
            <w:r>
              <w:rPr>
                <w:rFonts w:ascii="Tahoma;sans-serif" w:hAnsi="Tahoma;sans-serif"/>
                <w:b/>
                <w:color w:val="000000"/>
                <w:sz w:val="13"/>
              </w:rPr>
              <w:t>(1)</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Grocery</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20%</w:t>
            </w:r>
          </w:p>
        </w:tc>
      </w:tr>
      <w:tr>
        <w:trPr/>
        <w:tc>
          <w:tcPr>
            <w:tcW w:w="3181" w:type="dxa"/>
            <w:tcBorders/>
            <w:shd w:fill="FFFFF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Restaurant - Quick Service/Fast Casual</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13%</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Personal Services</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7%</w:t>
            </w:r>
          </w:p>
        </w:tc>
      </w:tr>
      <w:tr>
        <w:trPr/>
        <w:tc>
          <w:tcPr>
            <w:tcW w:w="3181" w:type="dxa"/>
            <w:tcBorders/>
            <w:shd w:fill="FFFFF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Medical</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7%</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Restaurant - Full Service</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6%</w:t>
            </w:r>
          </w:p>
        </w:tc>
      </w:tr>
      <w:tr>
        <w:trPr/>
        <w:tc>
          <w:tcPr>
            <w:tcW w:w="3181" w:type="dxa"/>
            <w:tcBorders/>
            <w:shd w:fill="FFFFF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Apparel/Accessories</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Off-Price</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w:t>
            </w:r>
          </w:p>
        </w:tc>
      </w:tr>
      <w:tr>
        <w:trPr/>
        <w:tc>
          <w:tcPr>
            <w:tcW w:w="3181" w:type="dxa"/>
            <w:tcBorders/>
            <w:shd w:fill="FFFFF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Fitness</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Banks</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w:t>
            </w:r>
          </w:p>
        </w:tc>
      </w:tr>
      <w:tr>
        <w:trPr/>
        <w:tc>
          <w:tcPr>
            <w:tcW w:w="3181" w:type="dxa"/>
            <w:tcBorders/>
            <w:shd w:fill="FFFFF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Business Services</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4%</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Hobby/Sports</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4%</w:t>
            </w:r>
          </w:p>
        </w:tc>
      </w:tr>
      <w:tr>
        <w:trPr/>
        <w:tc>
          <w:tcPr>
            <w:tcW w:w="3181" w:type="dxa"/>
            <w:tcBorders/>
            <w:shd w:fill="FFFFF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Pet</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Pharmacy</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FFFFF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Home</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Other</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FFFFF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Office/Communications</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Home Improvement/Auto</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w:t>
            </w:r>
          </w:p>
        </w:tc>
      </w:tr>
      <w:tr>
        <w:trPr/>
        <w:tc>
          <w:tcPr>
            <w:tcW w:w="3181" w:type="dxa"/>
            <w:tcBorders/>
            <w:shd w:fill="FFFFF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Liquor/Wine/Beer</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Beauty/Cosmetics</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1%</w:t>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Entertainment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1%</w:t>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pPr>
            <w:r>
              <w:rPr/>
              <w:t> </w:t>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ahoma;sans-serif" w:hAnsi="Tahoma;sans-serif"/>
                <w:b/>
                <w:color w:val="000000"/>
                <w:sz w:val="18"/>
              </w:rPr>
              <w:t>Anchor/Shop Exposure</w:t>
            </w:r>
            <w:r>
              <w:rPr>
                <w:rFonts w:ascii="Tahoma;sans-serif" w:hAnsi="Tahoma;sans-serif"/>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8"/>
              </w:rPr>
            </w:pPr>
            <w:r>
              <w:rPr>
                <w:rFonts w:ascii="Tahoma;sans-serif" w:hAnsi="Tahoma;sans-serif"/>
                <w:b/>
                <w:color w:val="000000"/>
                <w:sz w:val="18"/>
              </w:rPr>
              <w:t>% of ABR</w:t>
            </w:r>
          </w:p>
        </w:tc>
      </w:tr>
      <w:tr>
        <w:trPr/>
        <w:tc>
          <w:tcPr>
            <w:tcW w:w="3181" w:type="dxa"/>
            <w:tcBorders/>
            <w:shd w:fill="BFBFBF" w:val="cle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Shop</w:t>
            </w:r>
          </w:p>
        </w:tc>
        <w:tc>
          <w:tcPr>
            <w:tcW w:w="146" w:type="dxa"/>
            <w:tcBorders/>
            <w:shd w:fill="BFBFBF" w:val="clear"/>
            <w:vAlign w:val="center"/>
          </w:tcPr>
          <w:p>
            <w:pPr>
              <w:pStyle w:val="TableContents"/>
              <w:bidi w:val="0"/>
              <w:spacing w:before="0" w:after="283"/>
              <w:jc w:val="left"/>
              <w:rPr/>
            </w:pPr>
            <w:r>
              <w:rPr/>
              <w:t> </w:t>
            </w:r>
          </w:p>
        </w:tc>
        <w:tc>
          <w:tcPr>
            <w:tcW w:w="1156" w:type="dxa"/>
            <w:tcBorders/>
            <w:shd w:fill="BFBFBF" w:val="cle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58%</w:t>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Anchor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42%</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Represents Regency's consolidated and pro-rata share of real estate partnerships; includes properties in development, excludes leases that are executed but have not rent commenced.</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pPr>
      <w:r>
        <w:rPr>
          <w:rFonts w:ascii="Tahoma;sans-serif" w:hAnsi="Tahoma;sans-serif"/>
          <w:color w:val="000000"/>
          <w:sz w:val="14"/>
        </w:rPr>
        <w:t xml:space="preserve">Shop tenants defined as &lt;10K SF, Anchor tenants defined as </w:t>
      </w:r>
      <w:r>
        <w:rPr>
          <w:rFonts w:ascii="Tahoma;sans-serif" w:hAnsi="Tahoma;sans-serif"/>
          <w:color w:val="000000"/>
          <w:sz w:val="14"/>
          <w:u w:val="single"/>
        </w:rPr>
        <w:t>&gt;</w:t>
      </w:r>
      <w:r>
        <w:rPr>
          <w:rFonts w:ascii="Tahoma;sans-serif" w:hAnsi="Tahoma;sans-serif"/>
          <w:color w:val="000000"/>
          <w:sz w:val="14"/>
        </w:rPr>
        <w:t>10K SF.</w:t>
      </w:r>
    </w:p>
    <w:p>
      <w:pPr>
        <w:pStyle w:val="TextBody"/>
        <w:bidi w:val="0"/>
        <w:jc w:val="right"/>
        <w:rPr/>
      </w:pPr>
      <w:r>
        <w:rPr/>
        <w:drawing>
          <wp:inline distT="0" distB="0" distL="0" distR="0">
            <wp:extent cx="476250" cy="2571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2" w:name="sigtenants"/>
      <w:bookmarkEnd w:id="32"/>
      <w:r>
        <w:rPr>
          <w:rFonts w:ascii="Tahoma;sans-serif" w:hAnsi="Tahoma;sans-serif"/>
          <w:b/>
          <w:color w:val="000000"/>
          <w:sz w:val="20"/>
        </w:rPr>
        <w:t>Significant Tenant Rents</w:t>
      </w:r>
    </w:p>
    <w:p>
      <w:pPr>
        <w:pStyle w:val="TextBody"/>
        <w:bidi w:val="0"/>
        <w:jc w:val="center"/>
        <w:rPr>
          <w:rFonts w:ascii="Tahoma;sans-serif" w:hAnsi="Tahoma;sans-serif"/>
          <w:b/>
          <w:color w:val="000000"/>
          <w:sz w:val="20"/>
        </w:rPr>
      </w:pPr>
      <w:r>
        <w:rPr>
          <w:rFonts w:ascii="Tahoma;sans-serif" w:hAnsi="Tahoma;sans-serif"/>
          <w:b/>
          <w:color w:val="000000"/>
          <w:sz w:val="20"/>
        </w:rPr>
        <w:t>(Includes Tenants ≥ 0.5% of ABR)</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
        <w:gridCol w:w="2076"/>
        <w:gridCol w:w="803"/>
        <w:gridCol w:w="146"/>
        <w:gridCol w:w="1768"/>
        <w:gridCol w:w="146"/>
        <w:gridCol w:w="1597"/>
        <w:gridCol w:w="146"/>
        <w:gridCol w:w="1827"/>
        <w:gridCol w:w="1395"/>
      </w:tblGrid>
      <w:tr>
        <w:trPr/>
        <w:tc>
          <w:tcPr>
            <w:tcW w:w="30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t>
            </w:r>
          </w:p>
        </w:tc>
        <w:tc>
          <w:tcPr>
            <w:tcW w:w="2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Tenant</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Tenant 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Company-Owned 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Annualized Base 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Total Annualized Base Rent</w:t>
            </w:r>
          </w:p>
        </w:tc>
        <w:tc>
          <w:tcPr>
            <w:tcW w:w="1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 of Leased Stores</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2076"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Publix</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2,925</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$34,113</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2076" w:type="dxa"/>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Albertsons Companies, Inc.</w:t>
            </w:r>
            <w:r>
              <w:rPr>
                <w:rFonts w:ascii="Tahoma;sans-serif" w:hAnsi="Tahoma;sans-serif"/>
                <w:color w:val="000000"/>
                <w:sz w:val="11"/>
              </w:rPr>
              <w:t>(1)</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2,147</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33,035</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w:t>
            </w:r>
          </w:p>
        </w:tc>
        <w:tc>
          <w:tcPr>
            <w:tcW w:w="2076" w:type="dxa"/>
            <w:tcBorders/>
            <w:shd w:fill="BFBFB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TJX Companies, Inc.</w:t>
            </w:r>
            <w:r>
              <w:rPr>
                <w:rFonts w:ascii="Tahoma;sans-serif" w:hAnsi="Tahoma;sans-serif"/>
                <w:color w:val="000000"/>
                <w:sz w:val="11"/>
              </w:rPr>
              <w:t>(2)</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1,760</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32,389</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w:t>
            </w:r>
          </w:p>
        </w:tc>
        <w:tc>
          <w:tcPr>
            <w:tcW w:w="207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Amazon/Whole Foods</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1,296</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30,933</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w:t>
            </w:r>
          </w:p>
        </w:tc>
        <w:tc>
          <w:tcPr>
            <w:tcW w:w="2076" w:type="dxa"/>
            <w:tcBorders/>
            <w:shd w:fill="BFBFB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Kroger Co.</w:t>
            </w:r>
            <w:r>
              <w:rPr>
                <w:rFonts w:ascii="Tahoma;sans-serif" w:hAnsi="Tahoma;sans-serif"/>
                <w:color w:val="000000"/>
                <w:sz w:val="11"/>
              </w:rPr>
              <w:t>(3)</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2,933</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30,275</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w:t>
            </w:r>
          </w:p>
        </w:tc>
        <w:tc>
          <w:tcPr>
            <w:tcW w:w="2076" w:type="dxa"/>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Ahold Delhaize</w:t>
            </w:r>
            <w:r>
              <w:rPr>
                <w:rFonts w:ascii="Tahoma;sans-serif" w:hAnsi="Tahoma;sans-serif"/>
                <w:color w:val="000000"/>
                <w:sz w:val="11"/>
              </w:rPr>
              <w:t>(4)</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924</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22,876</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c>
          <w:tcPr>
            <w:tcW w:w="2076"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CVS</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770</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20,207</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64</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207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L.A. Fitness Sports Club</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516</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11,242</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w:t>
            </w:r>
          </w:p>
        </w:tc>
        <w:tc>
          <w:tcPr>
            <w:tcW w:w="2076"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Trader Joe's</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311</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11,134</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207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JPMorgan Chase Bank</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179</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10,983</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57</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2076" w:type="dxa"/>
            <w:tcBorders/>
            <w:shd w:fill="BFBFB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Nordstrom</w:t>
            </w:r>
            <w:r>
              <w:rPr>
                <w:rFonts w:ascii="Tahoma;sans-serif" w:hAnsi="Tahoma;sans-serif"/>
                <w:color w:val="000000"/>
                <w:sz w:val="11"/>
              </w:rPr>
              <w:t>(5)</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366</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10,080</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w:t>
            </w:r>
          </w:p>
        </w:tc>
        <w:tc>
          <w:tcPr>
            <w:tcW w:w="207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Ross Dress For Less</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534</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9,374</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c>
          <w:tcPr>
            <w:tcW w:w="2076" w:type="dxa"/>
            <w:tcBorders/>
            <w:shd w:fill="BFBFB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H.E. Butt Grocery Company</w:t>
            </w:r>
            <w:r>
              <w:rPr>
                <w:rFonts w:ascii="Tahoma;sans-serif" w:hAnsi="Tahoma;sans-serif"/>
                <w:color w:val="000000"/>
                <w:sz w:val="11"/>
              </w:rPr>
              <w:t>(6)</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603</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9,121</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c>
          <w:tcPr>
            <w:tcW w:w="2076" w:type="dxa"/>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Gap, Inc</w:t>
            </w:r>
            <w:r>
              <w:rPr>
                <w:rFonts w:ascii="Tahoma;sans-serif" w:hAnsi="Tahoma;sans-serif"/>
                <w:color w:val="000000"/>
                <w:sz w:val="11"/>
              </w:rPr>
              <w:t>(7)</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277</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8,951</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c>
          <w:tcPr>
            <w:tcW w:w="2076"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Starbucks</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146</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8,806</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93</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c>
          <w:tcPr>
            <w:tcW w:w="207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Bank of America</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149</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8,614</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2076"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Target</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771</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8,485</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207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Wells Fargo Bank</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138</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7,858</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46</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w:t>
            </w:r>
          </w:p>
        </w:tc>
        <w:tc>
          <w:tcPr>
            <w:tcW w:w="2076" w:type="dxa"/>
            <w:tcBorders/>
            <w:shd w:fill="BFBFB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Petco Health and Wellness Company</w:t>
            </w:r>
            <w:r>
              <w:rPr>
                <w:rFonts w:ascii="Tahoma;sans-serif" w:hAnsi="Tahoma;sans-serif"/>
                <w:color w:val="000000"/>
                <w:sz w:val="11"/>
              </w:rPr>
              <w:t>(8)</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303</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7,406</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2076" w:type="dxa"/>
            <w:tcBorders/>
            <w:shd w:fill="FFFFF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JAB Holding Company</w:t>
            </w:r>
            <w:r>
              <w:rPr>
                <w:rFonts w:ascii="Tahoma;sans-serif" w:hAnsi="Tahoma;sans-serif"/>
                <w:color w:val="000000"/>
                <w:sz w:val="11"/>
              </w:rPr>
              <w:t>(9)</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170</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6,997</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59</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2076" w:type="dxa"/>
            <w:tcBorders/>
            <w:shd w:fill="BFBFB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Walgreens Boots Alliance</w:t>
            </w:r>
            <w:r>
              <w:rPr>
                <w:rFonts w:ascii="Tahoma;sans-serif" w:hAnsi="Tahoma;sans-serif"/>
                <w:color w:val="000000"/>
                <w:sz w:val="11"/>
              </w:rPr>
              <w:t>(10)</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266</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6,946</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207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Kohl's</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526</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6,381</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2076" w:type="dxa"/>
            <w:tcBorders/>
            <w:shd w:fill="BFBFBF"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Xponential Fitness</w:t>
            </w:r>
            <w:r>
              <w:rPr>
                <w:rFonts w:ascii="Tahoma;sans-serif" w:hAnsi="Tahoma;sans-serif"/>
                <w:color w:val="000000"/>
                <w:sz w:val="11"/>
              </w:rPr>
              <w:t>(11)</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152</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6,032</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91</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c>
          <w:tcPr>
            <w:tcW w:w="207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Ulta</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198</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5,959</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r>
      <w:tr>
        <w:trPr/>
        <w:tc>
          <w:tcPr>
            <w:tcW w:w="301"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2076" w:type="dxa"/>
            <w:tcBorders/>
            <w:shd w:fill="BFBFB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Five Below</w:t>
            </w:r>
          </w:p>
        </w:tc>
        <w:tc>
          <w:tcPr>
            <w:tcW w:w="803"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182</w:t>
            </w:r>
          </w:p>
        </w:tc>
        <w:tc>
          <w:tcPr>
            <w:tcW w:w="146" w:type="dxa"/>
            <w:tcBorders/>
            <w:shd w:fill="BFBFBF" w:val="clear"/>
            <w:vAlign w:val="center"/>
          </w:tcPr>
          <w:p>
            <w:pPr>
              <w:pStyle w:val="TableContents"/>
              <w:bidi w:val="0"/>
              <w:spacing w:before="0" w:after="283"/>
              <w:jc w:val="left"/>
              <w:rPr/>
            </w:pPr>
            <w:r>
              <w:rPr/>
              <w:t> </w:t>
            </w:r>
          </w:p>
        </w:tc>
        <w:tc>
          <w:tcPr>
            <w:tcW w:w="1768"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BFBFBF" w:val="clear"/>
            <w:vAlign w:val="center"/>
          </w:tcPr>
          <w:p>
            <w:pPr>
              <w:pStyle w:val="TableContents"/>
              <w:bidi w:val="0"/>
              <w:spacing w:before="0" w:after="283"/>
              <w:jc w:val="left"/>
              <w:rPr/>
            </w:pPr>
            <w:r>
              <w:rPr/>
              <w:t> </w:t>
            </w:r>
          </w:p>
        </w:tc>
        <w:tc>
          <w:tcPr>
            <w:tcW w:w="159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5,469</w:t>
            </w:r>
          </w:p>
        </w:tc>
        <w:tc>
          <w:tcPr>
            <w:tcW w:w="146" w:type="dxa"/>
            <w:tcBorders/>
            <w:shd w:fill="BFBFBF" w:val="clear"/>
            <w:vAlign w:val="center"/>
          </w:tcPr>
          <w:p>
            <w:pPr>
              <w:pStyle w:val="TableContents"/>
              <w:bidi w:val="0"/>
              <w:spacing w:before="0" w:after="283"/>
              <w:jc w:val="left"/>
              <w:rPr/>
            </w:pPr>
            <w:r>
              <w:rPr/>
              <w:t> </w:t>
            </w:r>
          </w:p>
        </w:tc>
        <w:tc>
          <w:tcPr>
            <w:tcW w:w="1827"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95" w:type="dxa"/>
            <w:tcBorders/>
            <w:shd w:fill="BFBFB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r>
      <w:tr>
        <w:trPr/>
        <w:tc>
          <w:tcPr>
            <w:tcW w:w="3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c>
          <w:tcPr>
            <w:tcW w:w="207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Walmart</w:t>
            </w:r>
          </w:p>
        </w:tc>
        <w:tc>
          <w:tcPr>
            <w:tcW w:w="803"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677</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c>
          <w:tcPr>
            <w:tcW w:w="146"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5,371</w:t>
            </w:r>
          </w:p>
        </w:tc>
        <w:tc>
          <w:tcPr>
            <w:tcW w:w="146"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95"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r>
      <w:tr>
        <w:trPr/>
        <w:tc>
          <w:tcPr>
            <w:tcW w:w="3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0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Top Tenants</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19,219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7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39.4%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$359,037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30.8%</w:t>
            </w:r>
          </w:p>
        </w:tc>
        <w:tc>
          <w:tcPr>
            <w:tcW w:w="13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984</w:t>
            </w:r>
          </w:p>
        </w:tc>
      </w:tr>
    </w:tbl>
    <w:p>
      <w:pPr>
        <w:pStyle w:val="TextBody"/>
        <w:bidi w:val="0"/>
        <w:jc w:val="left"/>
        <w:rPr/>
      </w:pPr>
      <w:r>
        <w:rPr/>
        <w:t> </w:t>
      </w:r>
    </w:p>
    <w:p>
      <w:pPr>
        <w:pStyle w:val="TextBody"/>
        <w:bidi w:val="0"/>
        <w:spacing w:before="240" w:after="283"/>
        <w:jc w:val="left"/>
        <w:rPr>
          <w:rFonts w:ascii="Tahoma" w:hAnsi="Tahoma"/>
          <w:color w:val="000000"/>
          <w:sz w:val="14"/>
        </w:rPr>
      </w:pPr>
      <w:r>
        <w:rPr>
          <w:rFonts w:ascii="Tahoma" w:hAnsi="Tahoma"/>
          <w:color w:val="000000"/>
          <w:sz w:val="14"/>
        </w:rPr>
        <w:t>(1)</w:t>
      </w:r>
    </w:p>
    <w:p>
      <w:pPr>
        <w:pStyle w:val="TextBody"/>
        <w:bidi w:val="0"/>
        <w:spacing w:before="240" w:after="283"/>
        <w:jc w:val="left"/>
        <w:rPr>
          <w:rFonts w:ascii="Tahoma;sans-serif" w:hAnsi="Tahoma;sans-serif"/>
          <w:color w:val="000000"/>
          <w:sz w:val="14"/>
        </w:rPr>
      </w:pPr>
      <w:r>
        <w:rPr>
          <w:rFonts w:ascii="Tahoma;sans-serif" w:hAnsi="Tahoma;sans-serif"/>
          <w:color w:val="000000"/>
          <w:sz w:val="14"/>
        </w:rPr>
        <w:t>Safeway 21 / VONS 8 / Acme 7 / Albertson's 4 / Shaw's 3 / Tom Thumb 3 / Randalls 2 / Star Market 1 / Dominick's 1 / Pavilions 1 / King's Food Market 1 / Jewel-Osco 1</w:t>
      </w:r>
    </w:p>
    <w:p>
      <w:pPr>
        <w:pStyle w:val="TextBody"/>
        <w:bidi w:val="0"/>
        <w:spacing w:before="60" w:after="283"/>
        <w:jc w:val="left"/>
        <w:rPr>
          <w:rFonts w:ascii="Tahoma" w:hAnsi="Tahoma"/>
          <w:color w:val="000000"/>
          <w:sz w:val="14"/>
        </w:rPr>
      </w:pPr>
      <w:r>
        <w:rPr>
          <w:rFonts w:ascii="Tahoma" w:hAnsi="Tahoma"/>
          <w:color w:val="000000"/>
          <w:sz w:val="14"/>
        </w:rPr>
        <w:t>(2)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TJ Maxx 27 / Marshalls 24 / Homegoods 20 / Homesense 2 / Sierra Trading Post 1</w:t>
      </w:r>
    </w:p>
    <w:p>
      <w:pPr>
        <w:pStyle w:val="TextBody"/>
        <w:bidi w:val="0"/>
        <w:spacing w:before="60" w:after="283"/>
        <w:jc w:val="left"/>
        <w:rPr>
          <w:rFonts w:ascii="Tahoma" w:hAnsi="Tahoma"/>
          <w:color w:val="000000"/>
          <w:sz w:val="14"/>
        </w:rPr>
      </w:pPr>
      <w:r>
        <w:rPr>
          <w:rFonts w:ascii="Tahoma" w:hAnsi="Tahoma"/>
          <w:color w:val="000000"/>
          <w:sz w:val="14"/>
        </w:rPr>
        <w:t>(3)</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 xml:space="preserve">Kroger 19 / King Soopers 11 / Ralphs 9 / Harris Teeter 8 / Mariano's Fresh Market 3 / Quality Food Centers 2 </w:t>
      </w:r>
    </w:p>
    <w:p>
      <w:pPr>
        <w:pStyle w:val="TextBody"/>
        <w:bidi w:val="0"/>
        <w:spacing w:before="60" w:after="283"/>
        <w:jc w:val="left"/>
        <w:rPr>
          <w:rFonts w:ascii="Tahoma" w:hAnsi="Tahoma"/>
          <w:color w:val="000000"/>
          <w:sz w:val="14"/>
        </w:rPr>
      </w:pPr>
      <w:r>
        <w:rPr>
          <w:rFonts w:ascii="Tahoma" w:hAnsi="Tahoma"/>
          <w:color w:val="000000"/>
          <w:sz w:val="14"/>
        </w:rPr>
        <w:t>(4)</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Stop &amp; Shop 10 / Giant 9 / Food Lion 1</w:t>
      </w:r>
    </w:p>
    <w:p>
      <w:pPr>
        <w:pStyle w:val="TextBody"/>
        <w:bidi w:val="0"/>
        <w:spacing w:before="60" w:after="283"/>
        <w:jc w:val="left"/>
        <w:rPr>
          <w:rFonts w:ascii="Tahoma" w:hAnsi="Tahoma"/>
          <w:color w:val="000000"/>
          <w:sz w:val="14"/>
        </w:rPr>
      </w:pPr>
      <w:r>
        <w:rPr>
          <w:rFonts w:ascii="Tahoma" w:hAnsi="Tahoma"/>
          <w:color w:val="000000"/>
          <w:sz w:val="14"/>
        </w:rPr>
        <w:t>(5)</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Nordstrom Rack 11</w:t>
      </w:r>
    </w:p>
    <w:p>
      <w:pPr>
        <w:pStyle w:val="TextBody"/>
        <w:bidi w:val="0"/>
        <w:spacing w:before="60" w:after="283"/>
        <w:jc w:val="left"/>
        <w:rPr>
          <w:rFonts w:ascii="Tahoma" w:hAnsi="Tahoma"/>
          <w:color w:val="000000"/>
          <w:sz w:val="14"/>
        </w:rPr>
      </w:pPr>
      <w:r>
        <w:rPr>
          <w:rFonts w:ascii="Tahoma" w:hAnsi="Tahoma"/>
          <w:color w:val="000000"/>
          <w:sz w:val="14"/>
        </w:rPr>
        <w:t>(6)</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H.E.B. 6 / Central Market 1</w:t>
      </w:r>
    </w:p>
    <w:p>
      <w:pPr>
        <w:pStyle w:val="TextBody"/>
        <w:bidi w:val="0"/>
        <w:spacing w:before="60" w:after="283"/>
        <w:jc w:val="left"/>
        <w:rPr>
          <w:rFonts w:ascii="Tahoma" w:hAnsi="Tahoma"/>
          <w:color w:val="000000"/>
          <w:sz w:val="14"/>
        </w:rPr>
      </w:pPr>
      <w:r>
        <w:rPr>
          <w:rFonts w:ascii="Tahoma" w:hAnsi="Tahoma"/>
          <w:color w:val="000000"/>
          <w:sz w:val="14"/>
        </w:rPr>
        <w:t>(7)</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Old Navy 13 / Athleta 4 / The Gap 4 / Banana Republic 2</w:t>
      </w:r>
    </w:p>
    <w:p>
      <w:pPr>
        <w:pStyle w:val="TextBody"/>
        <w:bidi w:val="0"/>
        <w:spacing w:before="60" w:after="283"/>
        <w:jc w:val="left"/>
        <w:rPr>
          <w:rFonts w:ascii="Tahoma" w:hAnsi="Tahoma"/>
          <w:color w:val="000000"/>
          <w:sz w:val="14"/>
        </w:rPr>
      </w:pPr>
      <w:r>
        <w:rPr>
          <w:rFonts w:ascii="Tahoma" w:hAnsi="Tahoma"/>
          <w:color w:val="000000"/>
          <w:sz w:val="14"/>
        </w:rPr>
        <w:t>(8)</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Petco 25 / Unleashed by Petco 4</w:t>
      </w:r>
    </w:p>
    <w:p>
      <w:pPr>
        <w:pStyle w:val="TextBody"/>
        <w:bidi w:val="0"/>
        <w:spacing w:before="60" w:after="283"/>
        <w:jc w:val="left"/>
        <w:rPr>
          <w:rFonts w:ascii="Tahoma" w:hAnsi="Tahoma"/>
          <w:color w:val="000000"/>
          <w:sz w:val="14"/>
        </w:rPr>
      </w:pPr>
      <w:r>
        <w:rPr>
          <w:rFonts w:ascii="Tahoma" w:hAnsi="Tahoma"/>
          <w:color w:val="000000"/>
          <w:sz w:val="14"/>
        </w:rPr>
        <w:t>(9)</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Panera 29 / Peet's' Coffee &amp; Tea 11 / Einstein Bros Bagels 10 / Bruegger's Bagel 3 / Krispy Kreme 3 / Noah's NY Bagels 3</w:t>
      </w:r>
    </w:p>
    <w:p>
      <w:pPr>
        <w:pStyle w:val="TextBody"/>
        <w:bidi w:val="0"/>
        <w:spacing w:before="60" w:after="283"/>
        <w:jc w:val="left"/>
        <w:rPr>
          <w:rFonts w:ascii="Tahoma" w:hAnsi="Tahoma"/>
          <w:color w:val="000000"/>
          <w:sz w:val="14"/>
        </w:rPr>
      </w:pPr>
      <w:r>
        <w:rPr>
          <w:rFonts w:ascii="Tahoma" w:hAnsi="Tahoma"/>
          <w:color w:val="000000"/>
          <w:sz w:val="14"/>
        </w:rPr>
        <w:t>(10)</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Walgreens 23 / Duane Reade 1</w:t>
      </w:r>
    </w:p>
    <w:p>
      <w:pPr>
        <w:pStyle w:val="TextBody"/>
        <w:bidi w:val="0"/>
        <w:spacing w:before="60" w:after="283"/>
        <w:jc w:val="left"/>
        <w:rPr>
          <w:rFonts w:ascii="Tahoma" w:hAnsi="Tahoma"/>
          <w:color w:val="000000"/>
          <w:sz w:val="14"/>
        </w:rPr>
      </w:pPr>
      <w:r>
        <w:rPr>
          <w:rFonts w:ascii="Tahoma" w:hAnsi="Tahoma"/>
          <w:color w:val="000000"/>
          <w:sz w:val="14"/>
        </w:rPr>
        <w:t>(11)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Club Pilates 40 / Pure Barre 15 / Stretchlab 12 / Yoga Six 9 / Row House 6 / Cyclebar 6 / BFT 2 / AKT 1</w:t>
      </w:r>
    </w:p>
    <w:p>
      <w:pPr>
        <w:pStyle w:val="TextBody"/>
        <w:bidi w:val="0"/>
        <w:spacing w:before="60" w:after="283"/>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Note: Represents Regency's consolidated and pro-rata share of real estate partnerships, includes properties in development and leases that are executed but have not rent commenced. Amounts may not foot due to rounding.</w:t>
      </w:r>
    </w:p>
    <w:p>
      <w:pPr>
        <w:pStyle w:val="TextBody"/>
        <w:bidi w:val="0"/>
        <w:jc w:val="right"/>
        <w:rPr/>
      </w:pPr>
      <w:r>
        <w:rPr/>
        <w:drawing>
          <wp:inline distT="0" distB="0" distL="0" distR="0">
            <wp:extent cx="476250" cy="2571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3" w:name="leaseexpirations"/>
      <w:bookmarkEnd w:id="33"/>
      <w:r>
        <w:rPr>
          <w:rFonts w:ascii="Tahoma;sans-serif" w:hAnsi="Tahoma;sans-serif"/>
          <w:b/>
          <w:color w:val="000000"/>
          <w:sz w:val="20"/>
        </w:rPr>
        <w:t>Tenant Lease Expirations</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color w:val="000000"/>
          <w:sz w:val="20"/>
        </w:rPr>
      </w:pPr>
      <w:r>
        <w:rPr>
          <w:rFonts w:ascii="Tahoma;sans-serif" w:hAnsi="Tahoma;sans-serif"/>
          <w:color w:val="000000"/>
          <w:sz w:val="20"/>
        </w:rPr>
        <w:t>(GLA in thousands)</w:t>
      </w:r>
    </w:p>
    <w:p>
      <w:pPr>
        <w:pStyle w:val="TextBody"/>
        <w:bidi w:val="0"/>
        <w:jc w:val="both"/>
        <w:rPr/>
      </w:pPr>
      <w:r>
        <w:rPr/>
        <w:t> </w:t>
      </w:r>
    </w:p>
    <w:tbl>
      <w:tblPr>
        <w:tblW w:w="4804" w:type="dxa"/>
        <w:jc w:val="left"/>
        <w:tblInd w:w="0" w:type="dxa"/>
        <w:tblLayout w:type="fixed"/>
        <w:tblCellMar>
          <w:top w:w="28" w:type="dxa"/>
          <w:left w:w="28" w:type="dxa"/>
          <w:bottom w:w="28" w:type="dxa"/>
          <w:right w:w="28" w:type="dxa"/>
        </w:tblCellMar>
      </w:tblPr>
      <w:tblGrid>
        <w:gridCol w:w="1096"/>
        <w:gridCol w:w="146"/>
        <w:gridCol w:w="601"/>
        <w:gridCol w:w="146"/>
        <w:gridCol w:w="901"/>
        <w:gridCol w:w="146"/>
        <w:gridCol w:w="976"/>
        <w:gridCol w:w="146"/>
        <w:gridCol w:w="6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70" w:type="dxa"/>
            <w:gridSpan w:val="5"/>
            <w:tcBorders/>
            <w:shd w:fill="FFFFFF" w:val="clear"/>
            <w:vAlign w:val="center"/>
          </w:tcPr>
          <w:p>
            <w:pPr>
              <w:pStyle w:val="TableContents"/>
              <w:bidi w:val="0"/>
              <w:spacing w:before="0" w:after="283"/>
              <w:jc w:val="center"/>
              <w:rPr>
                <w:rFonts w:ascii="Times New Roman" w:hAnsi="Times New Roman"/>
                <w:sz w:val="24"/>
              </w:rPr>
            </w:pPr>
            <w:r>
              <w:rPr>
                <w:rFonts w:ascii="Tahoma;sans-serif" w:hAnsi="Tahoma;sans-serif"/>
                <w:b/>
                <w:color w:val="000000"/>
                <w:sz w:val="24"/>
                <w:u w:val="single"/>
              </w:rPr>
              <w:t xml:space="preserve">Anchor Tenants </w:t>
            </w:r>
            <w:r>
              <w:rPr>
                <w:rFonts w:ascii="Tahoma;sans-serif" w:hAnsi="Tahoma;sans-serif"/>
                <w:b/>
                <w:color w:val="000000"/>
                <w:sz w:val="11"/>
                <w:u w:val="single"/>
              </w:rPr>
              <w:t>(1)</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xml:space="preserve">Percent of </w:t>
              <w:b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Percent of </w:t>
              <w:br/>
              <w:t>Total ABR</w:t>
            </w:r>
            <w:r>
              <w:rPr>
                <w:rFonts w:ascii="Tahoma;sans-serif" w:hAnsi="Tahoma;sans-serif"/>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imes New Roman" w:hAnsi="Times New Roman"/>
                <w:sz w:val="16"/>
              </w:rPr>
            </w:pPr>
            <w:r>
              <w:rPr>
                <w:rFonts w:ascii="Tahoma;sans-serif" w:hAnsi="Tahoma;sans-serif"/>
                <w:color w:val="000000"/>
                <w:sz w:val="16"/>
              </w:rPr>
              <w:t>MTM</w:t>
            </w:r>
            <w:r>
              <w:rPr>
                <w:rFonts w:ascii="Tahoma;sans-serif" w:hAnsi="Tahoma;sans-serif"/>
                <w:color w:val="000000"/>
                <w:sz w:val="11"/>
              </w:rPr>
              <w:t>(4)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w:t>
            </w:r>
          </w:p>
        </w:tc>
        <w:tc>
          <w:tcPr>
            <w:tcW w:w="146" w:type="dxa"/>
            <w:tcBorders/>
            <w:shd w:fill="D9D9D9" w:val="clear"/>
            <w:vAlign w:val="center"/>
          </w:tcPr>
          <w:p>
            <w:pPr>
              <w:pStyle w:val="TableContents"/>
              <w:bidi w:val="0"/>
              <w:spacing w:before="0" w:after="283"/>
              <w:jc w:val="left"/>
              <w:rPr/>
            </w:pPr>
            <w:r>
              <w:rPr/>
              <w:t> </w:t>
            </w:r>
          </w:p>
        </w:tc>
        <w:tc>
          <w:tcPr>
            <w:tcW w:w="9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$12.60</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116</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13.71</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2,115</w:t>
            </w:r>
          </w:p>
        </w:tc>
        <w:tc>
          <w:tcPr>
            <w:tcW w:w="146" w:type="dxa"/>
            <w:tcBorders/>
            <w:shd w:fill="D9D9D9" w:val="clear"/>
            <w:vAlign w:val="center"/>
          </w:tcPr>
          <w:p>
            <w:pPr>
              <w:pStyle w:val="TableContents"/>
              <w:bidi w:val="0"/>
              <w:spacing w:before="0" w:after="283"/>
              <w:jc w:val="left"/>
              <w:rPr/>
            </w:pPr>
            <w:r>
              <w:rPr/>
              <w:t> </w:t>
            </w:r>
          </w:p>
        </w:tc>
        <w:tc>
          <w:tcPr>
            <w:tcW w:w="9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4.6%</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13.46</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2,987</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15.75</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3,788</w:t>
            </w:r>
          </w:p>
        </w:tc>
        <w:tc>
          <w:tcPr>
            <w:tcW w:w="146" w:type="dxa"/>
            <w:tcBorders/>
            <w:shd w:fill="D9D9D9" w:val="clear"/>
            <w:vAlign w:val="center"/>
          </w:tcPr>
          <w:p>
            <w:pPr>
              <w:pStyle w:val="TableContents"/>
              <w:bidi w:val="0"/>
              <w:spacing w:before="0" w:after="283"/>
              <w:jc w:val="left"/>
              <w:rPr/>
            </w:pPr>
            <w:r>
              <w:rPr/>
              <w:t> </w:t>
            </w:r>
          </w:p>
        </w:tc>
        <w:tc>
          <w:tcPr>
            <w:tcW w:w="9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8.3%</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5.7%</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17.12</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3,611</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7.9%</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5.7%</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17.80</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4,389</w:t>
            </w:r>
          </w:p>
        </w:tc>
        <w:tc>
          <w:tcPr>
            <w:tcW w:w="146" w:type="dxa"/>
            <w:tcBorders/>
            <w:shd w:fill="D9D9D9" w:val="clear"/>
            <w:vAlign w:val="center"/>
          </w:tcPr>
          <w:p>
            <w:pPr>
              <w:pStyle w:val="TableContents"/>
              <w:bidi w:val="0"/>
              <w:spacing w:before="0" w:after="283"/>
              <w:jc w:val="left"/>
              <w:rPr/>
            </w:pPr>
            <w:r>
              <w:rPr/>
              <w:t> </w:t>
            </w:r>
          </w:p>
        </w:tc>
        <w:tc>
          <w:tcPr>
            <w:tcW w:w="9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15.44</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2,323</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19.52</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1,164</w:t>
            </w:r>
          </w:p>
        </w:tc>
        <w:tc>
          <w:tcPr>
            <w:tcW w:w="146" w:type="dxa"/>
            <w:tcBorders/>
            <w:shd w:fill="D9D9D9" w:val="clear"/>
            <w:vAlign w:val="center"/>
          </w:tcPr>
          <w:p>
            <w:pPr>
              <w:pStyle w:val="TableContents"/>
              <w:bidi w:val="0"/>
              <w:spacing w:before="0" w:after="283"/>
              <w:jc w:val="left"/>
              <w:rPr/>
            </w:pPr>
            <w:r>
              <w:rPr/>
              <w:t> </w:t>
            </w:r>
          </w:p>
        </w:tc>
        <w:tc>
          <w:tcPr>
            <w:tcW w:w="9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17.90</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1,008</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17.82</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1,100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20.04</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 Year Total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22,668</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33.5%</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$16.81</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Thereafter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5,857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17.23</w:t>
            </w:r>
          </w:p>
        </w:tc>
      </w:tr>
      <w:tr>
        <w:trPr/>
        <w:tc>
          <w:tcPr>
            <w:tcW w:w="10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28,525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$16.90</w:t>
            </w:r>
          </w:p>
        </w:tc>
      </w:tr>
    </w:tbl>
    <w:p>
      <w:pPr>
        <w:pStyle w:val="TextBody"/>
        <w:bidi w:val="0"/>
        <w:jc w:val="both"/>
        <w:rPr/>
      </w:pPr>
      <w:r>
        <w:rPr/>
        <w:t> </w:t>
      </w:r>
    </w:p>
    <w:tbl>
      <w:tblPr>
        <w:tblW w:w="4804" w:type="dxa"/>
        <w:jc w:val="left"/>
        <w:tblInd w:w="0" w:type="dxa"/>
        <w:tblLayout w:type="fixed"/>
        <w:tblCellMar>
          <w:top w:w="28" w:type="dxa"/>
          <w:left w:w="28" w:type="dxa"/>
          <w:bottom w:w="28" w:type="dxa"/>
          <w:right w:w="28" w:type="dxa"/>
        </w:tblCellMar>
      </w:tblPr>
      <w:tblGrid>
        <w:gridCol w:w="1096"/>
        <w:gridCol w:w="146"/>
        <w:gridCol w:w="601"/>
        <w:gridCol w:w="146"/>
        <w:gridCol w:w="901"/>
        <w:gridCol w:w="146"/>
        <w:gridCol w:w="976"/>
        <w:gridCol w:w="146"/>
        <w:gridCol w:w="6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770" w:type="dxa"/>
            <w:gridSpan w:val="5"/>
            <w:tcBorders/>
            <w:shd w:fill="FFFFFF" w:val="clear"/>
            <w:vAlign w:val="center"/>
          </w:tcPr>
          <w:p>
            <w:pPr>
              <w:pStyle w:val="TableContents"/>
              <w:bidi w:val="0"/>
              <w:spacing w:before="0" w:after="283"/>
              <w:jc w:val="center"/>
              <w:rPr>
                <w:rFonts w:ascii="Times New Roman" w:hAnsi="Times New Roman"/>
                <w:sz w:val="24"/>
              </w:rPr>
            </w:pPr>
            <w:r>
              <w:rPr>
                <w:rFonts w:ascii="Tahoma;sans-serif" w:hAnsi="Tahoma;sans-serif"/>
                <w:b/>
                <w:color w:val="000000"/>
                <w:sz w:val="24"/>
                <w:u w:val="single"/>
              </w:rPr>
              <w:t xml:space="preserve">Shop Tenants </w:t>
            </w:r>
            <w:r>
              <w:rPr>
                <w:rFonts w:ascii="Tahoma;sans-serif" w:hAnsi="Tahoma;sans-serif"/>
                <w:b/>
                <w:color w:val="000000"/>
                <w:sz w:val="11"/>
                <w:u w:val="single"/>
              </w:rPr>
              <w:t>(2)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xml:space="preserve">Percent of </w:t>
              <w:b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Percent of </w:t>
              <w:br/>
              <w:t>Total ABR</w:t>
            </w:r>
            <w:r>
              <w:rPr>
                <w:rFonts w:ascii="Tahoma;sans-serif" w:hAnsi="Tahoma;sans-serif"/>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imes New Roman" w:hAnsi="Times New Roman"/>
                <w:sz w:val="16"/>
              </w:rPr>
            </w:pPr>
            <w:r>
              <w:rPr>
                <w:rFonts w:ascii="Tahoma;sans-serif" w:hAnsi="Tahoma;sans-serif"/>
                <w:color w:val="000000"/>
                <w:sz w:val="16"/>
              </w:rPr>
              <w:t>MTM</w:t>
            </w:r>
            <w:r>
              <w:rPr>
                <w:rFonts w:ascii="Tahoma;sans-serif" w:hAnsi="Tahoma;sans-serif"/>
                <w:color w:val="000000"/>
                <w:sz w:val="11"/>
              </w:rPr>
              <w:t>(4)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207</w:t>
            </w:r>
          </w:p>
        </w:tc>
        <w:tc>
          <w:tcPr>
            <w:tcW w:w="146" w:type="dxa"/>
            <w:tcBorders/>
            <w:shd w:fill="D9D9D9" w:val="clear"/>
            <w:vAlign w:val="center"/>
          </w:tcPr>
          <w:p>
            <w:pPr>
              <w:pStyle w:val="TableContents"/>
              <w:bidi w:val="0"/>
              <w:spacing w:before="0" w:after="283"/>
              <w:jc w:val="left"/>
              <w:rPr/>
            </w:pPr>
            <w:r>
              <w:rPr/>
              <w:t> </w:t>
            </w:r>
          </w:p>
        </w:tc>
        <w:tc>
          <w:tcPr>
            <w:tcW w:w="9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$30.86</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256</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34.66</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2,127</w:t>
            </w:r>
          </w:p>
        </w:tc>
        <w:tc>
          <w:tcPr>
            <w:tcW w:w="146" w:type="dxa"/>
            <w:tcBorders/>
            <w:shd w:fill="D9D9D9" w:val="clear"/>
            <w:vAlign w:val="center"/>
          </w:tcPr>
          <w:p>
            <w:pPr>
              <w:pStyle w:val="TableContents"/>
              <w:bidi w:val="0"/>
              <w:spacing w:before="0" w:after="283"/>
              <w:jc w:val="left"/>
              <w:rPr/>
            </w:pPr>
            <w:r>
              <w:rPr/>
              <w:t> </w:t>
            </w:r>
          </w:p>
        </w:tc>
        <w:tc>
          <w:tcPr>
            <w:tcW w:w="9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4.6%</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6.8%</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36.14</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2,316</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7.5%</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36.92</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2,466</w:t>
            </w:r>
          </w:p>
        </w:tc>
        <w:tc>
          <w:tcPr>
            <w:tcW w:w="146" w:type="dxa"/>
            <w:tcBorders/>
            <w:shd w:fill="D9D9D9" w:val="clear"/>
            <w:vAlign w:val="center"/>
          </w:tcPr>
          <w:p>
            <w:pPr>
              <w:pStyle w:val="TableContents"/>
              <w:bidi w:val="0"/>
              <w:spacing w:before="0" w:after="283"/>
              <w:jc w:val="left"/>
              <w:rPr/>
            </w:pPr>
            <w:r>
              <w:rPr/>
              <w:t> </w:t>
            </w:r>
          </w:p>
        </w:tc>
        <w:tc>
          <w:tcPr>
            <w:tcW w:w="9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8.1%</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37.42</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2,320</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8.0%</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39.09</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2,147</w:t>
            </w:r>
          </w:p>
        </w:tc>
        <w:tc>
          <w:tcPr>
            <w:tcW w:w="146" w:type="dxa"/>
            <w:tcBorders/>
            <w:shd w:fill="D9D9D9" w:val="clear"/>
            <w:vAlign w:val="center"/>
          </w:tcPr>
          <w:p>
            <w:pPr>
              <w:pStyle w:val="TableContents"/>
              <w:bidi w:val="0"/>
              <w:spacing w:before="0" w:after="283"/>
              <w:jc w:val="left"/>
              <w:rPr/>
            </w:pPr>
            <w:r>
              <w:rPr/>
              <w:t> </w:t>
            </w:r>
          </w:p>
        </w:tc>
        <w:tc>
          <w:tcPr>
            <w:tcW w:w="9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4.7%</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7.2%</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38.30</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1,128</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38.21</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913</w:t>
            </w:r>
          </w:p>
        </w:tc>
        <w:tc>
          <w:tcPr>
            <w:tcW w:w="146" w:type="dxa"/>
            <w:tcBorders/>
            <w:shd w:fill="D9D9D9" w:val="clear"/>
            <w:vAlign w:val="center"/>
          </w:tcPr>
          <w:p>
            <w:pPr>
              <w:pStyle w:val="TableContents"/>
              <w:bidi w:val="0"/>
              <w:spacing w:before="0" w:after="283"/>
              <w:jc w:val="left"/>
              <w:rPr/>
            </w:pPr>
            <w:r>
              <w:rPr/>
              <w:t> </w:t>
            </w:r>
          </w:p>
        </w:tc>
        <w:tc>
          <w:tcPr>
            <w:tcW w:w="9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38.59</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956</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40.40</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954</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39.57</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 Year Total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15,790</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52.6%</w:t>
            </w:r>
          </w:p>
        </w:tc>
        <w:tc>
          <w:tcPr>
            <w:tcW w:w="146" w:type="dxa"/>
            <w:tcBorders/>
            <w:shd w:fill="FFFFFF" w:val="clear"/>
            <w:vAlign w:val="center"/>
          </w:tcPr>
          <w:p>
            <w:pPr>
              <w:pStyle w:val="TableContents"/>
              <w:bidi w:val="0"/>
              <w:spacing w:before="0" w:after="283"/>
              <w:jc w:val="right"/>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$37.84</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Thereafter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1,432</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39.44</w:t>
            </w:r>
          </w:p>
        </w:tc>
      </w:tr>
      <w:tr>
        <w:trPr/>
        <w:tc>
          <w:tcPr>
            <w:tcW w:w="10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17,222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$37.98</w:t>
            </w:r>
          </w:p>
        </w:tc>
      </w:tr>
    </w:tbl>
    <w:p>
      <w:pPr>
        <w:pStyle w:val="TextBody"/>
        <w:bidi w:val="0"/>
        <w:jc w:val="left"/>
        <w:rPr/>
      </w:pPr>
      <w:r>
        <w:rPr/>
        <w:t> </w:t>
      </w:r>
    </w:p>
    <w:tbl>
      <w:tblPr>
        <w:tblW w:w="5179" w:type="dxa"/>
        <w:jc w:val="left"/>
        <w:tblInd w:w="0" w:type="dxa"/>
        <w:tblLayout w:type="fixed"/>
        <w:tblCellMar>
          <w:top w:w="28" w:type="dxa"/>
          <w:left w:w="28" w:type="dxa"/>
          <w:bottom w:w="28" w:type="dxa"/>
          <w:right w:w="28" w:type="dxa"/>
        </w:tblCellMar>
      </w:tblPr>
      <w:tblGrid>
        <w:gridCol w:w="1096"/>
        <w:gridCol w:w="146"/>
        <w:gridCol w:w="601"/>
        <w:gridCol w:w="146"/>
        <w:gridCol w:w="1276"/>
        <w:gridCol w:w="146"/>
        <w:gridCol w:w="976"/>
        <w:gridCol w:w="146"/>
        <w:gridCol w:w="6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rFonts w:ascii="Tahoma;sans-serif" w:hAnsi="Tahoma;sans-serif"/>
                <w:b/>
                <w:color w:val="000000"/>
                <w:sz w:val="24"/>
                <w:u w:val="single"/>
              </w:rPr>
            </w:pPr>
            <w:r>
              <w:rPr>
                <w:rFonts w:ascii="Tahoma;sans-serif" w:hAnsi="Tahoma;sans-serif"/>
                <w:b/>
                <w:color w:val="000000"/>
                <w:sz w:val="24"/>
                <w:u w:val="single"/>
              </w:rPr>
              <w:t>All Tenants</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xml:space="preserve">Percent of </w:t>
              <w:b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Percent of </w:t>
              <w:br/>
              <w:t>Total ABR</w:t>
            </w:r>
            <w:r>
              <w:rPr>
                <w:rFonts w:ascii="Tahoma;sans-serif" w:hAnsi="Tahoma;sans-serif"/>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imes New Roman" w:hAnsi="Times New Roman"/>
                <w:sz w:val="16"/>
              </w:rPr>
            </w:pPr>
            <w:r>
              <w:rPr>
                <w:rFonts w:ascii="Tahoma;sans-serif" w:hAnsi="Tahoma;sans-serif"/>
                <w:color w:val="000000"/>
                <w:sz w:val="16"/>
              </w:rPr>
              <w:t>MTM</w:t>
            </w:r>
            <w:r>
              <w:rPr>
                <w:rFonts w:ascii="Tahoma;sans-serif" w:hAnsi="Tahoma;sans-serif"/>
                <w:color w:val="000000"/>
                <w:sz w:val="11"/>
              </w:rPr>
              <w:t>(4)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273</w:t>
            </w:r>
          </w:p>
        </w:tc>
        <w:tc>
          <w:tcPr>
            <w:tcW w:w="146" w:type="dxa"/>
            <w:tcBorders/>
            <w:shd w:fill="D9D9D9" w:val="clear"/>
            <w:vAlign w:val="center"/>
          </w:tcPr>
          <w:p>
            <w:pPr>
              <w:pStyle w:val="TableContents"/>
              <w:bidi w:val="0"/>
              <w:spacing w:before="0" w:after="283"/>
              <w:jc w:val="left"/>
              <w:rPr/>
            </w:pPr>
            <w:r>
              <w:rPr/>
              <w:t> </w:t>
            </w:r>
          </w:p>
        </w:tc>
        <w:tc>
          <w:tcPr>
            <w:tcW w:w="12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$26.41</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372</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28.15</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4,241</w:t>
            </w:r>
          </w:p>
        </w:tc>
        <w:tc>
          <w:tcPr>
            <w:tcW w:w="146" w:type="dxa"/>
            <w:tcBorders/>
            <w:shd w:fill="D9D9D9" w:val="clear"/>
            <w:vAlign w:val="center"/>
          </w:tcPr>
          <w:p>
            <w:pPr>
              <w:pStyle w:val="TableContents"/>
              <w:bidi w:val="0"/>
              <w:spacing w:before="0" w:after="283"/>
              <w:jc w:val="left"/>
              <w:rPr/>
            </w:pPr>
            <w:r>
              <w:rPr/>
              <w:t> </w:t>
            </w:r>
          </w:p>
        </w:tc>
        <w:tc>
          <w:tcPr>
            <w:tcW w:w="12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9.3%</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9.3%</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24.83</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5,303</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11.7%</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25.00</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6,254</w:t>
            </w:r>
          </w:p>
        </w:tc>
        <w:tc>
          <w:tcPr>
            <w:tcW w:w="146" w:type="dxa"/>
            <w:tcBorders/>
            <w:shd w:fill="D9D9D9" w:val="clear"/>
            <w:vAlign w:val="center"/>
          </w:tcPr>
          <w:p>
            <w:pPr>
              <w:pStyle w:val="TableContents"/>
              <w:bidi w:val="0"/>
              <w:spacing w:before="0" w:after="283"/>
              <w:jc w:val="left"/>
              <w:rPr/>
            </w:pPr>
            <w:r>
              <w:rPr/>
              <w:t> </w:t>
            </w:r>
          </w:p>
        </w:tc>
        <w:tc>
          <w:tcPr>
            <w:tcW w:w="12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13.7%</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13.8%</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25.12</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5,932</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13.6%</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26.13</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6,536</w:t>
            </w:r>
          </w:p>
        </w:tc>
        <w:tc>
          <w:tcPr>
            <w:tcW w:w="146" w:type="dxa"/>
            <w:tcBorders/>
            <w:shd w:fill="D9D9D9" w:val="clear"/>
            <w:vAlign w:val="center"/>
          </w:tcPr>
          <w:p>
            <w:pPr>
              <w:pStyle w:val="TableContents"/>
              <w:bidi w:val="0"/>
              <w:spacing w:before="0" w:after="283"/>
              <w:jc w:val="left"/>
              <w:rPr/>
            </w:pPr>
            <w:r>
              <w:rPr/>
              <w:t> </w:t>
            </w:r>
          </w:p>
        </w:tc>
        <w:tc>
          <w:tcPr>
            <w:tcW w:w="12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14.3%</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13.2%</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22.95</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3,452</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7.8%</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25.63</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2,076</w:t>
            </w:r>
          </w:p>
        </w:tc>
        <w:tc>
          <w:tcPr>
            <w:tcW w:w="146" w:type="dxa"/>
            <w:tcBorders/>
            <w:shd w:fill="D9D9D9" w:val="clear"/>
            <w:vAlign w:val="center"/>
          </w:tcPr>
          <w:p>
            <w:pPr>
              <w:pStyle w:val="TableContents"/>
              <w:bidi w:val="0"/>
              <w:spacing w:before="0" w:after="283"/>
              <w:jc w:val="left"/>
              <w:rPr/>
            </w:pPr>
            <w:r>
              <w:rPr/>
              <w:t> </w:t>
            </w:r>
          </w:p>
        </w:tc>
        <w:tc>
          <w:tcPr>
            <w:tcW w:w="12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w:t>
            </w:r>
          </w:p>
        </w:tc>
        <w:tc>
          <w:tcPr>
            <w:tcW w:w="146" w:type="dxa"/>
            <w:tcBorders/>
            <w:shd w:fill="D9D9D9" w:val="clear"/>
            <w:vAlign w:val="center"/>
          </w:tcPr>
          <w:p>
            <w:pPr>
              <w:pStyle w:val="TableContents"/>
              <w:bidi w:val="0"/>
              <w:spacing w:before="0" w:after="283"/>
              <w:jc w:val="left"/>
              <w:rPr/>
            </w:pPr>
            <w:r>
              <w:rPr/>
              <w:t> </w:t>
            </w:r>
          </w:p>
        </w:tc>
        <w:tc>
          <w:tcPr>
            <w:tcW w:w="976" w:type="dxa"/>
            <w:tcBorders/>
            <w:shd w:fill="D9D9D9"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w:t>
            </w:r>
          </w:p>
        </w:tc>
        <w:tc>
          <w:tcPr>
            <w:tcW w:w="146" w:type="dxa"/>
            <w:tcBorders/>
            <w:shd w:fill="D9D9D9" w:val="cle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26.99</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1,965</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5.0%</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28.81</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2,054</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29.11</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 Year Total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38,458</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84.1%</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86.1%</w:t>
            </w:r>
          </w:p>
        </w:tc>
        <w:tc>
          <w:tcPr>
            <w:tcW w:w="146" w:type="dxa"/>
            <w:tcBorders/>
            <w:shd w:fill="FFFFFF" w:val="cle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$25.45</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Thereafter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7,289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21.60</w:t>
            </w:r>
          </w:p>
        </w:tc>
      </w:tr>
      <w:tr>
        <w:trPr/>
        <w:tc>
          <w:tcPr>
            <w:tcW w:w="10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45,747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$24.83</w:t>
            </w:r>
          </w:p>
        </w:tc>
      </w:tr>
    </w:tbl>
    <w:p>
      <w:pPr>
        <w:pStyle w:val="TextBody"/>
        <w:bidi w:val="0"/>
        <w:spacing w:before="240" w:after="120"/>
        <w:jc w:val="left"/>
        <w:rPr>
          <w:rFonts w:ascii="Tahoma;sans-serif" w:hAnsi="Tahoma;sans-serif"/>
          <w:color w:val="000000"/>
          <w:sz w:val="16"/>
        </w:rPr>
      </w:pPr>
      <w:r>
        <w:rPr>
          <w:rFonts w:ascii="Tahoma;sans-serif" w:hAnsi="Tahoma;sans-serif"/>
          <w:color w:val="000000"/>
          <w:sz w:val="16"/>
        </w:rPr>
        <w:t>Notes: Reflects commenced leases only. Does not account for contractual rent steps and assumes that no tenants exercise renewal options. Amounts may not foot due to rounding.</w:t>
      </w:r>
    </w:p>
    <w:p>
      <w:pPr>
        <w:pStyle w:val="TextBody"/>
        <w:bidi w:val="0"/>
        <w:spacing w:before="20" w:after="283"/>
        <w:jc w:val="left"/>
        <w:rPr>
          <w:rFonts w:ascii="Tahoma" w:hAnsi="Tahoma"/>
          <w:color w:val="000000"/>
          <w:sz w:val="14"/>
        </w:rPr>
      </w:pPr>
      <w:r>
        <w:rPr>
          <w:rFonts w:ascii="Tahoma" w:hAnsi="Tahoma"/>
          <w:color w:val="000000"/>
          <w:sz w:val="14"/>
        </w:rPr>
        <w:t>(1)</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Anchor tenants represent any tenant occupying at least 10,000 square feet.</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Shop tenants represent any tenant occupying less than 10,000 square feet.</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Total Annual Base Rent ("ABR") excludes additional rent such as percentage rent, common area maintenance, real estate taxes, and insurance reimbursements. Represents Regency's consolidated and pro-rata share of real estate partnerships.</w:t>
      </w:r>
    </w:p>
    <w:p>
      <w:pPr>
        <w:pStyle w:val="TextBody"/>
        <w:bidi w:val="0"/>
        <w:spacing w:before="20" w:after="283"/>
        <w:jc w:val="left"/>
        <w:rPr>
          <w:rFonts w:ascii="Tahoma" w:hAnsi="Tahoma"/>
          <w:color w:val="000000"/>
          <w:sz w:val="14"/>
        </w:rPr>
      </w:pPr>
      <w:r>
        <w:rPr>
          <w:rFonts w:ascii="Tahoma" w:hAnsi="Tahoma"/>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Month to month lease or in process of renewal.</w:t>
      </w:r>
    </w:p>
    <w:p>
      <w:pPr>
        <w:pStyle w:val="TextBody"/>
        <w:bidi w:val="0"/>
        <w:jc w:val="right"/>
        <w:rPr/>
      </w:pPr>
      <w:r>
        <w:rPr/>
        <w:drawing>
          <wp:inline distT="0" distB="0" distL="0" distR="0">
            <wp:extent cx="476250" cy="2571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bookmarkStart w:id="34" w:name="portfoliosummary"/>
      <w:bookmarkEnd w:id="34"/>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
        <w:gridCol w:w="926"/>
        <w:gridCol w:w="286"/>
        <w:gridCol w:w="332"/>
        <w:gridCol w:w="346"/>
        <w:gridCol w:w="1573"/>
        <w:gridCol w:w="381"/>
        <w:gridCol w:w="648"/>
        <w:gridCol w:w="694"/>
        <w:gridCol w:w="926"/>
        <w:gridCol w:w="905"/>
        <w:gridCol w:w="615"/>
        <w:gridCol w:w="1749"/>
        <w:gridCol w:w="621"/>
      </w:tblGrid>
      <w:tr>
        <w:trPr/>
        <w:tc>
          <w:tcPr>
            <w:tcW w:w="20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3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64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9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2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9"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5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3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4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9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90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6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174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6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200 Potrero</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pPr>
            <w:r>
              <w:rPr/>
              <w:t> </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Gizmo Art Production, INC.</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$12.03</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4S Commons Town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Diego-Chula Vista-Carlsbad</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252</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252</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68</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Restoration Hardware Outlet, Ace Hardware, Cost Plus World Market, CVS, Jimbo'sNaturally!, Ralphs, ULTA</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$35.02</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Amerige Heights Town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96.0%</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143</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Albertsons, (Target)</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$32.40</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Balboa Mesa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Diego-Chula Vista-Carlsbad</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207</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207</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 Kohl's, Von's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$29.93</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Bayhill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122</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 Mollie Stone's Market</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$28.84</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Bloom on Third</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73</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CVS, Citibank</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$57.98</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Blossom Valley</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Jose-Sunnyvale-Santa Clara</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87.4%</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$28.54</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Brea Marketplace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352</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141</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98.0%</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 Hour Fitness, Big 5 Sporting Goods, Childtime Childcare, Old Navy, Sprout's, Target, Smart Parke</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$20.72</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Circle Center West</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pPr>
            <w:r>
              <w:rPr/>
              <w:t> </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Marshalls</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$39.75</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Circle Marina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83.5%</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pPr>
            <w:r>
              <w:rPr/>
              <w:t> </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Sprouts, Big 5 Sporting Goods, Centinela Feed &amp; Pet Supplies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$37.49</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Clayton Valley Shopping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260</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260</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91.5%</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Grocery Outlet, Central, CVS, Dollar Tree, Ross Dress For Less</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$23.68</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Corral Hollow</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Stockton</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167</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167</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70.4%</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CVS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$20.95</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Culver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217</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217</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94.2%</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Ralphs, Best Buy, LA Fitness, Sit N' Sleep</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$33.66</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Diablo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Bevmo!, (Safeway), (CVS)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$43.87</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El Camino Shopping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136</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136</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98.8%</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Bristol Farms, CVS</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$43.41</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El Cerrito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256</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256</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95.5%</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Barnes &amp; Noble, Jo-Ann Fabrics, PETCO, Ross Dress For Less, Trader Joe's, Marshalls, (CVS)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$29.55</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El Norte Pkwy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Diego-Chula Vista-Carlsbad</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97.3%</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Von's, Children's Paradise, ACE Hardware</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$20.73</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Encina Grande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106</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106</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97.7%</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Walgreens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$36.25</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Five Points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Santa Maria-Santa Barbara</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145</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98.7%</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Smart &amp; Final, CVS, Ross Dress for Less, Big 5 Sporting Goods, PETCO</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$32.46</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French Valley Village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Rvrside-San Bernardino-Ontario</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Stater Bros, CVS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$28.46</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Friars Mission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Diego-Chula Vista-Carlsbad</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147</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147</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Ralphs, CVS</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$40.44</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Gelson's Westlake Market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Oxnard-Thousand Oaks-Ventura</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85</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85</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97.5%</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Gelson's Markets, John of Italy Salon &amp; Spa</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$32.26</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Golden Hills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Luis Obispo-Paso Robles</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244</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244</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87.8%</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pPr>
            <w:r>
              <w:rPr/>
              <w:t> </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Lowe's, TJ Maxx</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$7.29</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Granada Village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226</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98.3%</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Sprout's Markets, Rite Aid, PETCO, Homegoods, Burlington, TJ Maxx</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$28.28</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Hasley Canyon Village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98.5%</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Ralphs</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$27.00</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Heritage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230</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230</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99.8%</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Ralphs, CVS, Daiso, Mitsuwa Marketplace, Big 5 Sporting Goods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$44.27</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Laguna Niguel Plaza</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CVS,(Albertsons)</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$33.23</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Mariposa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Jose-Sunnyvale-Santa Clara</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127</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97.4%</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CVS, Ross Dress for Less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$23.78</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Morningside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Stater Bros.</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$26.36</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Navajo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Diego-Chula Vista-Carlsbad</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102</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80.6%</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Albertsons, O'Reilly Auto Parts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$17.31</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Newland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152</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152</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Albertsons</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$32.97</w:t>
            </w:r>
          </w:p>
        </w:tc>
      </w:tr>
      <w:tr>
        <w:trPr/>
        <w:tc>
          <w:tcPr>
            <w:tcW w:w="203"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Nohl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104</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104</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91.9%</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Vons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$16.86</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Oakbrook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Oxnard-Thousand Oaks-Ventura</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88.6%</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Gelson's Markets, (CVS), (Ace Hardware)</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$21.73</w:t>
            </w:r>
          </w:p>
        </w:tc>
      </w:tr>
      <w:tr>
        <w:trPr/>
        <w:tc>
          <w:tcPr>
            <w:tcW w:w="203"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b/>
                <w:i/>
                <w:color w:val="000000"/>
                <w:sz w:val="11"/>
              </w:rPr>
            </w:pPr>
            <w:r>
              <w:rPr>
                <w:rFonts w:ascii="Tahoma;sans-serif" w:hAnsi="Tahoma;sans-serif"/>
                <w:b/>
                <w:i/>
                <w:color w:val="000000"/>
                <w:sz w:val="11"/>
              </w:rPr>
              <w:t>Oakley Shops at Laurel Fields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74.3%</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$24.64</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Oakshade Town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Sacramento-Roseville-Folsom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104</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104</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81.4%</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Sierra</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$21.47</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Persimmon Place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153</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153</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97.5%</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Nordstrom Rack, Homegoods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$38.02</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Plaza Escuela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154</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154</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92.5%</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pPr>
            <w:r>
              <w:rPr/>
              <w:t> </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The Container Store, Trufusion, Talbots, The Cheesecake Factory, Barnes &amp; Noble</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$43.89</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Plaza Hermosa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Von's, CVS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$29.33</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Pleasant Hill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227</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pPr>
            <w:r>
              <w:rPr/>
              <w:t> </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Target, Burlington, Ross Dress for Less, Homegoods</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$24.93</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Point Loma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Diego-Chula Vista-Carlsbad</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205</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82</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98.6%</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Von's, Jo-Ann Fabrics, Marshalls, UFC Gym</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$22.64</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Potrero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227</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227</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70.9%</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24 Hour Fitness, Ross Dress for Less, Petco</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$34.42</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Powell Street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166</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166</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98.1%</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Bevmo!, Ross Dress For Less, Marshalls, Old Navy</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$37.09</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Prairie City Crossing</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Sacramento-Roseville-Folsom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95.1%</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$22.14</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Raley's Supermarket</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Sacramento-Roseville-Folsom</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Raley's</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$14.00</w:t>
            </w:r>
          </w:p>
        </w:tc>
      </w:tr>
      <w:tr>
        <w:trPr/>
        <w:tc>
          <w:tcPr>
            <w:tcW w:w="20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Ralphs Circle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38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64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69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98.5%</w:t>
            </w:r>
          </w:p>
        </w:tc>
        <w:tc>
          <w:tcPr>
            <w:tcW w:w="926"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w:t>
            </w:r>
          </w:p>
        </w:tc>
        <w:tc>
          <w:tcPr>
            <w:tcW w:w="174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Ralphs</w:t>
            </w:r>
          </w:p>
        </w:tc>
        <w:tc>
          <w:tcPr>
            <w:tcW w:w="62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$21.04</w:t>
            </w:r>
          </w:p>
        </w:tc>
      </w:tr>
      <w:tr>
        <w:trPr/>
        <w:tc>
          <w:tcPr>
            <w:tcW w:w="203"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Rancho San Diego Village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Diego-Chula Vista-Carlsbad</w:t>
            </w:r>
          </w:p>
        </w:tc>
        <w:tc>
          <w:tcPr>
            <w:tcW w:w="38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153</w:t>
            </w:r>
          </w:p>
        </w:tc>
        <w:tc>
          <w:tcPr>
            <w:tcW w:w="64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w:t>
            </w:r>
          </w:p>
        </w:tc>
        <w:tc>
          <w:tcPr>
            <w:tcW w:w="69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95.4%</w:t>
            </w:r>
          </w:p>
        </w:tc>
        <w:tc>
          <w:tcPr>
            <w:tcW w:w="926" w:type="dxa"/>
            <w:tcBorders/>
            <w:shd w:fill="DBDBDB" w:val="clear"/>
            <w:vAlign w:val="center"/>
          </w:tcPr>
          <w:p>
            <w:pPr>
              <w:pStyle w:val="TableContents"/>
              <w:bidi w:val="0"/>
              <w:spacing w:before="0" w:after="283"/>
              <w:jc w:val="center"/>
              <w:rPr/>
            </w:pPr>
            <w:r>
              <w:rPr/>
              <w:t> </w:t>
            </w:r>
          </w:p>
        </w:tc>
        <w:tc>
          <w:tcPr>
            <w:tcW w:w="905" w:type="dxa"/>
            <w:tcBorders/>
            <w:shd w:fill="DBDBDB" w:val="clear"/>
            <w:vAlign w:val="center"/>
          </w:tcPr>
          <w:p>
            <w:pPr>
              <w:pStyle w:val="TableContents"/>
              <w:bidi w:val="0"/>
              <w:spacing w:before="0" w:after="283"/>
              <w:jc w:val="center"/>
              <w:rPr/>
            </w:pPr>
            <w:r>
              <w:rPr/>
              <w:t> </w:t>
            </w:r>
          </w:p>
        </w:tc>
        <w:tc>
          <w:tcPr>
            <w:tcW w:w="6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74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Smart &amp; Final, 24 Hour Fitness, (Longs Drug)</w:t>
            </w:r>
          </w:p>
        </w:tc>
        <w:tc>
          <w:tcPr>
            <w:tcW w:w="62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$26.45</w:t>
            </w:r>
          </w:p>
        </w:tc>
      </w:tr>
    </w:tbl>
    <w:p>
      <w:pPr>
        <w:pStyle w:val="TextBody"/>
        <w:bidi w:val="0"/>
        <w:spacing w:before="60" w:after="283"/>
        <w:jc w:val="left"/>
        <w:rPr/>
      </w:pPr>
      <w:r>
        <w:rPr/>
        <w:t> </w:t>
      </w:r>
    </w:p>
    <w:p>
      <w:pPr>
        <w:pStyle w:val="TextBody"/>
        <w:bidi w:val="0"/>
        <w:jc w:val="left"/>
        <w:rPr/>
      </w:pPr>
      <w:r>
        <w:rPr/>
        <w:drawing>
          <wp:inline distT="0" distB="0" distL="0" distR="0">
            <wp:extent cx="476250" cy="2571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828"/>
        <w:gridCol w:w="286"/>
        <w:gridCol w:w="320"/>
        <w:gridCol w:w="346"/>
        <w:gridCol w:w="1557"/>
        <w:gridCol w:w="473"/>
        <w:gridCol w:w="595"/>
        <w:gridCol w:w="647"/>
        <w:gridCol w:w="801"/>
        <w:gridCol w:w="886"/>
        <w:gridCol w:w="563"/>
        <w:gridCol w:w="2173"/>
        <w:gridCol w:w="569"/>
      </w:tblGrid>
      <w:tr>
        <w:trPr/>
        <w:tc>
          <w:tcPr>
            <w:tcW w:w="16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47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59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4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80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8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9"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2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55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4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5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4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8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8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56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21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56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Rona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95.9%</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Superior Super Warehouse</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$21.70</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San Carlos Marketplace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154</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154</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97.3%</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pPr>
            <w:r>
              <w:rPr/>
              <w:t> </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TJ Maxx, Best Buy, PetSmart, Bassett Furniture, Salon Republic</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$36.80</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Scripps Ranch Marketplace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Diego-Chula Vista-Carlsbad</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132</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132</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99.1%</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57</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Vons, CVS</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$36.41</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San Leandro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95.3%</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(CVS)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$39.65</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Seal Beach</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2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98.5%</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Pavilions, CVS</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$28.12</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Serramonte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1,072</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1,072</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98.4%</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pPr>
            <w:r>
              <w:rPr/>
              <w:t> </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Buy Buy Baby, Cost Plus World Market, Crunch Fitness, DAISO, Dave &amp; Buster's, Dick's Sporting Goods, Divano Homes, H&amp;M, Macy's, Nordstrom Rack, Old Navy, Party City, Ross Dress for Less, Target, TJ Maxx, Uniqlo, Jagalchi, Koi Palace</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$27.87</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at Homestead</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Jose-Sunnyvale-Santa Clara</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98.2%</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563" w:type="dxa"/>
            <w:tcBorders/>
            <w:shd w:fill="DBDBDB" w:val="clear"/>
            <w:vAlign w:val="center"/>
          </w:tcPr>
          <w:p>
            <w:pPr>
              <w:pStyle w:val="TableContents"/>
              <w:bidi w:val="0"/>
              <w:spacing w:before="0" w:after="283"/>
              <w:jc w:val="center"/>
              <w:rPr/>
            </w:pPr>
            <w:r>
              <w:rPr/>
              <w:t> </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 Crunch Fitness, (Orchard Supply Hardware)</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$26.97</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Silverado Plaza</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Napa</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85</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95.7%</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Nob Hill, CVS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$27.04</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Snell &amp; Branham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Jose-Sunnyvale-Santa Clara</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98.5%</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$22.30</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Talega Village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102</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102</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93.9%</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Ralphs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$22.59</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Tassajara Crossing</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146</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146</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CVS, Alamo Hardware</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$26.61</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Hub Hillcrest Market</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Diego-Chula Vista-Carlsbad</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149</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149</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91.7%</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Ralphs, Trader Joe's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$43.76</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Marketplace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Sacramento-Roseville-Folsom</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111</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111</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CVS, Petco</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$27.79</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Pruneyard</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Jose-Sunnyvale-Santa Clara</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260</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260</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96.7%</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The Sports Basement, Camera Cinemas, Marshalls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$43.57</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Tustin Legacy</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112</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112</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Stater Bros, CVS</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$35.98</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Twin Oaks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Ralphs, Ace Hardware</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$26.00</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Twin Peaks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Diego-Chula Vista-Carlsbad</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208</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208</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99.1%</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Target, Grocer</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$24.27</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Valencia Crossroads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173</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173</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Kohl's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$30.03</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Village at La Floresta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$38.64</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Von's Circle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151</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151</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Von's, Ross Dress for Less, Planet Fitness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$28.58</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 Park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Jose-Sunnyvale-Santa Clara</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Crunch Fitness</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$23.01</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Westlake Village Plaza and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Oxnard-Thousand Oaks-Ventura</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201</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201</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97.8%</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Von's, Sprouts, (CVS)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$42.99</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Willows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233</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233</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96.4%</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pPr>
            <w:r>
              <w:rPr/>
              <w:t> </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REI, UFC Gym, Old Navy, Ulta, Five Below, Airport Home Appliance</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$29.20</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Woodman Van Nuys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Los Angeles-Long Beach-Anaheim</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108</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108</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El Super</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$17.82</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Woodside Central</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81</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81</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93.4%</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113</w:t>
            </w:r>
          </w:p>
        </w:tc>
        <w:tc>
          <w:tcPr>
            <w:tcW w:w="563" w:type="dxa"/>
            <w:tcBorders/>
            <w:shd w:fill="DBDBDB" w:val="clear"/>
            <w:vAlign w:val="center"/>
          </w:tcPr>
          <w:p>
            <w:pPr>
              <w:pStyle w:val="TableContents"/>
              <w:bidi w:val="0"/>
              <w:spacing w:before="0" w:after="283"/>
              <w:jc w:val="center"/>
              <w:rPr/>
            </w:pPr>
            <w:r>
              <w:rPr/>
              <w:t> </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Chuck E. Cheese, Marshalls, (Target)</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$29.79</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Ygnacio Plaza</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w:t>
            </w:r>
          </w:p>
        </w:tc>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San Francisco-Oakland-Berkeley</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91.4%</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Sports Basement,TJ Maxx</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$42.54</w:t>
            </w:r>
          </w:p>
        </w:tc>
      </w:tr>
      <w:tr>
        <w:trPr/>
        <w:tc>
          <w:tcPr>
            <w:tcW w:w="16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2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CA</w:t>
            </w:r>
          </w:p>
        </w:tc>
        <w:tc>
          <w:tcPr>
            <w:tcW w:w="155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47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10,690</w:t>
            </w:r>
          </w:p>
        </w:tc>
        <w:tc>
          <w:tcPr>
            <w:tcW w:w="59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9,263</w:t>
            </w:r>
          </w:p>
        </w:tc>
        <w:tc>
          <w:tcPr>
            <w:tcW w:w="64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95.5%</w:t>
            </w:r>
          </w:p>
        </w:tc>
        <w:tc>
          <w:tcPr>
            <w:tcW w:w="80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95.6%</w:t>
            </w:r>
          </w:p>
        </w:tc>
        <w:tc>
          <w:tcPr>
            <w:tcW w:w="8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439</w:t>
            </w:r>
          </w:p>
        </w:tc>
        <w:tc>
          <w:tcPr>
            <w:tcW w:w="56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2,648</w:t>
            </w:r>
          </w:p>
        </w:tc>
        <w:tc>
          <w:tcPr>
            <w:tcW w:w="217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56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$30.49</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Applewood Shopping Ctr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360</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144</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96.1%</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71</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Applejack Liquors, Hobby Lobby, Homegoods, King Soopers, PetSmart, Sierra Trading Post, Ulta, Three Little Mingos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$16.86</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Alcove On Arapahoe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Boulder</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159</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94.9%</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Petco, HomeGoods, Jo-Ann Fabrics, Safeway, Ulta Salon</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$20.16</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Belleview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117</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117</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97.9%</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65</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$22.52</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Boulevard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77</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77</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94.5%</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Eye Care Specialists, (Safeway)</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$33.13</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Buckley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96.4%</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62</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Ace Hardware, King Soopers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$12.56</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Centerplace of Greeley III</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Greeley</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119</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119</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95.3%</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pPr>
            <w:r>
              <w:rPr/>
              <w:t> </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Hobby Lobby, Best Buy, TJ Maxx</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$12.47</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Cherrywood Square Shop Ctr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$13.23</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Crossroads Commons</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2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Boulder</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143</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95.8%</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Barnes &amp; Noble</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$30.98</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Crossroads Commons II</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2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Boulder</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pPr>
            <w:r>
              <w:rPr/>
              <w:t> </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(Barnes &amp; Noble)</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$41.90</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Falcon Marketplace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Colorado Springs</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184</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(Wal-Mart)</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$26.83</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Hilltop Village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97.3%</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$13.21</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Littleton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92.4%</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$10.26</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Lloyd King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$12.65</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Marketplace at Briargate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Colorado Springs</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$36.82</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Monument Jackson Creek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Colorado Springs</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85</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85</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$13.36</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Ralston Square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98.5%</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$16.62</w:t>
            </w:r>
          </w:p>
        </w:tc>
      </w:tr>
      <w:tr>
        <w:trPr/>
        <w:tc>
          <w:tcPr>
            <w:tcW w:w="161"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Shops at Quail Creek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59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56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21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$28.39</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Stroh Ranch</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Denver-Aurora-Lakewood</w:t>
            </w:r>
          </w:p>
        </w:tc>
        <w:tc>
          <w:tcPr>
            <w:tcW w:w="4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59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01" w:type="dxa"/>
            <w:tcBorders/>
            <w:shd w:fill="DBDBDB" w:val="clear"/>
            <w:vAlign w:val="center"/>
          </w:tcPr>
          <w:p>
            <w:pPr>
              <w:pStyle w:val="TableContents"/>
              <w:bidi w:val="0"/>
              <w:spacing w:before="0" w:after="283"/>
              <w:jc w:val="center"/>
              <w:rPr/>
            </w:pPr>
            <w:r>
              <w:rPr/>
              <w:t> </w:t>
            </w:r>
          </w:p>
        </w:tc>
        <w:tc>
          <w:tcPr>
            <w:tcW w:w="886" w:type="dxa"/>
            <w:tcBorders/>
            <w:shd w:fill="DBDBDB" w:val="clear"/>
            <w:vAlign w:val="center"/>
          </w:tcPr>
          <w:p>
            <w:pPr>
              <w:pStyle w:val="TableContents"/>
              <w:bidi w:val="0"/>
              <w:spacing w:before="0" w:after="283"/>
              <w:jc w:val="center"/>
              <w:rPr/>
            </w:pPr>
            <w:r>
              <w:rPr/>
              <w:t> </w:t>
            </w:r>
          </w:p>
        </w:tc>
        <w:tc>
          <w:tcPr>
            <w:tcW w:w="56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21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$14.64</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Woodmen Plaza</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w:t>
            </w:r>
          </w:p>
        </w:tc>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Colorado Springs</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97.6%</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2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Soopers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$14.13</w:t>
            </w:r>
          </w:p>
        </w:tc>
      </w:tr>
      <w:tr>
        <w:trPr/>
        <w:tc>
          <w:tcPr>
            <w:tcW w:w="161" w:type="dxa"/>
            <w:tcBorders/>
            <w:shd w:fill="DBDBDB" w:val="clear"/>
            <w:vAlign w:val="center"/>
          </w:tcPr>
          <w:p>
            <w:pPr>
              <w:pStyle w:val="TableContents"/>
              <w:bidi w:val="0"/>
              <w:spacing w:before="0" w:after="283"/>
              <w:jc w:val="left"/>
              <w:rPr/>
            </w:pPr>
            <w:r>
              <w:rPr/>
              <w:t> </w:t>
            </w:r>
          </w:p>
        </w:tc>
        <w:tc>
          <w:tcPr>
            <w:tcW w:w="828" w:type="dxa"/>
            <w:tcBorders/>
            <w:shd w:fill="DBDBDB" w:val="clear"/>
            <w:vAlign w:val="center"/>
          </w:tcPr>
          <w:p>
            <w:pPr>
              <w:pStyle w:val="TableContents"/>
              <w:bidi w:val="0"/>
              <w:spacing w:before="0" w:after="283"/>
              <w:jc w:val="left"/>
              <w:rPr/>
            </w:pPr>
            <w:r>
              <w:rPr/>
              <w:t> </w:t>
            </w:r>
          </w:p>
        </w:tc>
        <w:tc>
          <w:tcPr>
            <w:tcW w:w="286" w:type="dxa"/>
            <w:tcBorders/>
            <w:shd w:fill="DBDBDB" w:val="clear"/>
            <w:vAlign w:val="center"/>
          </w:tcPr>
          <w:p>
            <w:pPr>
              <w:pStyle w:val="TableContents"/>
              <w:bidi w:val="0"/>
              <w:spacing w:before="0" w:after="283"/>
              <w:jc w:val="center"/>
              <w:rPr/>
            </w:pPr>
            <w:r>
              <w:rPr/>
              <w:t> </w:t>
            </w:r>
          </w:p>
        </w:tc>
        <w:tc>
          <w:tcPr>
            <w:tcW w:w="32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CO</w:t>
            </w:r>
          </w:p>
        </w:tc>
        <w:tc>
          <w:tcPr>
            <w:tcW w:w="1557" w:type="dxa"/>
            <w:tcBorders/>
            <w:shd w:fill="DBDBDB" w:val="clear"/>
            <w:vAlign w:val="center"/>
          </w:tcPr>
          <w:p>
            <w:pPr>
              <w:pStyle w:val="TableContents"/>
              <w:bidi w:val="0"/>
              <w:spacing w:before="0" w:after="283"/>
              <w:jc w:val="center"/>
              <w:rPr/>
            </w:pPr>
            <w:r>
              <w:rPr/>
              <w:t> </w:t>
            </w:r>
          </w:p>
        </w:tc>
        <w:tc>
          <w:tcPr>
            <w:tcW w:w="473"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1,955</w:t>
            </w:r>
          </w:p>
        </w:tc>
        <w:tc>
          <w:tcPr>
            <w:tcW w:w="595"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1,408</w:t>
            </w:r>
          </w:p>
        </w:tc>
        <w:tc>
          <w:tcPr>
            <w:tcW w:w="647"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97.1%</w:t>
            </w:r>
          </w:p>
        </w:tc>
        <w:tc>
          <w:tcPr>
            <w:tcW w:w="801"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97.1%</w:t>
            </w:r>
          </w:p>
        </w:tc>
        <w:tc>
          <w:tcPr>
            <w:tcW w:w="886"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403</w:t>
            </w:r>
          </w:p>
        </w:tc>
        <w:tc>
          <w:tcPr>
            <w:tcW w:w="563"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1,119</w:t>
            </w:r>
          </w:p>
        </w:tc>
        <w:tc>
          <w:tcPr>
            <w:tcW w:w="2173" w:type="dxa"/>
            <w:tcBorders/>
            <w:shd w:fill="DBDBDB" w:val="clear"/>
            <w:vAlign w:val="center"/>
          </w:tcPr>
          <w:p>
            <w:pPr>
              <w:pStyle w:val="TableContents"/>
              <w:bidi w:val="0"/>
              <w:spacing w:before="0" w:after="283"/>
              <w:jc w:val="center"/>
              <w:rPr/>
            </w:pPr>
            <w:r>
              <w:rPr/>
              <w:t> </w:t>
            </w:r>
          </w:p>
        </w:tc>
        <w:tc>
          <w:tcPr>
            <w:tcW w:w="569"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$17.26</w:t>
            </w:r>
          </w:p>
        </w:tc>
      </w:tr>
    </w:tbl>
    <w:p>
      <w:pPr>
        <w:pStyle w:val="TextBody"/>
        <w:bidi w:val="0"/>
        <w:spacing w:before="60" w:after="283"/>
        <w:jc w:val="left"/>
        <w:rPr/>
      </w:pPr>
      <w:r>
        <w:rPr/>
        <w:t> </w:t>
      </w:r>
    </w:p>
    <w:p>
      <w:pPr>
        <w:pStyle w:val="TextBody"/>
        <w:bidi w:val="0"/>
        <w:jc w:val="left"/>
        <w:rPr/>
      </w:pPr>
      <w:r>
        <w:rPr/>
        <w:drawing>
          <wp:inline distT="0" distB="0" distL="0" distR="0">
            <wp:extent cx="476250" cy="2571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
        <w:gridCol w:w="1183"/>
        <w:gridCol w:w="286"/>
        <w:gridCol w:w="331"/>
        <w:gridCol w:w="346"/>
        <w:gridCol w:w="1554"/>
        <w:gridCol w:w="376"/>
        <w:gridCol w:w="642"/>
        <w:gridCol w:w="688"/>
        <w:gridCol w:w="911"/>
        <w:gridCol w:w="903"/>
        <w:gridCol w:w="609"/>
        <w:gridCol w:w="1560"/>
        <w:gridCol w:w="614"/>
      </w:tblGrid>
      <w:tr>
        <w:trPr/>
        <w:tc>
          <w:tcPr>
            <w:tcW w:w="20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37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64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8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1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0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5"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55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3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8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9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90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6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15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6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202" w:type="dxa"/>
            <w:tcBorders/>
            <w:shd w:fill="DBDBDB" w:val="clear"/>
            <w:vAlign w:val="center"/>
          </w:tcPr>
          <w:p>
            <w:pPr>
              <w:pStyle w:val="TableContents"/>
              <w:bidi w:val="0"/>
              <w:spacing w:before="0" w:after="283"/>
              <w:jc w:val="left"/>
              <w:rPr/>
            </w:pPr>
            <w:r>
              <w:rPr/>
              <w:t> </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22 Crescent Road</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$69.00</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25 Valley Drive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$46.66</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321-323 Railroad Ave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$38.85</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470 Main Street</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97.9%</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$29.64</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530 Old Post Rd</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75.0%</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$43.25</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7 Riversville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80.9%</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$41.05</w:t>
            </w:r>
          </w:p>
        </w:tc>
      </w:tr>
      <w:tr>
        <w:trPr/>
        <w:tc>
          <w:tcPr>
            <w:tcW w:w="202" w:type="dxa"/>
            <w:tcBorders/>
            <w:shd w:fill="DBDBDB" w:val="clear"/>
            <w:vAlign w:val="center"/>
          </w:tcPr>
          <w:p>
            <w:pPr>
              <w:pStyle w:val="TableContents"/>
              <w:bidi w:val="0"/>
              <w:spacing w:before="0" w:after="283"/>
              <w:jc w:val="left"/>
              <w:rPr/>
            </w:pPr>
            <w:r>
              <w:rPr/>
              <w:t> </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91 Danbury Road</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$29.86</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970 High Ridge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89.6%</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BevMax</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$36.33</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Airport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90.5%</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$31.18</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Aldi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Haven-Milford</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Aldi</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$16.33</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Bethel Hub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60.8%</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La Placita Bethel Market</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$14.96</w:t>
            </w:r>
          </w:p>
        </w:tc>
      </w:tr>
      <w:tr>
        <w:trPr/>
        <w:tc>
          <w:tcPr>
            <w:tcW w:w="202"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Black Rock</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94.7%</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Old Navy, The Clubhouse</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$30.20</w:t>
            </w:r>
          </w:p>
        </w:tc>
      </w:tr>
      <w:tr>
        <w:trPr/>
        <w:tc>
          <w:tcPr>
            <w:tcW w:w="202" w:type="dxa"/>
            <w:tcBorders/>
            <w:shd w:fill="DBDBDB" w:val="clear"/>
            <w:vAlign w:val="center"/>
          </w:tcPr>
          <w:p>
            <w:pPr>
              <w:pStyle w:val="TableContents"/>
              <w:bidi w:val="0"/>
              <w:spacing w:before="0" w:after="283"/>
              <w:jc w:val="left"/>
              <w:rPr/>
            </w:pPr>
            <w:r>
              <w:rPr/>
              <w:t> </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Brick Walk</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122</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122</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$46.89</w:t>
            </w:r>
          </w:p>
        </w:tc>
      </w:tr>
      <w:tr>
        <w:trPr/>
        <w:tc>
          <w:tcPr>
            <w:tcW w:w="202"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Brookside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Hartford-E Hartford-Middletown</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226</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226</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95.8%</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Burlington Coat Factory, PetSmart, ShopRite, Staples, TJ Maxx, LL Bean</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$16.47</w:t>
            </w:r>
          </w:p>
        </w:tc>
      </w:tr>
      <w:tr>
        <w:trPr/>
        <w:tc>
          <w:tcPr>
            <w:tcW w:w="202" w:type="dxa"/>
            <w:tcBorders/>
            <w:shd w:fill="DBDBDB" w:val="clear"/>
            <w:vAlign w:val="center"/>
          </w:tcPr>
          <w:p>
            <w:pPr>
              <w:pStyle w:val="TableContents"/>
              <w:bidi w:val="0"/>
              <w:spacing w:before="0" w:after="283"/>
              <w:jc w:val="left"/>
              <w:rPr/>
            </w:pPr>
            <w:r>
              <w:rPr/>
              <w:t> </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Compo Acres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95.9%</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$57.43</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Compo Shopping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76</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76</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89.6%</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76</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$52.37</w:t>
            </w:r>
          </w:p>
        </w:tc>
      </w:tr>
      <w:tr>
        <w:trPr/>
        <w:tc>
          <w:tcPr>
            <w:tcW w:w="202" w:type="dxa"/>
            <w:tcBorders/>
            <w:shd w:fill="DBDBDB" w:val="clear"/>
            <w:vAlign w:val="center"/>
          </w:tcPr>
          <w:p>
            <w:pPr>
              <w:pStyle w:val="TableContents"/>
              <w:bidi w:val="0"/>
              <w:spacing w:before="0" w:after="283"/>
              <w:jc w:val="left"/>
              <w:rPr/>
            </w:pPr>
            <w:r>
              <w:rPr/>
              <w:t> </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Copps Hill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173</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173</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87.3%</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59</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Stop &amp; Shop, Homegoods, Marshalls, Rite Aid, Michael's</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$22.11</w:t>
            </w:r>
          </w:p>
        </w:tc>
      </w:tr>
      <w:tr>
        <w:trPr/>
        <w:tc>
          <w:tcPr>
            <w:tcW w:w="202"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Corbin's Corner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Hartford-E Hartford-Middletown</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189</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98.1%</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Best Buy, Edge Fitness, Old Navy, The Tile Shop, Total Wine and More, Trader Joe's</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$32.36</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Cos Cob Commons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84.3%</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$54.27</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Cos Cob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93.4%</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$54.30</w:t>
            </w:r>
          </w:p>
        </w:tc>
      </w:tr>
      <w:tr>
        <w:trPr/>
        <w:tc>
          <w:tcPr>
            <w:tcW w:w="202" w:type="dxa"/>
            <w:tcBorders/>
            <w:shd w:fill="DBDBDB" w:val="clear"/>
            <w:vAlign w:val="center"/>
          </w:tcPr>
          <w:p>
            <w:pPr>
              <w:pStyle w:val="TableContents"/>
              <w:bidi w:val="0"/>
              <w:spacing w:before="0" w:after="283"/>
              <w:jc w:val="left"/>
              <w:rPr/>
            </w:pPr>
            <w:r>
              <w:rPr/>
              <w:t> </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Danbury Green</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124</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124</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Hilton Garden Inn, DSW, Staples, Rite Aid, Warehouse Wines &amp; Liquors</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$26.94</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Danbury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194</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194</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96.9%</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Ocean State Job Lot, Planet Fitness, Elicit Brewing Company, Hobby Lobby</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$12.67</w:t>
            </w:r>
          </w:p>
        </w:tc>
      </w:tr>
      <w:tr>
        <w:trPr/>
        <w:tc>
          <w:tcPr>
            <w:tcW w:w="202" w:type="dxa"/>
            <w:tcBorders/>
            <w:shd w:fill="DBDBDB" w:val="clear"/>
            <w:vAlign w:val="center"/>
          </w:tcPr>
          <w:p>
            <w:pPr>
              <w:pStyle w:val="TableContents"/>
              <w:bidi w:val="0"/>
              <w:spacing w:before="0" w:after="283"/>
              <w:jc w:val="left"/>
              <w:rPr/>
            </w:pPr>
            <w:r>
              <w:rPr/>
              <w:t> </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Darinor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153</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153</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Kohl's, Old Navy, Party City</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$20.53</w:t>
            </w:r>
          </w:p>
        </w:tc>
      </w:tr>
      <w:tr>
        <w:trPr/>
        <w:tc>
          <w:tcPr>
            <w:tcW w:w="202"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Fairfield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87.1%</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Fairfield University Bookstore, Merril Lynch</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$34.70</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Fairfield Crossroads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62</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62</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Marshalls, DSW</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$25.28</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Greenwich Commons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$90.13</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High Ridge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70.3%</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$57.11</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Knotts Landing</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$76.05</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Main &amp; Bailey</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62</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62</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88.9%</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$27.76</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New Milford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Torrington</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235</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235</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Walmart, Stop &amp; Shop, Club 24, Dollar Tree</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$9.09</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Newfield Green</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74</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74</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91.2%</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Grade A Market, CVS</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$39.79</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Old Greenwich CVS</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$45.00</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Old Kings Market (fka Goodwives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88.5%</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Stop &amp; Shop</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$41.69</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Orange Meadows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Haven-Milford</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TJMaxx, Bob's Discount Furniture, Ulta</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$24.17</w:t>
            </w:r>
          </w:p>
        </w:tc>
      </w:tr>
      <w:tr>
        <w:trPr/>
        <w:tc>
          <w:tcPr>
            <w:tcW w:w="202" w:type="dxa"/>
            <w:tcBorders/>
            <w:shd w:fill="DBDBDB" w:val="clear"/>
            <w:vAlign w:val="center"/>
          </w:tcPr>
          <w:p>
            <w:pPr>
              <w:pStyle w:val="TableContents"/>
              <w:bidi w:val="0"/>
              <w:spacing w:before="0" w:after="283"/>
              <w:jc w:val="left"/>
              <w:rPr/>
            </w:pPr>
            <w:r>
              <w:rPr/>
              <w:t> </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Post Road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$59.79</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Ridgeway Shopping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365</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365</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91.3%</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Stop &amp; Shop, LA Fitness, Marshalls, Michael's, Staples, Old Navy, ULTA, Party City</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$31.38</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Shelton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189</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189</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99.1%</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68</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Stop &amp; Shop, Homegoods, Hawley Lane, Edge Fitness</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$19.60</w:t>
            </w:r>
          </w:p>
        </w:tc>
      </w:tr>
      <w:tr>
        <w:trPr/>
        <w:tc>
          <w:tcPr>
            <w:tcW w:w="202"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Southbury Green</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Haven-Milford</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156</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156</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88.7%</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ShopRite, Homegoods</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$22.43</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Station Centre @ Old Greenwich</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94.6%</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Kings Food Markets</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$36.78</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Sunny Valley Shops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Torrington</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88.2%</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Staples, Planet Fitness</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$12.46</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Dock-Dockside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278</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278</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99.5%</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Stop &amp; Shop, BJ's Whole Sale, Edge Fitness, West Marine, Petco, Dollar Tree, Osaka Hibachi</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$19.81</w:t>
            </w:r>
          </w:p>
        </w:tc>
      </w:tr>
      <w:tr>
        <w:trPr/>
        <w:tc>
          <w:tcPr>
            <w:tcW w:w="202"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Hub at Norwalk (fka Walmart Norwalk)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146</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146</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pPr>
            <w:r>
              <w:rPr/>
              <w:t> </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HomeGoods, Target</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$23.66</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b/>
                <w:i/>
                <w:color w:val="000000"/>
                <w:sz w:val="11"/>
              </w:rPr>
            </w:pPr>
            <w:r>
              <w:rPr>
                <w:rFonts w:ascii="Tahoma;sans-serif" w:hAnsi="Tahoma;sans-serif"/>
                <w:b/>
                <w:i/>
                <w:color w:val="000000"/>
                <w:sz w:val="11"/>
              </w:rPr>
              <w:t>The Shops at Stone Bridge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Haven-Milford</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155</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155</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74.0%</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TJ Maxx, Barnes &amp; Noble</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$28.61</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Veterans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Torrington</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Big Y World Class Market, BevMax</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$12.32</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18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Westport Collection (fka Greens Farms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6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6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51.3%</w:t>
            </w:r>
          </w:p>
        </w:tc>
        <w:tc>
          <w:tcPr>
            <w:tcW w:w="911" w:type="dxa"/>
            <w:tcBorders/>
            <w:shd w:fill="DBDBDB" w:val="clear"/>
            <w:vAlign w:val="center"/>
          </w:tcPr>
          <w:p>
            <w:pPr>
              <w:pStyle w:val="TableContents"/>
              <w:bidi w:val="0"/>
              <w:spacing w:before="0" w:after="283"/>
              <w:jc w:val="center"/>
              <w:rPr/>
            </w:pPr>
            <w:r>
              <w:rPr/>
              <w:t> </w:t>
            </w:r>
          </w:p>
        </w:tc>
        <w:tc>
          <w:tcPr>
            <w:tcW w:w="903" w:type="dxa"/>
            <w:tcBorders/>
            <w:shd w:fill="DBDBDB" w:val="clear"/>
            <w:vAlign w:val="center"/>
          </w:tcPr>
          <w:p>
            <w:pPr>
              <w:pStyle w:val="TableContents"/>
              <w:bidi w:val="0"/>
              <w:spacing w:before="0" w:after="283"/>
              <w:jc w:val="center"/>
              <w:rPr/>
            </w:pPr>
            <w:r>
              <w:rPr/>
              <w:t> </w:t>
            </w:r>
          </w:p>
        </w:tc>
        <w:tc>
          <w:tcPr>
            <w:tcW w:w="609" w:type="dxa"/>
            <w:tcBorders/>
            <w:shd w:fill="DBDBDB" w:val="clear"/>
            <w:vAlign w:val="center"/>
          </w:tcPr>
          <w:p>
            <w:pPr>
              <w:pStyle w:val="TableContents"/>
              <w:bidi w:val="0"/>
              <w:spacing w:before="0" w:after="283"/>
              <w:jc w:val="center"/>
              <w:rPr/>
            </w:pPr>
            <w:r>
              <w:rPr/>
              <w:t> </w:t>
            </w:r>
          </w:p>
        </w:tc>
        <w:tc>
          <w:tcPr>
            <w:tcW w:w="156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BevMax</w:t>
            </w:r>
          </w:p>
        </w:tc>
        <w:tc>
          <w:tcPr>
            <w:tcW w:w="6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$26.36</w:t>
            </w:r>
          </w:p>
        </w:tc>
      </w:tr>
      <w:tr>
        <w:trPr/>
        <w:tc>
          <w:tcPr>
            <w:tcW w:w="202"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Westport Row</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CT</w:t>
            </w:r>
          </w:p>
        </w:tc>
        <w:tc>
          <w:tcPr>
            <w:tcW w:w="15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Bridgeport-Stamford-Norwalk</w:t>
            </w:r>
          </w:p>
        </w:tc>
        <w:tc>
          <w:tcPr>
            <w:tcW w:w="37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w:t>
            </w:r>
          </w:p>
        </w:tc>
        <w:tc>
          <w:tcPr>
            <w:tcW w:w="6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w:t>
            </w:r>
          </w:p>
        </w:tc>
        <w:tc>
          <w:tcPr>
            <w:tcW w:w="6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11" w:type="dxa"/>
            <w:tcBorders/>
            <w:shd w:fill="FFFFFF" w:val="clear"/>
            <w:vAlign w:val="center"/>
          </w:tcPr>
          <w:p>
            <w:pPr>
              <w:pStyle w:val="TableContents"/>
              <w:bidi w:val="0"/>
              <w:spacing w:before="0" w:after="283"/>
              <w:jc w:val="center"/>
              <w:rPr/>
            </w:pPr>
            <w:r>
              <w:rPr/>
              <w:t> </w:t>
            </w:r>
          </w:p>
        </w:tc>
        <w:tc>
          <w:tcPr>
            <w:tcW w:w="903" w:type="dxa"/>
            <w:tcBorders/>
            <w:shd w:fill="FFFFFF" w:val="clear"/>
            <w:vAlign w:val="center"/>
          </w:tcPr>
          <w:p>
            <w:pPr>
              <w:pStyle w:val="TableContents"/>
              <w:bidi w:val="0"/>
              <w:spacing w:before="0" w:after="283"/>
              <w:jc w:val="center"/>
              <w:rPr/>
            </w:pPr>
            <w:r>
              <w:rPr/>
              <w:t> </w:t>
            </w:r>
          </w:p>
        </w:tc>
        <w:tc>
          <w:tcPr>
            <w:tcW w:w="6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156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The Fresh Market, Pottery Barn</w:t>
            </w:r>
          </w:p>
        </w:tc>
        <w:tc>
          <w:tcPr>
            <w:tcW w:w="6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$45.36</w:t>
            </w:r>
          </w:p>
        </w:tc>
      </w:tr>
    </w:tbl>
    <w:p>
      <w:pPr>
        <w:pStyle w:val="TextBody"/>
        <w:bidi w:val="0"/>
        <w:spacing w:before="60" w:after="283"/>
        <w:jc w:val="left"/>
        <w:rPr/>
      </w:pPr>
      <w:r>
        <w:rPr/>
        <w:t> </w:t>
      </w:r>
    </w:p>
    <w:p>
      <w:pPr>
        <w:pStyle w:val="TextBody"/>
        <w:bidi w:val="0"/>
        <w:jc w:val="left"/>
        <w:rPr/>
      </w:pPr>
      <w:r>
        <w:rPr/>
        <w:drawing>
          <wp:inline distT="0" distB="0" distL="0" distR="0">
            <wp:extent cx="476250" cy="2571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939"/>
        <w:gridCol w:w="286"/>
        <w:gridCol w:w="330"/>
        <w:gridCol w:w="346"/>
        <w:gridCol w:w="1732"/>
        <w:gridCol w:w="444"/>
        <w:gridCol w:w="638"/>
        <w:gridCol w:w="685"/>
        <w:gridCol w:w="902"/>
        <w:gridCol w:w="901"/>
        <w:gridCol w:w="605"/>
        <w:gridCol w:w="1577"/>
        <w:gridCol w:w="659"/>
      </w:tblGrid>
      <w:tr>
        <w:trPr/>
        <w:tc>
          <w:tcPr>
            <w:tcW w:w="16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44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63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8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0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0"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3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7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44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8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90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60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15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65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CT</w:t>
            </w:r>
          </w:p>
        </w:tc>
        <w:tc>
          <w:tcPr>
            <w:tcW w:w="1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4,129</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4,015</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93.1%</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93.9%</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766</w:t>
            </w:r>
          </w:p>
        </w:tc>
        <w:tc>
          <w:tcPr>
            <w:tcW w:w="1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$27.10</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Shops at The Columbia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DC</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$38.48</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Spring Valley Shopping Center</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DC</w:t>
            </w:r>
          </w:p>
        </w:tc>
        <w:tc>
          <w:tcPr>
            <w:tcW w:w="1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$103.05</w:t>
            </w:r>
          </w:p>
        </w:tc>
      </w:tr>
      <w:tr>
        <w:trPr/>
        <w:tc>
          <w:tcPr>
            <w:tcW w:w="16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DC</w:t>
            </w:r>
          </w:p>
        </w:tc>
        <w:tc>
          <w:tcPr>
            <w:tcW w:w="173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40</w:t>
            </w:r>
          </w:p>
        </w:tc>
        <w:tc>
          <w:tcPr>
            <w:tcW w:w="63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30</w:t>
            </w:r>
          </w:p>
        </w:tc>
        <w:tc>
          <w:tcPr>
            <w:tcW w:w="68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100.0%</w:t>
            </w:r>
          </w:p>
        </w:tc>
        <w:tc>
          <w:tcPr>
            <w:tcW w:w="9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100.0%</w:t>
            </w:r>
          </w:p>
        </w:tc>
        <w:tc>
          <w:tcPr>
            <w:tcW w:w="90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60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12</w:t>
            </w:r>
          </w:p>
        </w:tc>
        <w:tc>
          <w:tcPr>
            <w:tcW w:w="157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5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$53.24</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Pike Creek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Philadelphia-Camden-Wilmington</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229</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229</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97.1%</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Acme Markets, Edge Fitness, Pike Creek Community Hardware</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$17.46</w:t>
            </w:r>
          </w:p>
        </w:tc>
      </w:tr>
      <w:tr>
        <w:trPr/>
        <w:tc>
          <w:tcPr>
            <w:tcW w:w="16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of Graylyn</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w:t>
            </w:r>
          </w:p>
        </w:tc>
        <w:tc>
          <w:tcPr>
            <w:tcW w:w="173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Philadelphia-Camden-Wilmington</w:t>
            </w:r>
          </w:p>
        </w:tc>
        <w:tc>
          <w:tcPr>
            <w:tcW w:w="44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63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w:t>
            </w:r>
          </w:p>
        </w:tc>
        <w:tc>
          <w:tcPr>
            <w:tcW w:w="68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94.6%</w:t>
            </w:r>
          </w:p>
        </w:tc>
        <w:tc>
          <w:tcPr>
            <w:tcW w:w="9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0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157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Rite Aid</w:t>
            </w:r>
          </w:p>
        </w:tc>
        <w:tc>
          <w:tcPr>
            <w:tcW w:w="65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$25.93</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DE</w:t>
            </w:r>
          </w:p>
        </w:tc>
        <w:tc>
          <w:tcPr>
            <w:tcW w:w="1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294</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255</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96.8%</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96.8%</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49</w:t>
            </w:r>
          </w:p>
        </w:tc>
        <w:tc>
          <w:tcPr>
            <w:tcW w:w="1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$18.30</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Alafaya Village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Orlando-Kissimmee-Sanford</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pPr>
            <w:r>
              <w:rPr/>
              <w:t> </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$26.64</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Anastasia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102</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102</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96.2%</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$16.22</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Atlantic Village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pPr>
            <w:r>
              <w:rPr/>
              <w:t> </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LA Fitness, Pet Supplies Plus</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$19.35</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Avenida Biscayne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142</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142</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86.2%</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DSW, Jewelry Exchange, Old Navy, The Fresh Market</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$55.24</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Aventura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 Publix</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$39.97</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Banco Popular Building</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pPr>
            <w:r>
              <w:rPr/>
              <w:t> </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$92.31</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Berkshire Commons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Naples-Marco Island</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98.5%</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Walgreens</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$15.88</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Bird 107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pPr>
            <w:r>
              <w:rPr/>
              <w:t> </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Walgreens</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$22.71</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Bird Ludlam</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192</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192</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98.2%</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 Goodwill, Winn-Dixie</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$26.67</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Bloomingdale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Tampa-St Petersburg-Clearwater</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252</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252</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98.4%</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Bealls, Dollar Tree, Home Centric, LA Fitness, Publix</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$20.92</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Boca Village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 Publix</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$23.80</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Boynton Lakes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95.9%</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Citi Trends, Pet Supermarket, Publix</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$17.52</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Boynton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105</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105</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 Publix</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$21.76</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Brooklyn Station on Riverside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The Fresh Market</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$29.21</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Caligo Crossing</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w:t>
            </w:r>
          </w:p>
        </w:tc>
        <w:tc>
          <w:tcPr>
            <w:tcW w:w="605" w:type="dxa"/>
            <w:tcBorders/>
            <w:shd w:fill="DBDBDB" w:val="clear"/>
            <w:vAlign w:val="center"/>
          </w:tcPr>
          <w:p>
            <w:pPr>
              <w:pStyle w:val="TableContents"/>
              <w:bidi w:val="0"/>
              <w:spacing w:before="0" w:after="283"/>
              <w:jc w:val="center"/>
              <w:rPr/>
            </w:pPr>
            <w:r>
              <w:rPr/>
              <w:t> </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(Kohl's)</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$46.60</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Carriage Gate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Tallahassee</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73</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73</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TJ Maxx</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$26.08</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Cashmere Corners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Port St. Lucie</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WalMart</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$15.12</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Charlotte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Punta Gorda</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92.1%</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WalMart, Buffet City</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$11.86</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Chasewood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152</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152</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97.1%</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Pet Smart</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$28.87</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Concord Shopping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309</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309</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97.5%</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Big Lots, Dollar Tree, Home Depot, Winn-Dixie, YouFit Health Club</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$14.69</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Coral Reef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98.7%</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Aldi, Walgreens</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$33.88</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Corkscrew Village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Cape Coral-Fort Myers</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82</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82</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97.8%</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$15.79</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Country Walk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96.5%</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CVS</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$23.48</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Countryside Shops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193</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193</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73.8%</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Ross Dress for Less</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$26.33</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Courtyard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137</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137</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Target, (Publix)</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$3.68</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East San Marco</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59</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59</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$28.47</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Fleming Island</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136</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136</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97.4%</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130</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PETCO, Planet Fitness, (Target)</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$17.87</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Fountain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177</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177</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99.2%</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140</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Ross Dress for Less, TJ Maxx, Ulta, (Target)</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$29.35</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Gardens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$19.93</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of Grande Oak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Cape Coral-Fort Myers</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79</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79</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$18.48</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Greenwood Shopping Centre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133</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133</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98.7%</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Bealls</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$18.06</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Hammocks Town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187</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187</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97.3%</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 Goodwill, Publix, Metro-Dade Public Library, YouFit Health Club, (Kendall Ice Arena)</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$19.64</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Hibernia Pavilion</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$16.59</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John's Creek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82</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$17.00</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Julington Village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82</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(CVS)</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$17.97</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Kirkman Shoppes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Orlando-Kissimmee-Sanford</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pPr>
            <w:r>
              <w:rPr/>
              <w:t> </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LA Fitness, Walgreens</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$26.95</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Lake Mary Centre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Orlando-Kissimmee-Sanford</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356</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356</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95.8%</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The Fresh Market, Academy Sports, Hobby Lobby, LA Fitness, Ross Dress for Less, Office Depot</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$18.64</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Mandarin Landing</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140</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140</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Aveda Institute, Baptist Health, Cooper's Hawk</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$22.51</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Millhopper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Gainesville</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97.7%</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$19.57</w:t>
            </w:r>
          </w:p>
        </w:tc>
      </w:tr>
      <w:tr>
        <w:trPr/>
        <w:tc>
          <w:tcPr>
            <w:tcW w:w="161"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Naples Walk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Naples-Marco Island</w:t>
            </w:r>
          </w:p>
        </w:tc>
        <w:tc>
          <w:tcPr>
            <w:tcW w:w="4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125</w:t>
            </w:r>
          </w:p>
        </w:tc>
        <w:tc>
          <w:tcPr>
            <w:tcW w:w="6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125</w:t>
            </w:r>
          </w:p>
        </w:tc>
        <w:tc>
          <w:tcPr>
            <w:tcW w:w="68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94.4%</w:t>
            </w:r>
          </w:p>
        </w:tc>
        <w:tc>
          <w:tcPr>
            <w:tcW w:w="902" w:type="dxa"/>
            <w:tcBorders/>
            <w:shd w:fill="FFFFFF" w:val="clear"/>
            <w:vAlign w:val="center"/>
          </w:tcPr>
          <w:p>
            <w:pPr>
              <w:pStyle w:val="TableContents"/>
              <w:bidi w:val="0"/>
              <w:spacing w:before="0" w:after="283"/>
              <w:jc w:val="center"/>
              <w:rPr/>
            </w:pPr>
            <w:r>
              <w:rPr/>
              <w:t> </w:t>
            </w:r>
          </w:p>
        </w:tc>
        <w:tc>
          <w:tcPr>
            <w:tcW w:w="901" w:type="dxa"/>
            <w:tcBorders/>
            <w:shd w:fill="FFFFFF" w:val="clear"/>
            <w:vAlign w:val="center"/>
          </w:tcPr>
          <w:p>
            <w:pPr>
              <w:pStyle w:val="TableContents"/>
              <w:bidi w:val="0"/>
              <w:spacing w:before="0" w:after="283"/>
              <w:jc w:val="center"/>
              <w:rPr/>
            </w:pPr>
            <w:r>
              <w:rPr/>
              <w:t> </w:t>
            </w:r>
          </w:p>
        </w:tc>
        <w:tc>
          <w:tcPr>
            <w:tcW w:w="60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5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5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$19.65</w:t>
            </w:r>
          </w:p>
        </w:tc>
      </w:tr>
      <w:tr>
        <w:trPr/>
        <w:tc>
          <w:tcPr>
            <w:tcW w:w="161" w:type="dxa"/>
            <w:tcBorders/>
            <w:shd w:fill="DBDBDB" w:val="clear"/>
            <w:vAlign w:val="center"/>
          </w:tcPr>
          <w:p>
            <w:pPr>
              <w:pStyle w:val="TableContents"/>
              <w:bidi w:val="0"/>
              <w:spacing w:before="0" w:after="283"/>
              <w:jc w:val="left"/>
              <w:rPr/>
            </w:pPr>
            <w:r>
              <w:rPr/>
              <w:t> </w:t>
            </w:r>
          </w:p>
        </w:tc>
        <w:tc>
          <w:tcPr>
            <w:tcW w:w="93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Newberry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0"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7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Gainesville</w:t>
            </w:r>
          </w:p>
        </w:tc>
        <w:tc>
          <w:tcPr>
            <w:tcW w:w="4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181</w:t>
            </w:r>
          </w:p>
        </w:tc>
        <w:tc>
          <w:tcPr>
            <w:tcW w:w="6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181</w:t>
            </w:r>
          </w:p>
        </w:tc>
        <w:tc>
          <w:tcPr>
            <w:tcW w:w="68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88.8%</w:t>
            </w:r>
          </w:p>
        </w:tc>
        <w:tc>
          <w:tcPr>
            <w:tcW w:w="902" w:type="dxa"/>
            <w:tcBorders/>
            <w:shd w:fill="DBDBDB" w:val="clear"/>
            <w:vAlign w:val="center"/>
          </w:tcPr>
          <w:p>
            <w:pPr>
              <w:pStyle w:val="TableContents"/>
              <w:bidi w:val="0"/>
              <w:spacing w:before="0" w:after="283"/>
              <w:jc w:val="center"/>
              <w:rPr/>
            </w:pPr>
            <w:r>
              <w:rPr/>
              <w:t> </w:t>
            </w:r>
          </w:p>
        </w:tc>
        <w:tc>
          <w:tcPr>
            <w:tcW w:w="901" w:type="dxa"/>
            <w:tcBorders/>
            <w:shd w:fill="DBDBDB" w:val="clear"/>
            <w:vAlign w:val="center"/>
          </w:tcPr>
          <w:p>
            <w:pPr>
              <w:pStyle w:val="TableContents"/>
              <w:bidi w:val="0"/>
              <w:spacing w:before="0" w:after="283"/>
              <w:jc w:val="center"/>
              <w:rPr/>
            </w:pPr>
            <w:r>
              <w:rPr/>
              <w:t> </w:t>
            </w:r>
          </w:p>
        </w:tc>
        <w:tc>
          <w:tcPr>
            <w:tcW w:w="60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5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Floor &amp; Décor, Dollar Tree</w:t>
            </w:r>
          </w:p>
        </w:tc>
        <w:tc>
          <w:tcPr>
            <w:tcW w:w="65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$10.64</w:t>
            </w:r>
          </w:p>
        </w:tc>
      </w:tr>
    </w:tbl>
    <w:p>
      <w:pPr>
        <w:pStyle w:val="TextBody"/>
        <w:bidi w:val="0"/>
        <w:jc w:val="left"/>
        <w:rPr/>
      </w:pPr>
      <w:r>
        <w:rPr/>
        <w:t> </w:t>
      </w:r>
    </w:p>
    <w:p>
      <w:pPr>
        <w:pStyle w:val="TextBody"/>
        <w:bidi w:val="0"/>
        <w:jc w:val="left"/>
        <w:rPr/>
      </w:pPr>
      <w:r>
        <w:rPr/>
        <w:drawing>
          <wp:inline distT="0" distB="0" distL="0" distR="0">
            <wp:extent cx="476250" cy="2571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904"/>
        <w:gridCol w:w="211"/>
        <w:gridCol w:w="332"/>
        <w:gridCol w:w="346"/>
        <w:gridCol w:w="1537"/>
        <w:gridCol w:w="380"/>
        <w:gridCol w:w="647"/>
        <w:gridCol w:w="693"/>
        <w:gridCol w:w="921"/>
        <w:gridCol w:w="904"/>
        <w:gridCol w:w="613"/>
        <w:gridCol w:w="1938"/>
        <w:gridCol w:w="618"/>
      </w:tblGrid>
      <w:tr>
        <w:trPr/>
        <w:tc>
          <w:tcPr>
            <w:tcW w:w="16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380"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64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9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2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5"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53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38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4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9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9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90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6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19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61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Nocatee Town Center</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114</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114</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$23.77</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Northgate Square</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Tampa-St Petersburg-Clearwater</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$17.10</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Oakleaf Commons</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77</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77</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96.3%</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$17.16</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Ocala Corners</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Tallahassee</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94.2%</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$14.74</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Old St Augustine Plaza</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248</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248</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Burlington Coat Factory, Hobby Lobby, LA Fitness, Ross Dress for Less</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$11.52</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Pablo Plaza</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162</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162</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Office Depot, Marshalls, HomeGoods, PetSmart</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$19.29</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Pavilion</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Naples-Marco Island</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168</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168</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pPr>
            <w:r>
              <w:rPr/>
              <w:t> </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LA Fitness, Paragon Theaters, J. Lee Salon Suites</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$24.74</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Pine Island</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255</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255</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84.5%</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YouFit Health Club, Floor and Décor, Advanced Veterinary Care Center</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$17.20</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Pine Ridge Square</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98.7%</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The Fresh Market, Marshalls, Ulta, Nordstrom Rack</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$22.63</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Pine Tree Plaza</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$15.63</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Pinecrest Place</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98.3%</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173</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47</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(Target)</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$43.78</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Plaza Venezia</w:t>
            </w:r>
          </w:p>
        </w:tc>
        <w:tc>
          <w:tcPr>
            <w:tcW w:w="21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Orlando-Kissimmee-Sanford</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203</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97.1%</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Eddie V's</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$34.93</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Point Royale Shopping Center</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202</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202</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99.1%</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Winn-Dixie, Burlington Coat Factory, Pasteur Medical Center, Planet Fitness, Rana Furniture</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$16.97</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Prosperity Centre</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124</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124</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69.6%</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Office Depot, TJ Maxx, CVS, Homesense</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$26.69</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Regency Square</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Tampa-St Petersburg-Clearwater</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352</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352</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98.4%</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613" w:type="dxa"/>
            <w:tcBorders/>
            <w:shd w:fill="DBDBDB" w:val="clear"/>
            <w:vAlign w:val="center"/>
          </w:tcPr>
          <w:p>
            <w:pPr>
              <w:pStyle w:val="TableContents"/>
              <w:bidi w:val="0"/>
              <w:spacing w:before="0" w:after="283"/>
              <w:jc w:val="center"/>
              <w:rPr/>
            </w:pPr>
            <w:r>
              <w:rPr/>
              <w:t> </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AMC Theater, Dollar Tree, Five Below, Marshalls, Michael's, PETCO, Shoe Carnival, TJ Maxx, Ulta, Old Navy, (Best Buy), (Macdill)</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$21.20</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Ryanwood Square</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Sebastian-Vero Beach</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115</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115</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93.3%</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Beall's, Harbor Freight Tools</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$12.55</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Sawgrass Promenade</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107</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107</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89.9%</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Walgreens, Dollar Tree</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$15.53</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Seminole Shoppes</w:t>
            </w:r>
          </w:p>
        </w:tc>
        <w:tc>
          <w:tcPr>
            <w:tcW w:w="21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$24.88</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Sheridan Plaza</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507</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507</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Kohl's, LA Fitness, Ross Dress for Less, Pet Supplies Plus, Burlington, Marshalls</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$20.53</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 104</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121</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121</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98.5%</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Fresco y Mas, CVS</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$20.74</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at Bartram Park</w:t>
            </w:r>
          </w:p>
        </w:tc>
        <w:tc>
          <w:tcPr>
            <w:tcW w:w="21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3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135</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(Kohl's), (Tutor Time)</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$23.57</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at Lago Mar</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94.3%</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YouFit Health Club</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$17.06</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at Sunlake Centre</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Tampa-St Petersburg-Clearwater</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117</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117</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$25.93</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of Jonathan's Landing</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94.2%</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$31.82</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of Oakbrook</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183</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183</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58.6%</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Duffy's Sports Bar, CVS</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$22.58</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of Pebblebrook Plaza</w:t>
            </w:r>
          </w:p>
        </w:tc>
        <w:tc>
          <w:tcPr>
            <w:tcW w:w="21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3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Naples-Marco Island</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97.0%</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(Walgreens)</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$16.90</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of Silver Lakes</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127</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127</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Goodwill</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$21.81</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of Sunset</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81.9%</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$28.93</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of Sunset II</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93.4%</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pPr>
            <w:r>
              <w:rPr/>
              <w:t> </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$24.93</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Shops at John's Creek</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$28.24</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Shops at Skylake</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287</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287</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97.6%</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LA Fitness, TJ Maxx, Goodwill, Pasteur Medical</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$26.16</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South Beach Regional</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305</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305</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96.5%</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Home Depot, Ross Dress for Less, Staples, Nordstrom Rack, TJ Maxx</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$18.20</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South Point</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Sebastian-Vero Beach</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$16.10</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Starke</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Jacksonville</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$27.05</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Suncoast Crossing</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Tampa-St Petersburg-Clearwater</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143</w:t>
            </w:r>
          </w:p>
        </w:tc>
        <w:tc>
          <w:tcPr>
            <w:tcW w:w="613" w:type="dxa"/>
            <w:tcBorders/>
            <w:shd w:fill="DBDBDB" w:val="clear"/>
            <w:vAlign w:val="center"/>
          </w:tcPr>
          <w:p>
            <w:pPr>
              <w:pStyle w:val="TableContents"/>
              <w:bidi w:val="0"/>
              <w:spacing w:before="0" w:after="283"/>
              <w:jc w:val="center"/>
              <w:rPr/>
            </w:pPr>
            <w:r>
              <w:rPr/>
              <w:t> </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Kohl's, (Target)</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$7.59</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Plaza at St. Lucie West</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Port St. Lucie</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86.3%</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$28.13</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Village at Hunter's Lake</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Tampa-St Petersburg-Clearwater</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72</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Sprouts</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$28.83</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Town and Country</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Orlando-Kissimmee-Sanford</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Ross Dress for Less</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$11.84</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Town Square</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Tampa-St Petersburg-Clearwater</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pPr>
            <w:r>
              <w:rPr/>
              <w:t> </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PETCO, Barnes &amp; Noble</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$36.20</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Treasure Coast Plaza</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Sebastian-Vero Beach</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134</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134</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59</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TJ Maxx</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$19.48</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Unigold Shopping Center</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Orlando-Kissimmee-Sanford</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115</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115</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90.1%</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YouFit Health Club, Ross Dress for Less</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$15.84</w:t>
            </w:r>
          </w:p>
        </w:tc>
      </w:tr>
      <w:tr>
        <w:trPr/>
        <w:tc>
          <w:tcPr>
            <w:tcW w:w="16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University Commons</w:t>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38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180</w:t>
            </w:r>
          </w:p>
        </w:tc>
        <w:tc>
          <w:tcPr>
            <w:tcW w:w="64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180</w:t>
            </w:r>
          </w:p>
        </w:tc>
        <w:tc>
          <w:tcPr>
            <w:tcW w:w="69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FFFFFF" w:val="clear"/>
            <w:vAlign w:val="center"/>
          </w:tcPr>
          <w:p>
            <w:pPr>
              <w:pStyle w:val="TableContents"/>
              <w:bidi w:val="0"/>
              <w:spacing w:before="0" w:after="283"/>
              <w:jc w:val="center"/>
              <w:rPr/>
            </w:pPr>
            <w:r>
              <w:rPr/>
              <w:t> </w:t>
            </w:r>
          </w:p>
        </w:tc>
        <w:tc>
          <w:tcPr>
            <w:tcW w:w="904" w:type="dxa"/>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93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Nordstrom Rack, Barnes &amp; Noble, Bed Bath &amp; Beyond</w:t>
            </w:r>
          </w:p>
        </w:tc>
        <w:tc>
          <w:tcPr>
            <w:tcW w:w="6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$35.16</w:t>
            </w:r>
          </w:p>
        </w:tc>
      </w:tr>
      <w:tr>
        <w:trPr/>
        <w:tc>
          <w:tcPr>
            <w:tcW w:w="161" w:type="dxa"/>
            <w:tcBorders/>
            <w:shd w:fill="DBDBDB" w:val="clear"/>
            <w:vAlign w:val="center"/>
          </w:tcPr>
          <w:p>
            <w:pPr>
              <w:pStyle w:val="TableContents"/>
              <w:bidi w:val="0"/>
              <w:spacing w:before="0" w:after="283"/>
              <w:jc w:val="left"/>
              <w:rPr/>
            </w:pPr>
            <w:r>
              <w:rPr/>
              <w:t> </w:t>
            </w:r>
          </w:p>
        </w:tc>
        <w:tc>
          <w:tcPr>
            <w:tcW w:w="904"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Village Center</w:t>
            </w:r>
          </w:p>
        </w:tc>
        <w:tc>
          <w:tcPr>
            <w:tcW w:w="211" w:type="dxa"/>
            <w:tcBorders/>
            <w:shd w:fill="DBDBDB" w:val="clear"/>
            <w:vAlign w:val="center"/>
          </w:tcPr>
          <w:p>
            <w:pPr>
              <w:pStyle w:val="TableContents"/>
              <w:bidi w:val="0"/>
              <w:spacing w:before="0" w:after="283"/>
              <w:jc w:val="left"/>
              <w:rPr>
                <w:sz w:val="4"/>
                <w:szCs w:val="4"/>
              </w:rPr>
            </w:pPr>
            <w:r>
              <w:rPr>
                <w:sz w:val="4"/>
                <w:szCs w:val="4"/>
              </w:rPr>
            </w:r>
          </w:p>
        </w:tc>
        <w:tc>
          <w:tcPr>
            <w:tcW w:w="332"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5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Tampa-St Petersburg-Clearwater</w:t>
            </w:r>
          </w:p>
        </w:tc>
        <w:tc>
          <w:tcPr>
            <w:tcW w:w="38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186</w:t>
            </w:r>
          </w:p>
        </w:tc>
        <w:tc>
          <w:tcPr>
            <w:tcW w:w="64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186</w:t>
            </w:r>
          </w:p>
        </w:tc>
        <w:tc>
          <w:tcPr>
            <w:tcW w:w="69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21" w:type="dxa"/>
            <w:tcBorders/>
            <w:shd w:fill="DBDBDB" w:val="clear"/>
            <w:vAlign w:val="center"/>
          </w:tcPr>
          <w:p>
            <w:pPr>
              <w:pStyle w:val="TableContents"/>
              <w:bidi w:val="0"/>
              <w:spacing w:before="0" w:after="283"/>
              <w:jc w:val="center"/>
              <w:rPr/>
            </w:pPr>
            <w:r>
              <w:rPr/>
              <w:t> </w:t>
            </w:r>
          </w:p>
        </w:tc>
        <w:tc>
          <w:tcPr>
            <w:tcW w:w="904"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193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PGA Tour Superstore, Walgreens</w:t>
            </w:r>
          </w:p>
        </w:tc>
        <w:tc>
          <w:tcPr>
            <w:tcW w:w="6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$23.24</w:t>
            </w:r>
          </w:p>
        </w:tc>
      </w:tr>
    </w:tbl>
    <w:p>
      <w:pPr>
        <w:pStyle w:val="TextBody"/>
        <w:bidi w:val="0"/>
        <w:jc w:val="left"/>
        <w:rPr/>
      </w:pPr>
      <w:r>
        <w:rPr/>
        <w:t> </w:t>
      </w:r>
    </w:p>
    <w:p>
      <w:pPr>
        <w:pStyle w:val="TextBody"/>
        <w:bidi w:val="0"/>
        <w:jc w:val="left"/>
        <w:rPr/>
      </w:pPr>
      <w:r>
        <w:rPr/>
        <w:drawing>
          <wp:inline distT="0" distB="0" distL="0" distR="0">
            <wp:extent cx="476250" cy="2571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880"/>
        <w:gridCol w:w="286"/>
        <w:gridCol w:w="328"/>
        <w:gridCol w:w="346"/>
        <w:gridCol w:w="1636"/>
        <w:gridCol w:w="488"/>
        <w:gridCol w:w="630"/>
        <w:gridCol w:w="678"/>
        <w:gridCol w:w="883"/>
        <w:gridCol w:w="898"/>
        <w:gridCol w:w="597"/>
        <w:gridCol w:w="1791"/>
        <w:gridCol w:w="603"/>
      </w:tblGrid>
      <w:tr>
        <w:trPr/>
        <w:tc>
          <w:tcPr>
            <w:tcW w:w="16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48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630"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7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88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8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1"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6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48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3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8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8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5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1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60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Waterstone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$18.43</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Welleby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47</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Dollar Tree</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$15.47</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Wellington Town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108</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108</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97.4%</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CVS</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$25.90</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 Bird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97.9%</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$27.74</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 Lake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98.6%</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Fresco y Mas, CVS</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$23.26</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Westchase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Tampa-St Petersburg-Clearwater</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79</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79</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$18.22</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Westport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Miami-Ft Lauderdale-PompanoBch</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47</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47</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$23.51</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Willa Springs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FL</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Orlando-Kissimmee-Sanford</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$25.07</w:t>
            </w:r>
          </w:p>
        </w:tc>
      </w:tr>
      <w:tr>
        <w:trPr/>
        <w:tc>
          <w:tcPr>
            <w:tcW w:w="16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2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FL</w:t>
            </w:r>
          </w:p>
        </w:tc>
        <w:tc>
          <w:tcPr>
            <w:tcW w:w="163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48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11,233</w:t>
            </w:r>
          </w:p>
        </w:tc>
        <w:tc>
          <w:tcPr>
            <w:tcW w:w="63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10,789</w:t>
            </w:r>
          </w:p>
        </w:tc>
        <w:tc>
          <w:tcPr>
            <w:tcW w:w="67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95.8%</w:t>
            </w:r>
          </w:p>
        </w:tc>
        <w:tc>
          <w:tcPr>
            <w:tcW w:w="88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95.8%</w:t>
            </w:r>
          </w:p>
        </w:tc>
        <w:tc>
          <w:tcPr>
            <w:tcW w:w="89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1,049</w:t>
            </w:r>
          </w:p>
        </w:tc>
        <w:tc>
          <w:tcPr>
            <w:tcW w:w="59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3,372</w:t>
            </w:r>
          </w:p>
        </w:tc>
        <w:tc>
          <w:tcPr>
            <w:tcW w:w="179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0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$21.34</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Ashford Place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pPr>
            <w:r>
              <w:rPr/>
              <w:t> </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Harbor Freight Tools</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$26.54</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Briarcliff La Vista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80.0%</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pPr>
            <w:r>
              <w:rPr/>
              <w:t> </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Michael's</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$19.82</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Ashford Place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pPr>
            <w:r>
              <w:rPr/>
              <w:t> </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Harbor Freight Tools</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$26.54</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Briarcliff La Vista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80.0%</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pPr>
            <w:r>
              <w:rPr/>
              <w:t> </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Michael's</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$19.82</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Briarcliff Village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189</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189</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Burlington, Party City, Publix, Shoe Carnival, TJ Maxx</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$17.71</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Bridgemill Market</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95.0%</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$19.29</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Brighten Park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137</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137</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92.5%</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Lidl, Big Blue Swim School, Kohl's</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$28.85</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Buckhead Court</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95.7%</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pPr>
            <w:r>
              <w:rPr/>
              <w:t> </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$33.29</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Buckhead Landing</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152</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152</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96.3%</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Binders Art Supplies &amp; Frames, Publix, Golf Galaxy</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$32.87</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Buckhead Station</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234</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234</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93.2%</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pPr>
            <w:r>
              <w:rPr/>
              <w:t> </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Cost Plus World Market, DSW Warehouse, Nordstrom Rack, Old Navy, Saks Off 5th, TJ Maxx, Ulta, Bloomingdale's Outlet</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$27.35</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Cambridge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73</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73</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98.7%</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$24.06</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Chastain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$24.74</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Cornerstone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Aldi, Barking Hound Village, CVS, HealthMarkets Insurance</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$19.50</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Sope Creek Crossing</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98.1%</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$17.51</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Dunwoody Hall</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$22.14</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Dunwoody Village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121</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121</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97.2%</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The Fresh Market, Walgreens, Dunwoody Prep</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$23.20</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Howell Mill Village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$25.85</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Paces Ferry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82</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82</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$42.61</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Powers Ferry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pPr>
            <w:r>
              <w:rPr/>
              <w:t> </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HomeGoods, PETCO</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$36.69</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Powers Ferry Village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69</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69</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Barrel Town</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$10.68</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Russell Ridge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108</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108</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95.9%</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$13.34</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Sandy Springs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113</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113</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Fox's, Peter Glenn Ski &amp; Sports</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$28.29</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Shops at Hampton Oaks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93.3%</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pPr>
            <w:r>
              <w:rPr/>
              <w:t> </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$13.69</w:t>
            </w:r>
          </w:p>
        </w:tc>
      </w:tr>
      <w:tr>
        <w:trPr/>
        <w:tc>
          <w:tcPr>
            <w:tcW w:w="16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Williamsburg at Dunwoody</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GA</w:t>
            </w:r>
          </w:p>
        </w:tc>
        <w:tc>
          <w:tcPr>
            <w:tcW w:w="163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Atlanta-SandySprings-Alpharett</w:t>
            </w:r>
          </w:p>
        </w:tc>
        <w:tc>
          <w:tcPr>
            <w:tcW w:w="48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63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67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98.2%</w:t>
            </w:r>
          </w:p>
        </w:tc>
        <w:tc>
          <w:tcPr>
            <w:tcW w:w="88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89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59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179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0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$26.07</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GA</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2,125</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2,125</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97.1%</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97.1%</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551</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$24.74</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Civic Center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265</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106</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Super H Mart, Home Depot, O'Reilly Automotive, King Spa</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$11.23</w:t>
            </w:r>
          </w:p>
        </w:tc>
      </w:tr>
      <w:tr>
        <w:trPr/>
        <w:tc>
          <w:tcPr>
            <w:tcW w:w="161"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Clybourn Commons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8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w:t>
            </w:r>
          </w:p>
        </w:tc>
        <w:tc>
          <w:tcPr>
            <w:tcW w:w="6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w:t>
            </w:r>
          </w:p>
        </w:tc>
        <w:tc>
          <w:tcPr>
            <w:tcW w:w="67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89.9%</w:t>
            </w:r>
          </w:p>
        </w:tc>
        <w:tc>
          <w:tcPr>
            <w:tcW w:w="883"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7" w:type="dxa"/>
            <w:tcBorders/>
            <w:shd w:fill="FFFFFF" w:val="clear"/>
            <w:vAlign w:val="center"/>
          </w:tcPr>
          <w:p>
            <w:pPr>
              <w:pStyle w:val="TableContents"/>
              <w:bidi w:val="0"/>
              <w:spacing w:before="0" w:after="283"/>
              <w:jc w:val="center"/>
              <w:rPr/>
            </w:pPr>
            <w:r>
              <w:rPr/>
              <w:t> </w:t>
            </w:r>
          </w:p>
        </w:tc>
        <w:tc>
          <w:tcPr>
            <w:tcW w:w="179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PETCO</w:t>
            </w:r>
          </w:p>
        </w:tc>
        <w:tc>
          <w:tcPr>
            <w:tcW w:w="60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$37.98</w:t>
            </w:r>
          </w:p>
        </w:tc>
      </w:tr>
      <w:tr>
        <w:trPr/>
        <w:tc>
          <w:tcPr>
            <w:tcW w:w="161" w:type="dxa"/>
            <w:tcBorders/>
            <w:shd w:fill="DBDBDB" w:val="clear"/>
            <w:vAlign w:val="center"/>
          </w:tcPr>
          <w:p>
            <w:pPr>
              <w:pStyle w:val="TableContents"/>
              <w:bidi w:val="0"/>
              <w:spacing w:before="0" w:after="283"/>
              <w:jc w:val="left"/>
              <w:rPr/>
            </w:pPr>
            <w:r>
              <w:rPr/>
              <w:t> </w:t>
            </w:r>
          </w:p>
        </w:tc>
        <w:tc>
          <w:tcPr>
            <w:tcW w:w="880"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Glen Oak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8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3"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179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Walgreens, Northshore University Healthsystems</w:t>
            </w:r>
          </w:p>
        </w:tc>
        <w:tc>
          <w:tcPr>
            <w:tcW w:w="60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$28.00</w:t>
            </w:r>
          </w:p>
        </w:tc>
      </w:tr>
    </w:tbl>
    <w:p>
      <w:pPr>
        <w:pStyle w:val="TextBody"/>
        <w:bidi w:val="0"/>
        <w:spacing w:before="60" w:after="283"/>
        <w:jc w:val="left"/>
        <w:rPr/>
      </w:pPr>
      <w:r>
        <w:rPr/>
        <w:t> </w:t>
      </w:r>
    </w:p>
    <w:p>
      <w:pPr>
        <w:pStyle w:val="TextBody"/>
        <w:bidi w:val="0"/>
        <w:jc w:val="left"/>
        <w:rPr/>
      </w:pPr>
      <w:r>
        <w:rPr/>
        <w:drawing>
          <wp:inline distT="0" distB="0" distL="0" distR="0">
            <wp:extent cx="476250" cy="2571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
        <w:gridCol w:w="959"/>
        <w:gridCol w:w="286"/>
        <w:gridCol w:w="331"/>
        <w:gridCol w:w="346"/>
        <w:gridCol w:w="1639"/>
        <w:gridCol w:w="446"/>
        <w:gridCol w:w="641"/>
        <w:gridCol w:w="687"/>
        <w:gridCol w:w="907"/>
        <w:gridCol w:w="902"/>
        <w:gridCol w:w="607"/>
        <w:gridCol w:w="1639"/>
        <w:gridCol w:w="613"/>
      </w:tblGrid>
      <w:tr>
        <w:trPr/>
        <w:tc>
          <w:tcPr>
            <w:tcW w:w="20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4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64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8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0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1"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63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4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8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90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90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60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163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6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Hinsdale Lake Commons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185</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185</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96.7%</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57</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Goodwill, Charter Fitness, Petco</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$16.96</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Mellody Farm</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259</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259</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98.6%</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Nordstrom Rack, REI, HomeGoods, Barnes &amp; Noble, West Elm</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$31.81</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Naperville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115</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Casey's Foods, Trader Joe's, Oswald's Pharmacy</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$27.56</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Old Town Square</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97.5%</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Jewel-Osco</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$27.16</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Riverside Sq &amp; River's Edge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169</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68</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74</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Mariano's Fresh Market, Dollar Tree, Party City, Blink Fitness</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$19.08</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Roscoe Square</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140</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Mariano's Fresh Market, Walgreens, Altitude Trampoline Park</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$24.88</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Westchester Commons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143</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143</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93.5%</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Mariano's Fresh Market, Goodwill</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$18.49</w:t>
            </w:r>
          </w:p>
        </w:tc>
      </w:tr>
      <w:tr>
        <w:trPr/>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Willow Festival</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IL</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404</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404</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91.6%</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Lowe's, CVS, HomeGoods, REI, Ulta</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$19.45</w:t>
            </w:r>
          </w:p>
        </w:tc>
      </w:tr>
      <w:tr>
        <w:trPr/>
        <w:tc>
          <w:tcPr>
            <w:tcW w:w="2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IL</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1,862</w:t>
            </w:r>
          </w:p>
        </w:tc>
        <w:tc>
          <w:tcPr>
            <w:tcW w:w="64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1,355</w:t>
            </w:r>
          </w:p>
        </w:tc>
        <w:tc>
          <w:tcPr>
            <w:tcW w:w="68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95.8%</w:t>
            </w:r>
          </w:p>
        </w:tc>
        <w:tc>
          <w:tcPr>
            <w:tcW w:w="90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95.8%</w:t>
            </w:r>
          </w:p>
        </w:tc>
        <w:tc>
          <w:tcPr>
            <w:tcW w:w="9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60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572</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1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$22.05</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Shops on Main</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IN</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Chicago-Naperville-Elgin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289</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289</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Dick's Sporting Goods, Ross Dress for Less, HomeGoods, DSW, Nordstrom Rack, Marshalls</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$17.74</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Willow Lake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IN</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Indianapolis-Carmel-Anderson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86.4%</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Indiana Bureau of Motor Vehicles, Snipes USA, (Kroger)</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$18.01</w:t>
            </w:r>
          </w:p>
        </w:tc>
      </w:tr>
      <w:tr>
        <w:trPr/>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Willow Lake West Shopping Center</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IN</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Indianapolis-Carmel-Anderson</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$28.50</w:t>
            </w:r>
          </w:p>
        </w:tc>
      </w:tr>
      <w:tr>
        <w:trPr/>
        <w:tc>
          <w:tcPr>
            <w:tcW w:w="2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IN</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428</w:t>
            </w:r>
          </w:p>
        </w:tc>
        <w:tc>
          <w:tcPr>
            <w:tcW w:w="64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345</w:t>
            </w:r>
          </w:p>
        </w:tc>
        <w:tc>
          <w:tcPr>
            <w:tcW w:w="68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98.6%</w:t>
            </w:r>
          </w:p>
        </w:tc>
        <w:tc>
          <w:tcPr>
            <w:tcW w:w="90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98.6%</w:t>
            </w:r>
          </w:p>
        </w:tc>
        <w:tc>
          <w:tcPr>
            <w:tcW w:w="9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64</w:t>
            </w:r>
          </w:p>
        </w:tc>
        <w:tc>
          <w:tcPr>
            <w:tcW w:w="60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116</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1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$18.44</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Fellsway Plaza</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Boston-Cambridge-Newton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158</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158</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98.0%</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Stop &amp; Shop, Planet Fitness, BioLife Plasma Services</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$27.36</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Shaw's at Plymouth</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Boston-Cambridge-Newton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Shaw's</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$19.34</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Shops at Saugus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Boston-Cambridge-Newton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La-Z-Boy, PetSmart</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$32.02</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Star's at Cambridge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Boston-Cambridge-Newton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Star Market</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$41.18</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Star's at West Roxbury</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Boston-Cambridge-Newton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76</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76</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Shaw's</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$27.69</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Abbot</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Boston-Cambridge-Newton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71.9%</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pPr>
            <w:r>
              <w:rPr/>
              <w:t> </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Center for Effective Alturism</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$99.27</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Longmeadow Shops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Springfield, MA</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99.7%</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pPr>
            <w:r>
              <w:rPr/>
              <w:t> </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$31.58</w:t>
            </w:r>
          </w:p>
        </w:tc>
      </w:tr>
      <w:tr>
        <w:trPr/>
        <w:tc>
          <w:tcPr>
            <w:tcW w:w="2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Twin City Plaza</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Boston-Cambridge-Newton</w:t>
            </w:r>
          </w:p>
        </w:tc>
        <w:tc>
          <w:tcPr>
            <w:tcW w:w="4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285</w:t>
            </w:r>
          </w:p>
        </w:tc>
        <w:tc>
          <w:tcPr>
            <w:tcW w:w="64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285</w:t>
            </w:r>
          </w:p>
        </w:tc>
        <w:tc>
          <w:tcPr>
            <w:tcW w:w="68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9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0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Shaw's, Marshall's, Extra Space Storage, Walgreens, K&amp;G Fashion, Dollar Tree, Everfitness, Formlabs</w:t>
            </w:r>
          </w:p>
        </w:tc>
        <w:tc>
          <w:tcPr>
            <w:tcW w:w="61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$23.54</w:t>
            </w:r>
          </w:p>
        </w:tc>
      </w:tr>
      <w:tr>
        <w:trPr/>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MA</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895</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895</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97.6%</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97.6%</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315</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$31.38</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Burnt Mills</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$41.66</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Cloppers Mill Village</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137</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94.5%</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Shoppers Food Warehouse, Dollar Tree</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$19.88</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Festival at Woodholme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Baltimore-Columbia-Towson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81</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98.0%</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$41.28</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Firstfield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pPr>
            <w:r>
              <w:rPr/>
              <w:t> </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$45.11</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Parkville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Baltimore-Columbia-Towson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165</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95.8%</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Giant, Parkville Lanes, Dollar Tree, Petco, The Cellar Parkville</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$17.59</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Southside Marketplace</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Baltimore-Columbia-Towson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125</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94.7%</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Giant</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$25.40</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Takoma Park</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107</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98.2%</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Planet Fitness</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$15.45</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Village at Lee Airpark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Baltimore-Columbia-Towson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97.8%</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Giant, (Sunrise)</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$31.63</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Watkins Park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111</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98.5%</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pPr>
            <w:r>
              <w:rPr/>
              <w:t> </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LA Fitness, CVS</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$30.22</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Westbard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171</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171</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98.2%</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Giant, Bowlmor AMF</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$39.44</w:t>
            </w:r>
          </w:p>
        </w:tc>
      </w:tr>
      <w:tr>
        <w:trPr/>
        <w:tc>
          <w:tcPr>
            <w:tcW w:w="2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Woodmoor Shopping Center</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MD</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68</w:t>
            </w:r>
          </w:p>
        </w:tc>
        <w:tc>
          <w:tcPr>
            <w:tcW w:w="64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68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96.3%</w:t>
            </w:r>
          </w:p>
        </w:tc>
        <w:tc>
          <w:tcPr>
            <w:tcW w:w="90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9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0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61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$38.52</w:t>
            </w:r>
          </w:p>
        </w:tc>
      </w:tr>
      <w:tr>
        <w:trPr/>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MD</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1,137</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622</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97.3%</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75</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357</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$30.57</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Apple Valley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MN</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Minneapol-St. Paul-Bloomington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179</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179</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78.7%</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w:t>
            </w:r>
          </w:p>
        </w:tc>
        <w:tc>
          <w:tcPr>
            <w:tcW w:w="607" w:type="dxa"/>
            <w:tcBorders/>
            <w:shd w:fill="DBDBDB" w:val="clear"/>
            <w:vAlign w:val="center"/>
          </w:tcPr>
          <w:p>
            <w:pPr>
              <w:pStyle w:val="TableContents"/>
              <w:bidi w:val="0"/>
              <w:spacing w:before="0" w:after="283"/>
              <w:jc w:val="center"/>
              <w:rPr/>
            </w:pPr>
            <w:r>
              <w:rPr/>
              <w:t> </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Jo-Ann Fabrics, PETCO, Savers,(Burlington Coat Factory), (Aldi)</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$18.82</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Cedar Commons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MN</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Minneapol-St. Paul-Bloomington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$28.95</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Colonial Square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MN</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Minneapol-St. Paul-Bloomington</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Lund's</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$28.16</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Rockford Road Plaza</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MN</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Minneapol-St. Paul-Bloomington</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204</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82</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99.4%</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pPr>
            <w:r>
              <w:rPr/>
              <w:t> </w:t>
            </w:r>
          </w:p>
        </w:tc>
        <w:tc>
          <w:tcPr>
            <w:tcW w:w="607" w:type="dxa"/>
            <w:tcBorders/>
            <w:shd w:fill="FFFFFF" w:val="clear"/>
            <w:vAlign w:val="center"/>
          </w:tcPr>
          <w:p>
            <w:pPr>
              <w:pStyle w:val="TableContents"/>
              <w:bidi w:val="0"/>
              <w:spacing w:before="0" w:after="283"/>
              <w:jc w:val="center"/>
              <w:rPr/>
            </w:pPr>
            <w:r>
              <w:rPr/>
              <w:t> </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Kohl's, PetSmart, HomeGoods, TJ Maxx, ULTA</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$14.58</w:t>
            </w:r>
          </w:p>
        </w:tc>
      </w:tr>
      <w:tr>
        <w:trPr/>
        <w:tc>
          <w:tcPr>
            <w:tcW w:w="2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Rockridge Center</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3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MN</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Minneapol-St. Paul-Bloomington</w:t>
            </w:r>
          </w:p>
        </w:tc>
        <w:tc>
          <w:tcPr>
            <w:tcW w:w="4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125</w:t>
            </w:r>
          </w:p>
        </w:tc>
        <w:tc>
          <w:tcPr>
            <w:tcW w:w="64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68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98.3%</w:t>
            </w:r>
          </w:p>
        </w:tc>
        <w:tc>
          <w:tcPr>
            <w:tcW w:w="90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9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0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CUB Foods</w:t>
            </w:r>
          </w:p>
        </w:tc>
        <w:tc>
          <w:tcPr>
            <w:tcW w:w="61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$14.81</w:t>
            </w:r>
          </w:p>
        </w:tc>
      </w:tr>
      <w:tr>
        <w:trPr/>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MN</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668</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390</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89.9%</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89.9%</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87</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183</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$20.46</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Brentwood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MO</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 Louis</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92.6%</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Schnucks</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$10.43</w:t>
            </w:r>
          </w:p>
        </w:tc>
      </w:tr>
      <w:tr>
        <w:trPr/>
        <w:tc>
          <w:tcPr>
            <w:tcW w:w="20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Bridgeton</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MO</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 Louis</w:t>
            </w:r>
          </w:p>
        </w:tc>
        <w:tc>
          <w:tcPr>
            <w:tcW w:w="4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71</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71</w:t>
            </w:r>
          </w:p>
        </w:tc>
        <w:tc>
          <w:tcPr>
            <w:tcW w:w="68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FFFFFF" w:val="clear"/>
            <w:vAlign w:val="center"/>
          </w:tcPr>
          <w:p>
            <w:pPr>
              <w:pStyle w:val="TableContents"/>
              <w:bidi w:val="0"/>
              <w:spacing w:before="0" w:after="283"/>
              <w:jc w:val="center"/>
              <w:rPr/>
            </w:pPr>
            <w:r>
              <w:rPr/>
              <w:t> </w:t>
            </w:r>
          </w:p>
        </w:tc>
        <w:tc>
          <w:tcPr>
            <w:tcW w:w="90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130</w:t>
            </w:r>
          </w:p>
        </w:tc>
        <w:tc>
          <w:tcPr>
            <w:tcW w:w="60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Schnucks, (Home Depot)</w:t>
            </w:r>
          </w:p>
        </w:tc>
        <w:tc>
          <w:tcPr>
            <w:tcW w:w="61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$12.96</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Dardenne Crossing</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MO</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 Louis</w:t>
            </w:r>
          </w:p>
        </w:tc>
        <w:tc>
          <w:tcPr>
            <w:tcW w:w="4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c>
          <w:tcPr>
            <w:tcW w:w="68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shd w:fill="DBDBDB" w:val="clear"/>
            <w:vAlign w:val="center"/>
          </w:tcPr>
          <w:p>
            <w:pPr>
              <w:pStyle w:val="TableContents"/>
              <w:bidi w:val="0"/>
              <w:spacing w:before="0" w:after="283"/>
              <w:jc w:val="center"/>
              <w:rPr/>
            </w:pPr>
            <w:r>
              <w:rPr/>
              <w:t> </w:t>
            </w:r>
          </w:p>
        </w:tc>
        <w:tc>
          <w:tcPr>
            <w:tcW w:w="902" w:type="dxa"/>
            <w:tcBorders/>
            <w:shd w:fill="DBDBDB" w:val="clear"/>
            <w:vAlign w:val="center"/>
          </w:tcPr>
          <w:p>
            <w:pPr>
              <w:pStyle w:val="TableContents"/>
              <w:bidi w:val="0"/>
              <w:spacing w:before="0" w:after="283"/>
              <w:jc w:val="center"/>
              <w:rPr/>
            </w:pPr>
            <w:r>
              <w:rPr/>
              <w:t> </w:t>
            </w:r>
          </w:p>
        </w:tc>
        <w:tc>
          <w:tcPr>
            <w:tcW w:w="60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Schnucks</w:t>
            </w:r>
          </w:p>
        </w:tc>
        <w:tc>
          <w:tcPr>
            <w:tcW w:w="61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$11.83</w:t>
            </w:r>
          </w:p>
        </w:tc>
      </w:tr>
      <w:tr>
        <w:trPr/>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Kirkwood Commons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MO</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 Louis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210</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210</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258</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136</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Walmart, TJ Maxx, HomeGoods, Famous Footwear, (Target), (Lowe's)</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$10.41</w:t>
            </w:r>
          </w:p>
        </w:tc>
      </w:tr>
      <w:tr>
        <w:trPr/>
        <w:tc>
          <w:tcPr>
            <w:tcW w:w="202" w:type="dxa"/>
            <w:tcBorders/>
            <w:shd w:fill="DBDBDB" w:val="clear"/>
            <w:vAlign w:val="center"/>
          </w:tcPr>
          <w:p>
            <w:pPr>
              <w:pStyle w:val="TableContents"/>
              <w:bidi w:val="0"/>
              <w:spacing w:before="0" w:after="283"/>
              <w:jc w:val="left"/>
              <w:rPr/>
            </w:pPr>
            <w:r>
              <w:rPr/>
              <w:t> </w:t>
            </w:r>
          </w:p>
        </w:tc>
        <w:tc>
          <w:tcPr>
            <w:tcW w:w="959" w:type="dxa"/>
            <w:tcBorders/>
            <w:shd w:fill="DBDBDB" w:val="clear"/>
            <w:vAlign w:val="center"/>
          </w:tcPr>
          <w:p>
            <w:pPr>
              <w:pStyle w:val="TableContents"/>
              <w:bidi w:val="0"/>
              <w:spacing w:before="0" w:after="283"/>
              <w:jc w:val="left"/>
              <w:rPr/>
            </w:pPr>
            <w:r>
              <w:rPr/>
              <w:t> </w:t>
            </w:r>
          </w:p>
        </w:tc>
        <w:tc>
          <w:tcPr>
            <w:tcW w:w="286" w:type="dxa"/>
            <w:tcBorders/>
            <w:shd w:fill="DBDBDB" w:val="clear"/>
            <w:vAlign w:val="center"/>
          </w:tcPr>
          <w:p>
            <w:pPr>
              <w:pStyle w:val="TableContents"/>
              <w:bidi w:val="0"/>
              <w:spacing w:before="0" w:after="283"/>
              <w:jc w:val="center"/>
              <w:rPr/>
            </w:pPr>
            <w:r>
              <w:rPr/>
              <w:t> </w:t>
            </w:r>
          </w:p>
        </w:tc>
        <w:tc>
          <w:tcPr>
            <w:tcW w:w="331"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MO</w:t>
            </w:r>
          </w:p>
        </w:tc>
        <w:tc>
          <w:tcPr>
            <w:tcW w:w="1639" w:type="dxa"/>
            <w:tcBorders/>
            <w:shd w:fill="DBDBDB" w:val="clear"/>
            <w:vAlign w:val="center"/>
          </w:tcPr>
          <w:p>
            <w:pPr>
              <w:pStyle w:val="TableContents"/>
              <w:bidi w:val="0"/>
              <w:spacing w:before="0" w:after="283"/>
              <w:jc w:val="center"/>
              <w:rPr/>
            </w:pPr>
            <w:r>
              <w:rPr/>
              <w:t> </w:t>
            </w:r>
          </w:p>
        </w:tc>
        <w:tc>
          <w:tcPr>
            <w:tcW w:w="446"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408</w:t>
            </w:r>
          </w:p>
        </w:tc>
        <w:tc>
          <w:tcPr>
            <w:tcW w:w="641"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408</w:t>
            </w:r>
          </w:p>
        </w:tc>
        <w:tc>
          <w:tcPr>
            <w:tcW w:w="687"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98.9%</w:t>
            </w:r>
          </w:p>
        </w:tc>
        <w:tc>
          <w:tcPr>
            <w:tcW w:w="907"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98.9%</w:t>
            </w:r>
          </w:p>
        </w:tc>
        <w:tc>
          <w:tcPr>
            <w:tcW w:w="902"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388</w:t>
            </w:r>
          </w:p>
        </w:tc>
        <w:tc>
          <w:tcPr>
            <w:tcW w:w="607"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314</w:t>
            </w:r>
          </w:p>
        </w:tc>
        <w:tc>
          <w:tcPr>
            <w:tcW w:w="1639" w:type="dxa"/>
            <w:tcBorders/>
            <w:shd w:fill="DBDBDB" w:val="clear"/>
            <w:vAlign w:val="center"/>
          </w:tcPr>
          <w:p>
            <w:pPr>
              <w:pStyle w:val="TableContents"/>
              <w:bidi w:val="0"/>
              <w:spacing w:before="0" w:after="283"/>
              <w:jc w:val="center"/>
              <w:rPr/>
            </w:pPr>
            <w:r>
              <w:rPr/>
              <w:t> </w:t>
            </w:r>
          </w:p>
        </w:tc>
        <w:tc>
          <w:tcPr>
            <w:tcW w:w="613" w:type="dxa"/>
            <w:tcBorders/>
            <w:shd w:fill="DBDBDB"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$11.09</w:t>
            </w:r>
          </w:p>
        </w:tc>
      </w:tr>
    </w:tbl>
    <w:p>
      <w:pPr>
        <w:pStyle w:val="TextBody"/>
        <w:bidi w:val="0"/>
        <w:jc w:val="left"/>
        <w:rPr/>
      </w:pPr>
      <w:r>
        <w:rPr/>
        <w:t> </w:t>
      </w:r>
    </w:p>
    <w:p>
      <w:pPr>
        <w:pStyle w:val="TextBody"/>
        <w:bidi w:val="0"/>
        <w:jc w:val="left"/>
        <w:rPr/>
      </w:pPr>
      <w:r>
        <w:rPr/>
        <w:drawing>
          <wp:inline distT="0" distB="0" distL="0" distR="0">
            <wp:extent cx="476250" cy="2571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9"/>
        <w:gridCol w:w="926"/>
        <w:gridCol w:w="286"/>
        <w:gridCol w:w="315"/>
        <w:gridCol w:w="346"/>
        <w:gridCol w:w="1726"/>
        <w:gridCol w:w="409"/>
        <w:gridCol w:w="573"/>
        <w:gridCol w:w="627"/>
        <w:gridCol w:w="748"/>
        <w:gridCol w:w="878"/>
        <w:gridCol w:w="542"/>
        <w:gridCol w:w="2030"/>
        <w:gridCol w:w="600"/>
      </w:tblGrid>
      <w:tr>
        <w:trPr/>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40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57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2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74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8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5"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4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57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2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74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87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54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203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60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Blakeney Town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Charlotte-Concord-Gastonia</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384</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384</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97.9%</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124</w:t>
            </w:r>
          </w:p>
        </w:tc>
        <w:tc>
          <w:tcPr>
            <w:tcW w:w="542" w:type="dxa"/>
            <w:tcBorders/>
            <w:shd w:fill="DBDBDB" w:val="clear"/>
            <w:vAlign w:val="center"/>
          </w:tcPr>
          <w:p>
            <w:pPr>
              <w:pStyle w:val="TableContents"/>
              <w:bidi w:val="0"/>
              <w:spacing w:before="0" w:after="283"/>
              <w:jc w:val="center"/>
              <w:rPr/>
            </w:pPr>
            <w:r>
              <w:rPr/>
              <w:t> </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Harris Teeter, Marshalls, Best Buy, Petsmart, Off Broadway Shoes, Old Navy, (Target)</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$27.37</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Carmel Commons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Charlotte-Concord-Gastonia</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146</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146</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Chuck E. Cheese, The Fresh Market, Party City, Edwin Watts Golf</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$24.55</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Cochran Commons</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Charlotte-Concord-Gastonia</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Harris Teeter, (Walgreens)</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$18.11</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Market at Colonnade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Raleigh-Cary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$28.87</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Glenwood Village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Raleigh-Cary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88.8%</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Harris Teeter</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$17.62</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Holly Park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Raleigh-Cary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158</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158</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DSW Warehouse, Trader Joe's, Ross Dress For Less, Staples, US Fitness Products, Jerry's Artarama, Pet Supplies Plus, Ulta</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$21.29</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Lake Pine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Raleigh-Cary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Harris Teeter</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$14.69</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Midtown East</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Raleigh-Cary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159</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79</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120</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Wegmans</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$24.66</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Ridgewood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Raleigh-Cary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89.9%</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Walgreens</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$28.91</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Shops at Erwin Mill</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Durham-Chapel Hill</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Harris Teeter</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$20.63</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Shoppes of Kildaire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Raleigh-Cary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145</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Aldi, Staples, Barnes &amp; Noble</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$21.55</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Southpoint Crossing</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Durham-Chapel Hill</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59</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Harris Teeter</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$18.40</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Sutton Square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Raleigh-Cary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The Fresh Market</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$22.38</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Village District</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Raleigh-Cary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602</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181</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99.1%</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Harris Teeter, The Fresh Market, The Oberlin, Wake Public Library, Walgreens, Talbots, Great Outdoor Provision Co., York Properties,The Cheshire Cat Gallery, Crunch Fitness Select Club, Bailey's Fine Jewelry, Sephora, Barnes &amp; Noble, Goodnight's Comedy Club, Ballard Designs</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$26.27</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Village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Durham-Chapel Hill</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73</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$25.77</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Willow Oaks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Charlotte-Concord-Gastonia</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65</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65</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$18.15</w:t>
            </w:r>
          </w:p>
        </w:tc>
      </w:tr>
      <w:tr>
        <w:trPr/>
        <w:tc>
          <w:tcPr>
            <w:tcW w:w="19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Woodcroft Shopping Center</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NC</w:t>
            </w:r>
          </w:p>
        </w:tc>
        <w:tc>
          <w:tcPr>
            <w:tcW w:w="17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Durham-Chapel Hill</w:t>
            </w:r>
          </w:p>
        </w:tc>
        <w:tc>
          <w:tcPr>
            <w:tcW w:w="40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57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62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97.1%</w:t>
            </w:r>
          </w:p>
        </w:tc>
        <w:tc>
          <w:tcPr>
            <w:tcW w:w="74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87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54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203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Food Lion, ACE Hardware</w:t>
            </w:r>
          </w:p>
        </w:tc>
        <w:tc>
          <w:tcPr>
            <w:tcW w:w="60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$14.91</w:t>
            </w:r>
          </w:p>
        </w:tc>
      </w:tr>
      <w:tr>
        <w:trPr/>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NC</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2,466</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1,610</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98.7%</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98.7%</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139</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744</w:t>
            </w:r>
          </w:p>
        </w:tc>
        <w:tc>
          <w:tcPr>
            <w:tcW w:w="2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$22.99</w:t>
            </w:r>
          </w:p>
        </w:tc>
      </w:tr>
      <w:tr>
        <w:trPr/>
        <w:tc>
          <w:tcPr>
            <w:tcW w:w="199"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Bloomfield Crossing</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59</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59</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Superfresh</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$15.29</w:t>
            </w:r>
          </w:p>
        </w:tc>
      </w:tr>
      <w:tr>
        <w:trPr/>
        <w:tc>
          <w:tcPr>
            <w:tcW w:w="199"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Boonton ACME Shopping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97.1%</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Acme Markets</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$24.29</w:t>
            </w:r>
          </w:p>
        </w:tc>
      </w:tr>
      <w:tr>
        <w:trPr/>
        <w:tc>
          <w:tcPr>
            <w:tcW w:w="199"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Cedar Hill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pPr>
            <w:r>
              <w:rPr/>
              <w:t> </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Walgreens</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$31.09</w:t>
            </w:r>
          </w:p>
        </w:tc>
      </w:tr>
      <w:tr>
        <w:trPr/>
        <w:tc>
          <w:tcPr>
            <w:tcW w:w="199"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Chestnut Ridge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76</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92.2%</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Fresh Market, Drop Fitness</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$30.92</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Chimney Rock</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218</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218</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98.8%</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Nordstrom Rack, Saks Off 5th, The Container Store, Ulta, LL Bean</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$38.09</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District at Metuchen</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$32.95</w:t>
            </w:r>
          </w:p>
        </w:tc>
      </w:tr>
      <w:tr>
        <w:trPr/>
        <w:tc>
          <w:tcPr>
            <w:tcW w:w="199"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Emerson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87.1%</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Shoprite, K-9 Resorts Luxury Pet Hotel</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$14.45</w:t>
            </w:r>
          </w:p>
        </w:tc>
      </w:tr>
      <w:tr>
        <w:trPr/>
        <w:tc>
          <w:tcPr>
            <w:tcW w:w="199"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Ferry Street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108</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108</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Seabra Foods, Flaming Grill</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$23.31</w:t>
            </w:r>
          </w:p>
        </w:tc>
      </w:tr>
      <w:tr>
        <w:trPr/>
        <w:tc>
          <w:tcPr>
            <w:tcW w:w="199"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Glenwood Green</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Philadelphia-Camden-Wilmington</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355</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355</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94.8%</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ShopRite, Target, Rendina</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$13.22</w:t>
            </w:r>
          </w:p>
        </w:tc>
      </w:tr>
      <w:tr>
        <w:trPr/>
        <w:tc>
          <w:tcPr>
            <w:tcW w:w="199"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 Mart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pPr>
            <w:r>
              <w:rPr/>
              <w:t> </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$46.32</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Haddon Commons</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Philadelphia-Camden-Wilmington</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Acme Markets</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$18.17</w:t>
            </w:r>
          </w:p>
        </w:tc>
      </w:tr>
      <w:tr>
        <w:trPr/>
        <w:tc>
          <w:tcPr>
            <w:tcW w:w="199"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Meadtown Shopping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77</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77</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pPr>
            <w:r>
              <w:rPr/>
              <w:t> </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Marshalls, Petco, Walgreens</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$26.71</w:t>
            </w:r>
          </w:p>
        </w:tc>
      </w:tr>
      <w:tr>
        <w:trPr/>
        <w:tc>
          <w:tcPr>
            <w:tcW w:w="199"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Midland Park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129</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129</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92.7%</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Kings Food Markets, Crunch Fitness</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$25.13</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Plaza Square</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Grocer, Retro Fitness</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$18.31</w:t>
            </w:r>
          </w:p>
        </w:tc>
      </w:tr>
      <w:tr>
        <w:trPr/>
        <w:tc>
          <w:tcPr>
            <w:tcW w:w="199"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Pompton Lakes Towne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90.5%</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pPr>
            <w:r>
              <w:rPr/>
              <w:t> </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Planet Fitness</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$25.96</w:t>
            </w:r>
          </w:p>
        </w:tc>
      </w:tr>
      <w:tr>
        <w:trPr/>
        <w:tc>
          <w:tcPr>
            <w:tcW w:w="199"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Rite Aid Plaza-Waldwick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pPr>
            <w:r>
              <w:rPr/>
              <w:t> </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Rite Aid</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$30.42</w:t>
            </w:r>
          </w:p>
        </w:tc>
      </w:tr>
      <w:tr>
        <w:trPr/>
        <w:tc>
          <w:tcPr>
            <w:tcW w:w="199"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South Pass Village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109</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109</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98.4%</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Acme Markets</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$31.52</w:t>
            </w:r>
          </w:p>
        </w:tc>
      </w:tr>
      <w:tr>
        <w:trPr/>
        <w:tc>
          <w:tcPr>
            <w:tcW w:w="199"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Valley Ridge Shopping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92.6%</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$28.53</w:t>
            </w:r>
          </w:p>
        </w:tc>
      </w:tr>
      <w:tr>
        <w:trPr/>
        <w:tc>
          <w:tcPr>
            <w:tcW w:w="199"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Van Houten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92.5%</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pPr>
            <w:r>
              <w:rPr/>
              <w:t> </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Dollar Tree</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$10.08</w:t>
            </w:r>
          </w:p>
        </w:tc>
      </w:tr>
      <w:tr>
        <w:trPr/>
        <w:tc>
          <w:tcPr>
            <w:tcW w:w="199"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Waldwick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90.3%</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pPr>
            <w:r>
              <w:rPr/>
              <w:t> </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$28.47</w:t>
            </w:r>
          </w:p>
        </w:tc>
      </w:tr>
      <w:tr>
        <w:trPr/>
        <w:tc>
          <w:tcPr>
            <w:tcW w:w="19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Washington Commons</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1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NJ</w:t>
            </w:r>
          </w:p>
        </w:tc>
        <w:tc>
          <w:tcPr>
            <w:tcW w:w="17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74</w:t>
            </w:r>
          </w:p>
        </w:tc>
        <w:tc>
          <w:tcPr>
            <w:tcW w:w="57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74</w:t>
            </w:r>
          </w:p>
        </w:tc>
        <w:tc>
          <w:tcPr>
            <w:tcW w:w="62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93.4%</w:t>
            </w:r>
          </w:p>
        </w:tc>
        <w:tc>
          <w:tcPr>
            <w:tcW w:w="74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87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54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44</w:t>
            </w:r>
          </w:p>
        </w:tc>
        <w:tc>
          <w:tcPr>
            <w:tcW w:w="203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Stop &amp; Shop</w:t>
            </w:r>
          </w:p>
        </w:tc>
        <w:tc>
          <w:tcPr>
            <w:tcW w:w="60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$23.89</w:t>
            </w:r>
          </w:p>
        </w:tc>
      </w:tr>
      <w:tr>
        <w:trPr/>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NJ</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1,893</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1,707</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95.2%</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95.2%</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627</w:t>
            </w:r>
          </w:p>
        </w:tc>
        <w:tc>
          <w:tcPr>
            <w:tcW w:w="2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$23.98</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101 7th Avenue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57</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57</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pPr>
            <w:r>
              <w:rPr/>
              <w:t> </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$0.00</w:t>
            </w:r>
          </w:p>
        </w:tc>
      </w:tr>
      <w:tr>
        <w:trPr/>
        <w:tc>
          <w:tcPr>
            <w:tcW w:w="199"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111 Kraft Avenue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pPr>
            <w:r>
              <w:rPr/>
              <w:t> </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$47.57</w:t>
            </w:r>
          </w:p>
        </w:tc>
      </w:tr>
      <w:tr>
        <w:trPr/>
        <w:tc>
          <w:tcPr>
            <w:tcW w:w="199" w:type="dxa"/>
            <w:tcBorders/>
            <w:shd w:fill="DBDBDB" w:val="clear"/>
            <w:vAlign w:val="center"/>
          </w:tcPr>
          <w:p>
            <w:pPr>
              <w:pStyle w:val="TableContents"/>
              <w:bidi w:val="0"/>
              <w:spacing w:before="0" w:after="283"/>
              <w:jc w:val="left"/>
              <w:rPr/>
            </w:pPr>
            <w:r>
              <w:rPr/>
              <w:t> </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1175 Third Avenue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Five Below</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$116.08</w:t>
            </w:r>
          </w:p>
        </w:tc>
      </w:tr>
      <w:tr>
        <w:trPr/>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1225-1239 Second Ave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33.7%</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pPr>
            <w:r>
              <w:rPr/>
              <w:t> </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$112.82</w:t>
            </w:r>
          </w:p>
        </w:tc>
      </w:tr>
      <w:tr>
        <w:trPr/>
        <w:tc>
          <w:tcPr>
            <w:tcW w:w="199"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260-270 Sawmill Road</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5"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w:t>
            </w:r>
          </w:p>
        </w:tc>
        <w:tc>
          <w:tcPr>
            <w:tcW w:w="573"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DBDBDB" w:val="clear"/>
            <w:vAlign w:val="center"/>
          </w:tcPr>
          <w:p>
            <w:pPr>
              <w:pStyle w:val="TableContents"/>
              <w:bidi w:val="0"/>
              <w:spacing w:before="0" w:after="283"/>
              <w:jc w:val="center"/>
              <w:rPr/>
            </w:pPr>
            <w:r>
              <w:rPr/>
              <w:t> </w:t>
            </w:r>
          </w:p>
        </w:tc>
        <w:tc>
          <w:tcPr>
            <w:tcW w:w="878" w:type="dxa"/>
            <w:tcBorders/>
            <w:shd w:fill="DBDBDB" w:val="clear"/>
            <w:vAlign w:val="center"/>
          </w:tcPr>
          <w:p>
            <w:pPr>
              <w:pStyle w:val="TableContents"/>
              <w:bidi w:val="0"/>
              <w:spacing w:before="0" w:after="283"/>
              <w:jc w:val="center"/>
              <w:rPr/>
            </w:pPr>
            <w:r>
              <w:rPr/>
              <w:t> </w:t>
            </w:r>
          </w:p>
        </w:tc>
        <w:tc>
          <w:tcPr>
            <w:tcW w:w="542" w:type="dxa"/>
            <w:tcBorders/>
            <w:shd w:fill="DBDBDB" w:val="clear"/>
            <w:vAlign w:val="center"/>
          </w:tcPr>
          <w:p>
            <w:pPr>
              <w:pStyle w:val="TableContents"/>
              <w:bidi w:val="0"/>
              <w:spacing w:before="0" w:after="283"/>
              <w:jc w:val="center"/>
              <w:rPr/>
            </w:pPr>
            <w:r>
              <w:rPr/>
              <w:t> </w:t>
            </w:r>
          </w:p>
        </w:tc>
        <w:tc>
          <w:tcPr>
            <w:tcW w:w="203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00"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$1.69</w:t>
            </w:r>
          </w:p>
        </w:tc>
      </w:tr>
      <w:tr>
        <w:trPr/>
        <w:tc>
          <w:tcPr>
            <w:tcW w:w="199"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26"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27 Purchase Street</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0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573"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48"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542" w:type="dxa"/>
            <w:tcBorders/>
            <w:shd w:fill="FFFFFF" w:val="clear"/>
            <w:vAlign w:val="center"/>
          </w:tcPr>
          <w:p>
            <w:pPr>
              <w:pStyle w:val="TableContents"/>
              <w:bidi w:val="0"/>
              <w:spacing w:before="0" w:after="283"/>
              <w:jc w:val="center"/>
              <w:rPr/>
            </w:pPr>
            <w:r>
              <w:rPr/>
              <w:t> </w:t>
            </w:r>
          </w:p>
        </w:tc>
        <w:tc>
          <w:tcPr>
            <w:tcW w:w="203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00"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$38.99</w:t>
            </w:r>
          </w:p>
        </w:tc>
      </w:tr>
    </w:tbl>
    <w:p>
      <w:pPr>
        <w:pStyle w:val="TextBody"/>
        <w:bidi w:val="0"/>
        <w:jc w:val="left"/>
        <w:rPr/>
      </w:pPr>
      <w:r>
        <w:rPr/>
        <w:t> </w:t>
      </w:r>
    </w:p>
    <w:p>
      <w:pPr>
        <w:pStyle w:val="TextBody"/>
        <w:bidi w:val="0"/>
        <w:jc w:val="left"/>
        <w:rPr/>
      </w:pPr>
      <w:r>
        <w:rPr/>
        <w:drawing>
          <wp:inline distT="0" distB="0" distL="0" distR="0">
            <wp:extent cx="476250" cy="2571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1"/>
        <w:gridCol w:w="1213"/>
        <w:gridCol w:w="286"/>
        <w:gridCol w:w="326"/>
        <w:gridCol w:w="346"/>
        <w:gridCol w:w="1146"/>
        <w:gridCol w:w="361"/>
        <w:gridCol w:w="619"/>
        <w:gridCol w:w="668"/>
        <w:gridCol w:w="856"/>
        <w:gridCol w:w="894"/>
        <w:gridCol w:w="586"/>
        <w:gridCol w:w="2062"/>
        <w:gridCol w:w="641"/>
      </w:tblGrid>
      <w:tr>
        <w:trPr/>
        <w:tc>
          <w:tcPr>
            <w:tcW w:w="20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3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61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6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85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8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4"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3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6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8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8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5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206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6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410 South Broadway</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$1.21</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48 Purchase Street</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pPr>
            <w:r>
              <w:rPr/>
              <w:t> </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$79.93</w:t>
            </w:r>
          </w:p>
        </w:tc>
      </w:tr>
      <w:tr>
        <w:trPr/>
        <w:tc>
          <w:tcPr>
            <w:tcW w:w="201"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90 - 30 Metropolitan Avenue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Michaels, Staples, Trader Joe's</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$36.15</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Arcadian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166</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166</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95.5%</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65</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Stop &amp; Shop, Westchester Community College, The 19th Hole</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$24.55</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Biltmore Shopping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$39.48</w:t>
            </w:r>
          </w:p>
        </w:tc>
      </w:tr>
      <w:tr>
        <w:trPr/>
        <w:tc>
          <w:tcPr>
            <w:tcW w:w="201" w:type="dxa"/>
            <w:tcBorders/>
            <w:shd w:fill="DBDBDB" w:val="clear"/>
            <w:vAlign w:val="center"/>
          </w:tcPr>
          <w:p>
            <w:pPr>
              <w:pStyle w:val="TableContents"/>
              <w:bidi w:val="0"/>
              <w:spacing w:before="0" w:after="283"/>
              <w:jc w:val="left"/>
              <w:rPr/>
            </w:pPr>
            <w:r>
              <w:rPr/>
              <w:t> </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Broadway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147</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147</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93.2%</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Aldi, Best Buy, Bob's Discount Furniture, TJ Maxx, Blink Fitness</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$41.32</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Carmel ShopRite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142</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142</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97.7%</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65</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Shoprite, Carmel Cinema, Gold's Gyn, Rite Aid</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$14.16</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Chilmark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47</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47</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pPr>
            <w:r>
              <w:rPr/>
              <w:t> </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$34.75</w:t>
            </w:r>
          </w:p>
        </w:tc>
      </w:tr>
      <w:tr>
        <w:trPr/>
        <w:tc>
          <w:tcPr>
            <w:tcW w:w="201"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Clocktower Plaza Shopping Ctr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79</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79</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90.4%</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Stop &amp; Shop</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$51.15</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DeCicco's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97.0%</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Decicco &amp; Sons</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$39.80</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District Shops of Pelham Manor (fka Pelham Manor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74.5%</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Manor Market</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$35.89</w:t>
            </w:r>
          </w:p>
        </w:tc>
      </w:tr>
      <w:tr>
        <w:trPr/>
        <w:tc>
          <w:tcPr>
            <w:tcW w:w="201" w:type="dxa"/>
            <w:tcBorders/>
            <w:shd w:fill="DBDBDB" w:val="clear"/>
            <w:vAlign w:val="center"/>
          </w:tcPr>
          <w:p>
            <w:pPr>
              <w:pStyle w:val="TableContents"/>
              <w:bidi w:val="0"/>
              <w:spacing w:before="0" w:after="283"/>
              <w:jc w:val="left"/>
              <w:rPr/>
            </w:pPr>
            <w:r>
              <w:rPr/>
              <w:t> </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East Meadow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199</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199</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61.5%</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Lidl, Dollar Deal</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$25.26</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Eastchester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$37.50</w:t>
            </w:r>
          </w:p>
        </w:tc>
      </w:tr>
      <w:tr>
        <w:trPr/>
        <w:tc>
          <w:tcPr>
            <w:tcW w:w="201" w:type="dxa"/>
            <w:tcBorders/>
            <w:shd w:fill="DBDBDB" w:val="clear"/>
            <w:vAlign w:val="center"/>
          </w:tcPr>
          <w:p>
            <w:pPr>
              <w:pStyle w:val="TableContents"/>
              <w:bidi w:val="0"/>
              <w:spacing w:before="0" w:after="283"/>
              <w:jc w:val="left"/>
              <w:rPr/>
            </w:pPr>
            <w:r>
              <w:rPr/>
              <w:t> </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Eastport</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97.3%</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pPr>
            <w:r>
              <w:rPr/>
              <w:t> </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Kullen, Rite Aid</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$13.75</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Gateway Plaza</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198</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Walmart, Bob's Discount Furniture</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$9.78</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Harrison Shopping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54.1%</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0</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$40.71</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Heritage 202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$35.50</w:t>
            </w:r>
          </w:p>
        </w:tc>
      </w:tr>
      <w:tr>
        <w:trPr/>
        <w:tc>
          <w:tcPr>
            <w:tcW w:w="201" w:type="dxa"/>
            <w:tcBorders/>
            <w:shd w:fill="DBDBDB" w:val="clear"/>
            <w:vAlign w:val="center"/>
          </w:tcPr>
          <w:p>
            <w:pPr>
              <w:pStyle w:val="TableContents"/>
              <w:bidi w:val="0"/>
              <w:spacing w:before="0" w:after="283"/>
              <w:jc w:val="left"/>
              <w:rPr/>
            </w:pPr>
            <w:r>
              <w:rPr/>
              <w:t> </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Hewlett Crossing I &amp; II</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pPr>
            <w:r>
              <w:rPr/>
              <w:t> </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$39.62</w:t>
            </w:r>
          </w:p>
        </w:tc>
      </w:tr>
      <w:tr>
        <w:trPr/>
        <w:tc>
          <w:tcPr>
            <w:tcW w:w="201"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Lake Grove Commons</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141</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57</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LA Fitness</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$37.37</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Lakeview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165</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165</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97.9%</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Acme, Planet Fitness, Montclare Children's School, Rite Aid</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$18.56</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Marine's Taste of Italy</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Torrington</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$28.73</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McLean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86.9%</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Acme Markets</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$19.39</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Midway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244</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95.7%</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74</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Shoprite, JoAnn, Amazing Savings, Daiso, CVS, Planet Fitness, Denny's Kids</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$28.21</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New City PCSB Bank Pad</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pPr>
            <w:r>
              <w:rPr/>
              <w:t> </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$102.08</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Orangetown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76</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76</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93.9%</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$22.63</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Purchase Street Shops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pPr>
            <w:r>
              <w:rPr/>
              <w:t> </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$37.74</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Putnam Plaza</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189</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126</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89.1%</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Tops, Dollar World, Rite Aid, Harbor Freight Tools</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$17.57</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Riverhead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pPr>
            <w:r>
              <w:rPr/>
              <w:t> </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$39.46</w:t>
            </w:r>
          </w:p>
        </w:tc>
      </w:tr>
      <w:tr>
        <w:trPr/>
        <w:tc>
          <w:tcPr>
            <w:tcW w:w="201"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Rivertowns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93.6%</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Ulta, The Learning Experience, Mom's Organic Market, Look Cinemas</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$27.36</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Somers Commons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135</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135</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88.1%</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pPr>
            <w:r>
              <w:rPr/>
              <w:t> </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Level Fitness, Tractor Supply, Goodwill</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$17.18</w:t>
            </w:r>
          </w:p>
        </w:tc>
      </w:tr>
      <w:tr>
        <w:trPr/>
        <w:tc>
          <w:tcPr>
            <w:tcW w:w="201"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Staples Plaza-Yorktown Heights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125</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125</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pPr>
            <w:r>
              <w:rPr/>
              <w:t> </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Level Fitness, Staples, Party City, Extra Space Storage</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$11.07</w:t>
            </w:r>
          </w:p>
        </w:tc>
      </w:tr>
      <w:tr>
        <w:trPr/>
        <w:tc>
          <w:tcPr>
            <w:tcW w:w="201"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1213"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Tanglewood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6"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w:t>
            </w:r>
          </w:p>
        </w:tc>
        <w:tc>
          <w:tcPr>
            <w:tcW w:w="61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w:t>
            </w:r>
          </w:p>
        </w:tc>
        <w:tc>
          <w:tcPr>
            <w:tcW w:w="6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96.6%</w:t>
            </w:r>
          </w:p>
        </w:tc>
        <w:tc>
          <w:tcPr>
            <w:tcW w:w="856" w:type="dxa"/>
            <w:tcBorders/>
            <w:shd w:fill="DBDBDB" w:val="clear"/>
            <w:vAlign w:val="center"/>
          </w:tcPr>
          <w:p>
            <w:pPr>
              <w:pStyle w:val="TableContents"/>
              <w:bidi w:val="0"/>
              <w:spacing w:before="0" w:after="283"/>
              <w:jc w:val="center"/>
              <w:rPr/>
            </w:pPr>
            <w:r>
              <w:rPr/>
              <w:t> </w:t>
            </w:r>
          </w:p>
        </w:tc>
        <w:tc>
          <w:tcPr>
            <w:tcW w:w="894" w:type="dxa"/>
            <w:tcBorders/>
            <w:shd w:fill="DBDBDB" w:val="clear"/>
            <w:vAlign w:val="center"/>
          </w:tcPr>
          <w:p>
            <w:pPr>
              <w:pStyle w:val="TableContents"/>
              <w:bidi w:val="0"/>
              <w:spacing w:before="0" w:after="283"/>
              <w:jc w:val="center"/>
              <w:rPr/>
            </w:pPr>
            <w:r>
              <w:rPr/>
              <w:t> </w:t>
            </w:r>
          </w:p>
        </w:tc>
        <w:tc>
          <w:tcPr>
            <w:tcW w:w="586" w:type="dxa"/>
            <w:tcBorders/>
            <w:shd w:fill="DBDBDB" w:val="clear"/>
            <w:vAlign w:val="center"/>
          </w:tcPr>
          <w:p>
            <w:pPr>
              <w:pStyle w:val="TableContents"/>
              <w:bidi w:val="0"/>
              <w:spacing w:before="0" w:after="283"/>
              <w:jc w:val="center"/>
              <w:rPr/>
            </w:pPr>
            <w:r>
              <w:rPr/>
              <w:t> </w:t>
            </w:r>
          </w:p>
        </w:tc>
        <w:tc>
          <w:tcPr>
            <w:tcW w:w="206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4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$43.98</w:t>
            </w:r>
          </w:p>
        </w:tc>
      </w:tr>
      <w:tr>
        <w:trPr/>
        <w:tc>
          <w:tcPr>
            <w:tcW w:w="201"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Gallery at Westbury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1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36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312</w:t>
            </w:r>
          </w:p>
        </w:tc>
        <w:tc>
          <w:tcPr>
            <w:tcW w:w="61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312</w:t>
            </w:r>
          </w:p>
        </w:tc>
        <w:tc>
          <w:tcPr>
            <w:tcW w:w="6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97.2%</w:t>
            </w:r>
          </w:p>
        </w:tc>
        <w:tc>
          <w:tcPr>
            <w:tcW w:w="856"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c>
          <w:tcPr>
            <w:tcW w:w="5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206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Nordstrom Rack, Saks Fifth Avenue, Bloomingdale's, The Container Store, HomeGoods, Old Navy, Gap Outlet, Bassett Home Furnishings, Famous Footwear</w:t>
            </w:r>
          </w:p>
        </w:tc>
        <w:tc>
          <w:tcPr>
            <w:tcW w:w="64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$52.92</w:t>
            </w:r>
          </w:p>
        </w:tc>
      </w:tr>
    </w:tbl>
    <w:p>
      <w:pPr>
        <w:pStyle w:val="TextBody"/>
        <w:bidi w:val="0"/>
        <w:jc w:val="left"/>
        <w:rPr/>
      </w:pPr>
      <w:r>
        <w:rPr/>
        <w:t> </w:t>
      </w:r>
    </w:p>
    <w:p>
      <w:pPr>
        <w:pStyle w:val="TextBody"/>
        <w:bidi w:val="0"/>
        <w:jc w:val="left"/>
        <w:rPr/>
      </w:pPr>
      <w:r>
        <w:rPr/>
        <w:drawing>
          <wp:inline distT="0" distB="0" distL="0" distR="0">
            <wp:extent cx="476250" cy="2571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
        <w:gridCol w:w="985"/>
        <w:gridCol w:w="286"/>
        <w:gridCol w:w="334"/>
        <w:gridCol w:w="346"/>
        <w:gridCol w:w="1726"/>
        <w:gridCol w:w="454"/>
        <w:gridCol w:w="656"/>
        <w:gridCol w:w="701"/>
        <w:gridCol w:w="943"/>
        <w:gridCol w:w="908"/>
        <w:gridCol w:w="622"/>
        <w:gridCol w:w="1414"/>
        <w:gridCol w:w="627"/>
      </w:tblGrid>
      <w:tr>
        <w:trPr/>
        <w:tc>
          <w:tcPr>
            <w:tcW w:w="20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45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65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70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4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9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8"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3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45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7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94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90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62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14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62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Meadows (fka East Meadow)</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141</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141</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95.5%</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Marshalls, Stew Leonard's, Net Cost Market, Catch Air</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$16.63</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Point at Garden City Park</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105</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105</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Kullen, Ace Hardware</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$31.12</w:t>
            </w:r>
          </w:p>
        </w:tc>
      </w:tr>
      <w:tr>
        <w:trPr/>
        <w:tc>
          <w:tcPr>
            <w:tcW w:w="203"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85" w:type="dxa"/>
            <w:tcBorders/>
            <w:shd w:fill="FFFFFF" w:val="clear"/>
            <w:vAlign w:val="center"/>
          </w:tcPr>
          <w:p>
            <w:pPr>
              <w:pStyle w:val="TableContents"/>
              <w:bidi w:val="0"/>
              <w:spacing w:before="0" w:after="283"/>
              <w:jc w:val="left"/>
              <w:rPr>
                <w:rFonts w:ascii="Tahoma;sans-serif" w:hAnsi="Tahoma;sans-serif"/>
                <w:b/>
                <w:i/>
                <w:color w:val="000000"/>
                <w:sz w:val="11"/>
              </w:rPr>
            </w:pPr>
            <w:r>
              <w:rPr>
                <w:rFonts w:ascii="Tahoma;sans-serif" w:hAnsi="Tahoma;sans-serif"/>
                <w:b/>
                <w:i/>
                <w:color w:val="000000"/>
                <w:sz w:val="11"/>
              </w:rPr>
              <w:t>The Shops at SunVet (fka SunVet)</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3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170</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170</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61.2%</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Nordstrom Rack</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$41.41</w:t>
            </w:r>
          </w:p>
        </w:tc>
      </w:tr>
      <w:tr>
        <w:trPr/>
        <w:tc>
          <w:tcPr>
            <w:tcW w:w="203"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Towne Centre at Somers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84</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84</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98.2%</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pPr>
            <w:r>
              <w:rPr/>
              <w:t> </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$31.35</w:t>
            </w:r>
          </w:p>
        </w:tc>
      </w:tr>
      <w:tr>
        <w:trPr/>
        <w:tc>
          <w:tcPr>
            <w:tcW w:w="203" w:type="dxa"/>
            <w:tcBorders/>
            <w:shd w:fill="FFFFFF" w:val="clear"/>
            <w:vAlign w:val="center"/>
          </w:tcPr>
          <w:p>
            <w:pPr>
              <w:pStyle w:val="TableContents"/>
              <w:bidi w:val="0"/>
              <w:spacing w:before="0" w:after="283"/>
              <w:jc w:val="left"/>
              <w:rPr>
                <w:sz w:val="4"/>
                <w:szCs w:val="4"/>
              </w:rPr>
            </w:pPr>
            <w:r>
              <w:rPr>
                <w:sz w:val="4"/>
                <w:szCs w:val="4"/>
              </w:rPr>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Valley Stream</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95.0%</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pPr>
            <w:r>
              <w:rPr/>
              <w:t> </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Kullen</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$28.58</w:t>
            </w:r>
          </w:p>
        </w:tc>
      </w:tr>
      <w:tr>
        <w:trPr/>
        <w:tc>
          <w:tcPr>
            <w:tcW w:w="203"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Village Commons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87.5%</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pPr>
            <w:r>
              <w:rPr/>
              <w:t> </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$39.45</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Wading River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89.8%</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pPr>
            <w:r>
              <w:rPr/>
              <w:t> </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King Kullen, CVS, Ace Hardware</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$24.27</w:t>
            </w:r>
          </w:p>
        </w:tc>
      </w:tr>
      <w:tr>
        <w:trPr/>
        <w:tc>
          <w:tcPr>
            <w:tcW w:w="20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Westbury Plaza</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NY</w:t>
            </w:r>
          </w:p>
        </w:tc>
        <w:tc>
          <w:tcPr>
            <w:tcW w:w="17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New York-Newark-Jersey City</w:t>
            </w:r>
          </w:p>
        </w:tc>
        <w:tc>
          <w:tcPr>
            <w:tcW w:w="45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390</w:t>
            </w:r>
          </w:p>
        </w:tc>
        <w:tc>
          <w:tcPr>
            <w:tcW w:w="65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390</w:t>
            </w:r>
          </w:p>
        </w:tc>
        <w:tc>
          <w:tcPr>
            <w:tcW w:w="70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90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2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141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WalMart, Costco, Marshalls, Total Wine and More, Olive Garden</w:t>
            </w:r>
          </w:p>
        </w:tc>
        <w:tc>
          <w:tcPr>
            <w:tcW w:w="62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$27.94</w:t>
            </w:r>
          </w:p>
        </w:tc>
      </w:tr>
      <w:tr>
        <w:trPr/>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NY</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4,182</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3,713</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90.5%</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91.9%</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841</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$29.35</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Cherry Grove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OH</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Cincinnati</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203</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203</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99.0%</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 Shoe Carnival, TJ Maxx, Tuesday Morning</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$13.22</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East Pointe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OH</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Columbus</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111</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111</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76</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$11.61</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Hyde Park</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OH</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Cincinnati</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397</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397</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 Kohl's, Walgreens, Ace Hardware, Staples, Marshalls, Five Below</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$17.10</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Kroger New Albany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OH</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Columbus</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65</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$14.00</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Northgate Plaza (Maxtown Road)</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OH</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Columbus</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117</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117</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 (Home Depot)</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$12.49</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Red Bank Village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OH</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Cincinnati</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176</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176</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152</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WalMart</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$7.94</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Regency Commons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OH</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Cincinnati</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84.0%</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pPr>
            <w:r>
              <w:rPr/>
              <w:t> </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$27.52</w:t>
            </w:r>
          </w:p>
        </w:tc>
      </w:tr>
      <w:tr>
        <w:trPr/>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 Chester Plaza</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OH</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Cincinnati</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96.8%</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$10.16</w:t>
            </w:r>
          </w:p>
        </w:tc>
      </w:tr>
      <w:tr>
        <w:trPr/>
        <w:tc>
          <w:tcPr>
            <w:tcW w:w="20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OH</w:t>
            </w:r>
          </w:p>
        </w:tc>
        <w:tc>
          <w:tcPr>
            <w:tcW w:w="17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45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1,221</w:t>
            </w:r>
          </w:p>
        </w:tc>
        <w:tc>
          <w:tcPr>
            <w:tcW w:w="65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1,221</w:t>
            </w:r>
          </w:p>
        </w:tc>
        <w:tc>
          <w:tcPr>
            <w:tcW w:w="70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99.2%</w:t>
            </w:r>
          </w:p>
        </w:tc>
        <w:tc>
          <w:tcPr>
            <w:tcW w:w="94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99.2%</w:t>
            </w:r>
          </w:p>
        </w:tc>
        <w:tc>
          <w:tcPr>
            <w:tcW w:w="90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90</w:t>
            </w:r>
          </w:p>
        </w:tc>
        <w:tc>
          <w:tcPr>
            <w:tcW w:w="62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616</w:t>
            </w:r>
          </w:p>
        </w:tc>
        <w:tc>
          <w:tcPr>
            <w:tcW w:w="141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2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$13.67</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Corvallis Market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Corvallis</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85</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85</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Michaels, TJ Maxx, Trader Joe's</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$22.79</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Greenway Town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Portland-Vancouver-Hillsboro</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97.5%</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Dollar Tree, Rite Aid, Whole Foods</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$17.00</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Murrayhill Marketplace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Portland-Vancouver-Hillsboro</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150</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150</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90.4%</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Planet Fitness</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$21.71</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Northgate Marketplace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Medford</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81</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81</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96.3%</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REI, PETCO</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$25.16</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Northgate Marketplace Ph II</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Medford</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177</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177</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96.4%</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pPr>
            <w:r>
              <w:rPr/>
              <w:t> </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Dick's Sporting Goods, Homegoods, Marshalls</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$18.05</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Sherwood Crossroads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Portland-Vancouver-Hillsboro</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93.5%</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$12.40</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Tanasbourne Market</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Portland-Vancouver-Hillsboro</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71</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71</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57</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$33.07</w:t>
            </w:r>
          </w:p>
        </w:tc>
      </w:tr>
      <w:tr>
        <w:trPr/>
        <w:tc>
          <w:tcPr>
            <w:tcW w:w="20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Walker Center</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OR</w:t>
            </w:r>
          </w:p>
        </w:tc>
        <w:tc>
          <w:tcPr>
            <w:tcW w:w="17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Portland-Vancouver-Hillsboro</w:t>
            </w:r>
          </w:p>
        </w:tc>
        <w:tc>
          <w:tcPr>
            <w:tcW w:w="45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w:t>
            </w:r>
          </w:p>
        </w:tc>
        <w:tc>
          <w:tcPr>
            <w:tcW w:w="65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89</w:t>
            </w:r>
          </w:p>
        </w:tc>
        <w:tc>
          <w:tcPr>
            <w:tcW w:w="70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98.4%</w:t>
            </w:r>
          </w:p>
        </w:tc>
        <w:tc>
          <w:tcPr>
            <w:tcW w:w="94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90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2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141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REI</w:t>
            </w:r>
          </w:p>
        </w:tc>
        <w:tc>
          <w:tcPr>
            <w:tcW w:w="62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$29.26</w:t>
            </w:r>
          </w:p>
        </w:tc>
      </w:tr>
      <w:tr>
        <w:trPr/>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OR</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834</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778</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95.9%</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95.9%</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215</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$22.06</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Allen Street Shopping Ctr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Allentown-Bethlehem-Easton</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Grocery Outlet Bargain Market</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$19.22</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Baederwood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3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Philadelphia-Camden-Wilmington</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117</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117</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97.4%</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Planet Fitness</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$28.43</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City Avenue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Philadelphia-Camden-Wilmington</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162</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65</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93.0%</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pPr>
            <w:r>
              <w:rPr/>
              <w:t> </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Ross Dress for Less, TJ Maxx, Dollar Tree</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$21.73</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Gateway Shopping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Philadelphia-Camden-Wilmington</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224</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224</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97.5%</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Staples, TJ Maxx, Jo-Ann Fabrics</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$36.64</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Hershey</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Harrisburg-Carlisle</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pPr>
            <w:r>
              <w:rPr/>
              <w:t> </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$30.00</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Lower Nazareth Commons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Allentown-Bethlehem-Easton</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244</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111</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Burlington Coat Factory, PETCO, (Wegmans), (Target)</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$28.05</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Mercer Square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Philadelphia-Camden-Wilmington</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Weis Markets</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$23.42</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Newtown Square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Philadelphia-Camden-Wilmington</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142</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57</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97.2%</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Acme Markets, Michael's</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$19.75</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Stefko Boulevard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Allentown-Bethlehem-Easton</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134</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97.9%</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73</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Valley Farm Market, Dollar Tree, Muscle Inc. Gym</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$10.87</w:t>
            </w:r>
          </w:p>
        </w:tc>
      </w:tr>
      <w:tr>
        <w:trPr/>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Warwick Square Shopping Center</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Philadelphia-Camden-Wilmington</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96.7%</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Grocery Outlet Bargain Market, Planet Fitness</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$18.03</w:t>
            </w:r>
          </w:p>
        </w:tc>
      </w:tr>
      <w:tr>
        <w:trPr/>
        <w:tc>
          <w:tcPr>
            <w:tcW w:w="20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PA</w:t>
            </w:r>
          </w:p>
        </w:tc>
        <w:tc>
          <w:tcPr>
            <w:tcW w:w="17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45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1,116</w:t>
            </w:r>
          </w:p>
        </w:tc>
        <w:tc>
          <w:tcPr>
            <w:tcW w:w="65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715</w:t>
            </w:r>
          </w:p>
        </w:tc>
        <w:tc>
          <w:tcPr>
            <w:tcW w:w="70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97.6%</w:t>
            </w:r>
          </w:p>
        </w:tc>
        <w:tc>
          <w:tcPr>
            <w:tcW w:w="94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97.6%</w:t>
            </w:r>
          </w:p>
        </w:tc>
        <w:tc>
          <w:tcPr>
            <w:tcW w:w="90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244</w:t>
            </w:r>
          </w:p>
        </w:tc>
        <w:tc>
          <w:tcPr>
            <w:tcW w:w="62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390</w:t>
            </w:r>
          </w:p>
        </w:tc>
        <w:tc>
          <w:tcPr>
            <w:tcW w:w="141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2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$27.33</w:t>
            </w:r>
          </w:p>
        </w:tc>
      </w:tr>
      <w:tr>
        <w:trPr/>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East Greenwich Square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RI</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Boston-Cambridge-Newton</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159</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111</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96.9%</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Dave's Fresh Marketplace, Les Isle Rose</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$19.94</w:t>
            </w:r>
          </w:p>
        </w:tc>
      </w:tr>
      <w:tr>
        <w:trPr/>
        <w:tc>
          <w:tcPr>
            <w:tcW w:w="20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RI</w:t>
            </w:r>
          </w:p>
        </w:tc>
        <w:tc>
          <w:tcPr>
            <w:tcW w:w="17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45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159</w:t>
            </w:r>
          </w:p>
        </w:tc>
        <w:tc>
          <w:tcPr>
            <w:tcW w:w="65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111</w:t>
            </w:r>
          </w:p>
        </w:tc>
        <w:tc>
          <w:tcPr>
            <w:tcW w:w="70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99.4%</w:t>
            </w:r>
          </w:p>
        </w:tc>
        <w:tc>
          <w:tcPr>
            <w:tcW w:w="94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96.9%</w:t>
            </w:r>
          </w:p>
        </w:tc>
        <w:tc>
          <w:tcPr>
            <w:tcW w:w="90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62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429</w:t>
            </w:r>
          </w:p>
        </w:tc>
        <w:tc>
          <w:tcPr>
            <w:tcW w:w="141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2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$19.94</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Indigo Square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SC</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Charleston-North Charleston</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Greenwise (Vac 8/29/20)</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$31.95</w:t>
            </w:r>
          </w:p>
        </w:tc>
      </w:tr>
      <w:tr>
        <w:trPr/>
        <w:tc>
          <w:tcPr>
            <w:tcW w:w="20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Merchants Village</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3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SC</w:t>
            </w:r>
          </w:p>
        </w:tc>
        <w:tc>
          <w:tcPr>
            <w:tcW w:w="17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Charleston-North Charleston</w:t>
            </w:r>
          </w:p>
        </w:tc>
        <w:tc>
          <w:tcPr>
            <w:tcW w:w="45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80</w:t>
            </w:r>
          </w:p>
        </w:tc>
        <w:tc>
          <w:tcPr>
            <w:tcW w:w="65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w:t>
            </w:r>
          </w:p>
        </w:tc>
        <w:tc>
          <w:tcPr>
            <w:tcW w:w="70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98.5%</w:t>
            </w:r>
          </w:p>
        </w:tc>
        <w:tc>
          <w:tcPr>
            <w:tcW w:w="94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90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2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141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2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$18.92</w:t>
            </w:r>
          </w:p>
        </w:tc>
      </w:tr>
      <w:tr>
        <w:trPr/>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SC</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131</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83</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99.4%</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99.4%</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59</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$26.99</w:t>
            </w:r>
          </w:p>
        </w:tc>
      </w:tr>
      <w:tr>
        <w:trPr/>
        <w:tc>
          <w:tcPr>
            <w:tcW w:w="203" w:type="dxa"/>
            <w:tcBorders/>
            <w:shd w:fill="DBDBDB" w:val="clear"/>
            <w:vAlign w:val="center"/>
          </w:tcPr>
          <w:p>
            <w:pPr>
              <w:pStyle w:val="TableContents"/>
              <w:bidi w:val="0"/>
              <w:spacing w:before="0" w:after="283"/>
              <w:jc w:val="left"/>
              <w:rPr/>
            </w:pPr>
            <w:r>
              <w:rPr/>
              <w:t> </w:t>
            </w:r>
          </w:p>
        </w:tc>
        <w:tc>
          <w:tcPr>
            <w:tcW w:w="985"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Harpeth Village Fieldstone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34"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TN</w:t>
            </w:r>
          </w:p>
        </w:tc>
        <w:tc>
          <w:tcPr>
            <w:tcW w:w="172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Nashvil-Davdsn-Murfree-Frankln</w:t>
            </w:r>
          </w:p>
        </w:tc>
        <w:tc>
          <w:tcPr>
            <w:tcW w:w="45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65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70</w:t>
            </w:r>
          </w:p>
        </w:tc>
        <w:tc>
          <w:tcPr>
            <w:tcW w:w="701"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DBDBDB" w:val="clear"/>
            <w:vAlign w:val="center"/>
          </w:tcPr>
          <w:p>
            <w:pPr>
              <w:pStyle w:val="TableContents"/>
              <w:bidi w:val="0"/>
              <w:spacing w:before="0" w:after="283"/>
              <w:jc w:val="center"/>
              <w:rPr/>
            </w:pPr>
            <w:r>
              <w:rPr/>
              <w:t> </w:t>
            </w:r>
          </w:p>
        </w:tc>
        <w:tc>
          <w:tcPr>
            <w:tcW w:w="908" w:type="dxa"/>
            <w:tcBorders/>
            <w:shd w:fill="DBDBDB" w:val="clear"/>
            <w:vAlign w:val="center"/>
          </w:tcPr>
          <w:p>
            <w:pPr>
              <w:pStyle w:val="TableContents"/>
              <w:bidi w:val="0"/>
              <w:spacing w:before="0" w:after="283"/>
              <w:jc w:val="center"/>
              <w:rPr/>
            </w:pPr>
            <w:r>
              <w:rPr/>
              <w:t> </w:t>
            </w:r>
          </w:p>
        </w:tc>
        <w:tc>
          <w:tcPr>
            <w:tcW w:w="62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141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w:t>
            </w:r>
          </w:p>
        </w:tc>
        <w:tc>
          <w:tcPr>
            <w:tcW w:w="62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$17.39</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Northlake Village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TN</w:t>
            </w:r>
          </w:p>
        </w:tc>
        <w:tc>
          <w:tcPr>
            <w:tcW w:w="172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Nashvil-Davdsn-Murfree-Frankln</w:t>
            </w:r>
          </w:p>
        </w:tc>
        <w:tc>
          <w:tcPr>
            <w:tcW w:w="45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135</w:t>
            </w:r>
          </w:p>
        </w:tc>
        <w:tc>
          <w:tcPr>
            <w:tcW w:w="65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135</w:t>
            </w:r>
          </w:p>
        </w:tc>
        <w:tc>
          <w:tcPr>
            <w:tcW w:w="701"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shd w:fill="FFFFFF" w:val="clear"/>
            <w:vAlign w:val="center"/>
          </w:tcPr>
          <w:p>
            <w:pPr>
              <w:pStyle w:val="TableContents"/>
              <w:bidi w:val="0"/>
              <w:spacing w:before="0" w:after="283"/>
              <w:jc w:val="center"/>
              <w:rPr/>
            </w:pPr>
            <w:r>
              <w:rPr/>
              <w:t> </w:t>
            </w:r>
          </w:p>
        </w:tc>
        <w:tc>
          <w:tcPr>
            <w:tcW w:w="908" w:type="dxa"/>
            <w:tcBorders/>
            <w:shd w:fill="FFFFFF" w:val="clear"/>
            <w:vAlign w:val="center"/>
          </w:tcPr>
          <w:p>
            <w:pPr>
              <w:pStyle w:val="TableContents"/>
              <w:bidi w:val="0"/>
              <w:spacing w:before="0" w:after="283"/>
              <w:jc w:val="center"/>
              <w:rPr/>
            </w:pPr>
            <w:r>
              <w:rPr/>
              <w:t> </w:t>
            </w:r>
          </w:p>
        </w:tc>
        <w:tc>
          <w:tcPr>
            <w:tcW w:w="62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w:t>
            </w:r>
          </w:p>
        </w:tc>
        <w:tc>
          <w:tcPr>
            <w:tcW w:w="141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62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$16.12</w:t>
            </w:r>
          </w:p>
        </w:tc>
      </w:tr>
      <w:tr>
        <w:trPr/>
        <w:tc>
          <w:tcPr>
            <w:tcW w:w="20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Peartree Village</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TN</w:t>
            </w:r>
          </w:p>
        </w:tc>
        <w:tc>
          <w:tcPr>
            <w:tcW w:w="172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Nashvil-Davdsn-Murfree-Frankln</w:t>
            </w:r>
          </w:p>
        </w:tc>
        <w:tc>
          <w:tcPr>
            <w:tcW w:w="45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5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70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943"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90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2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84</w:t>
            </w:r>
          </w:p>
        </w:tc>
        <w:tc>
          <w:tcPr>
            <w:tcW w:w="141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 PETCO</w:t>
            </w:r>
          </w:p>
        </w:tc>
        <w:tc>
          <w:tcPr>
            <w:tcW w:w="62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$20.48</w:t>
            </w:r>
          </w:p>
        </w:tc>
      </w:tr>
      <w:tr>
        <w:trPr/>
        <w:tc>
          <w:tcPr>
            <w:tcW w:w="203"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33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TN</w:t>
            </w:r>
          </w:p>
        </w:tc>
        <w:tc>
          <w:tcPr>
            <w:tcW w:w="172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314</w:t>
            </w:r>
          </w:p>
        </w:tc>
        <w:tc>
          <w:tcPr>
            <w:tcW w:w="656" w:type="dxa"/>
            <w:tcBorders/>
            <w:shd w:fill="FFFFF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314</w:t>
            </w:r>
          </w:p>
        </w:tc>
        <w:tc>
          <w:tcPr>
            <w:tcW w:w="701" w:type="dxa"/>
            <w:tcBorders/>
            <w:shd w:fill="FFFFF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100.0%</w:t>
            </w:r>
          </w:p>
        </w:tc>
        <w:tc>
          <w:tcPr>
            <w:tcW w:w="943" w:type="dxa"/>
            <w:tcBorders/>
            <w:shd w:fill="FFFFF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100.0%</w:t>
            </w:r>
          </w:p>
        </w:tc>
        <w:tc>
          <w:tcPr>
            <w:tcW w:w="908" w:type="dxa"/>
            <w:tcBorders/>
            <w:shd w:fill="FFFFF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0</w:t>
            </w:r>
          </w:p>
        </w:tc>
        <w:tc>
          <w:tcPr>
            <w:tcW w:w="622" w:type="dxa"/>
            <w:tcBorders/>
            <w:shd w:fill="FFFFF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214</w:t>
            </w:r>
          </w:p>
        </w:tc>
        <w:tc>
          <w:tcPr>
            <w:tcW w:w="1414" w:type="dxa"/>
            <w:tcBorders/>
            <w:shd w:fill="FFFFFF" w:val="clear"/>
            <w:vAlign w:val="center"/>
          </w:tcPr>
          <w:p>
            <w:pPr>
              <w:pStyle w:val="TableContents"/>
              <w:bidi w:val="0"/>
              <w:spacing w:before="0" w:after="283"/>
              <w:jc w:val="center"/>
              <w:rPr/>
            </w:pPr>
            <w:r>
              <w:rPr/>
              <w:t> </w:t>
            </w:r>
          </w:p>
        </w:tc>
        <w:tc>
          <w:tcPr>
            <w:tcW w:w="627" w:type="dxa"/>
            <w:tcBorders/>
            <w:shd w:fill="FFFFFF" w:val="cle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$17.91</w:t>
            </w:r>
          </w:p>
        </w:tc>
      </w:tr>
    </w:tbl>
    <w:p>
      <w:pPr>
        <w:pStyle w:val="TextBody"/>
        <w:bidi w:val="0"/>
        <w:jc w:val="left"/>
        <w:rPr/>
      </w:pPr>
      <w:r>
        <w:rPr/>
        <w:t> </w:t>
      </w:r>
    </w:p>
    <w:p>
      <w:pPr>
        <w:pStyle w:val="TextBody"/>
        <w:bidi w:val="0"/>
        <w:jc w:val="left"/>
        <w:rPr/>
      </w:pPr>
      <w:r>
        <w:rPr/>
        <w:drawing>
          <wp:inline distT="0" distB="0" distL="0" distR="0">
            <wp:extent cx="476250" cy="2571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2"/>
        <w:gridCol w:w="942"/>
        <w:gridCol w:w="286"/>
        <w:gridCol w:w="328"/>
        <w:gridCol w:w="346"/>
        <w:gridCol w:w="1639"/>
        <w:gridCol w:w="439"/>
        <w:gridCol w:w="629"/>
        <w:gridCol w:w="677"/>
        <w:gridCol w:w="880"/>
        <w:gridCol w:w="898"/>
        <w:gridCol w:w="596"/>
        <w:gridCol w:w="1744"/>
        <w:gridCol w:w="599"/>
      </w:tblGrid>
      <w:tr>
        <w:trPr/>
        <w:tc>
          <w:tcPr>
            <w:tcW w:w="20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43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62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7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880"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8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4"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63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43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88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8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5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174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5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Alden Bridge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139</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139</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97.4%</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68</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 Walgreens</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$21.70</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42" w:type="dxa"/>
            <w:tcBorders/>
            <w:shd w:fill="DBDBDB" w:val="clear"/>
            <w:vAlign w:val="center"/>
          </w:tcPr>
          <w:p>
            <w:pPr>
              <w:pStyle w:val="TableContents"/>
              <w:bidi w:val="0"/>
              <w:spacing w:before="0" w:after="283"/>
              <w:jc w:val="left"/>
              <w:rPr>
                <w:rFonts w:ascii="Tahoma;sans-serif" w:hAnsi="Tahoma;sans-serif"/>
                <w:b/>
                <w:i/>
                <w:color w:val="000000"/>
                <w:sz w:val="11"/>
              </w:rPr>
            </w:pPr>
            <w:r>
              <w:rPr>
                <w:rFonts w:ascii="Tahoma;sans-serif" w:hAnsi="Tahoma;sans-serif"/>
                <w:b/>
                <w:i/>
                <w:color w:val="000000"/>
                <w:sz w:val="11"/>
              </w:rPr>
              <w:t>Baybrook East</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2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155</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77</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91.3%</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106</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H.E.B</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$12.71</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Bethany Park Place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97.2%</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$11.77</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CityLine Market</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81</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81</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$30.77</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CityLine Market Phase II</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pPr>
            <w:r>
              <w:rPr/>
              <w:t> </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$28.88</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Cochran's Crossing</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138</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138</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$20.91</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Hancock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Austin-Round Rock-Georgetown</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263</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263</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98.1%</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 Hour Fitness, Firestone Complete Auto Care, H.E.B, PETCO, Twin Liquors</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$20.31</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Hillcrest Village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pPr>
            <w:r>
              <w:rPr/>
              <w:t> </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$51.46</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Indian Springs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140</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140</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79</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H.E.B.</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$26.90</w:t>
            </w:r>
          </w:p>
        </w:tc>
      </w:tr>
      <w:tr>
        <w:trPr/>
        <w:tc>
          <w:tcPr>
            <w:tcW w:w="202" w:type="dxa"/>
            <w:tcBorders/>
            <w:shd w:fill="DBDBDB"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42" w:type="dxa"/>
            <w:tcBorders/>
            <w:shd w:fill="DBDBDB" w:val="clear"/>
            <w:vAlign w:val="center"/>
          </w:tcPr>
          <w:p>
            <w:pPr>
              <w:pStyle w:val="TableContents"/>
              <w:bidi w:val="0"/>
              <w:spacing w:before="0" w:after="283"/>
              <w:jc w:val="left"/>
              <w:rPr>
                <w:rFonts w:ascii="Tahoma;sans-serif" w:hAnsi="Tahoma;sans-serif"/>
                <w:b/>
                <w:i/>
                <w:color w:val="000000"/>
                <w:sz w:val="11"/>
              </w:rPr>
            </w:pPr>
            <w:r>
              <w:rPr>
                <w:rFonts w:ascii="Tahoma;sans-serif" w:hAnsi="Tahoma;sans-serif"/>
                <w:b/>
                <w:i/>
                <w:color w:val="000000"/>
                <w:sz w:val="11"/>
              </w:rPr>
              <w:t>Jordan Ranch</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162</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162</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82.5%</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118</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HEB</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$14.50</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Keller Town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120</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120</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96.9%</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Tom Thumb</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$17.34</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Lebanon/Legacy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97.0%</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(WalMart)</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$31.52</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Market at Preston Forest</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Tom Thumb</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$23.07</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Market at Round Rock</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Austin-Round Rock-Georgetown</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123</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123</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85.6%</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Sprout's Markets, Office Depot</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$21.44</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Market at Springwoods Village</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2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53%</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167</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167</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$18.28</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Mockingbird Commons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120</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120</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94.1%</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Tom Thumb, Ogle School of Hair Design</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$21.57</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North Hills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Austin-Round Rock-Georgetown</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164</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164</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98.8%</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60</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H.E.B.</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$23.38</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Panther Creek</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166</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166</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99.0%</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CVS, The Woodlands Childrens Museum, Fitness Project</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$25.37</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Prestonbrook</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$15.67</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Preston Oaks</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Central Market, Talbots</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$41.23</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Shiloh Springs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Dallas-Fort Worth-Arlington</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110</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93.6%</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$15.77</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Shops at Mira Vista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Austin-Round Rock-Georgetown</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68</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68</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96.2%</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Champions Westlake Gymnastics &amp; Cheer</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$26.39</w:t>
            </w:r>
          </w:p>
        </w:tc>
      </w:tr>
      <w:tr>
        <w:trPr/>
        <w:tc>
          <w:tcPr>
            <w:tcW w:w="202" w:type="dxa"/>
            <w:tcBorders/>
            <w:shd w:fill="FFFFFF" w:val="clear"/>
            <w:vAlign w:val="center"/>
          </w:tcPr>
          <w:p>
            <w:pPr>
              <w:pStyle w:val="TableContents"/>
              <w:bidi w:val="0"/>
              <w:spacing w:before="0" w:after="283"/>
              <w:jc w:val="left"/>
              <w:rPr>
                <w:rFonts w:ascii="Tahoma;sans-serif" w:hAnsi="Tahoma;sans-serif"/>
                <w:color w:val="000000"/>
                <w:sz w:val="7"/>
              </w:rPr>
            </w:pPr>
            <w:r>
              <w:rPr>
                <w:rFonts w:ascii="Tahoma;sans-serif" w:hAnsi="Tahoma;sans-serif"/>
                <w:color w:val="000000"/>
                <w:sz w:val="7"/>
              </w:rPr>
              <w:t>(2)</w:t>
            </w:r>
          </w:p>
        </w:tc>
        <w:tc>
          <w:tcPr>
            <w:tcW w:w="942" w:type="dxa"/>
            <w:tcBorders/>
            <w:shd w:fill="FFFFFF" w:val="clear"/>
            <w:vAlign w:val="center"/>
          </w:tcPr>
          <w:p>
            <w:pPr>
              <w:pStyle w:val="TableContents"/>
              <w:bidi w:val="0"/>
              <w:spacing w:before="0" w:after="283"/>
              <w:jc w:val="left"/>
              <w:rPr>
                <w:rFonts w:ascii="Tahoma;sans-serif" w:hAnsi="Tahoma;sans-serif"/>
                <w:b/>
                <w:i/>
                <w:color w:val="000000"/>
                <w:sz w:val="11"/>
              </w:rPr>
            </w:pPr>
            <w:r>
              <w:rPr>
                <w:rFonts w:ascii="Tahoma;sans-serif" w:hAnsi="Tahoma;sans-serif"/>
                <w:b/>
                <w:i/>
                <w:color w:val="000000"/>
                <w:sz w:val="11"/>
              </w:rPr>
              <w:t>Sienna Grande Shops (fka Sienna)</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2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75%</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41.4%</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pPr>
            <w:r>
              <w:rPr/>
              <w:t> </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$36.11</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Southpark at Cinco Ranch</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265</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265</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 Academy Sports, PETCO, Spec's Liquor and Finer Foods</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$14.83</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Sterling Ridge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129</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129</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98.9%</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 CVS</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$22.73</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Sweetwater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2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135</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93.7%</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65</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 Walgreens</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$19.00</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Tech Ridge Center</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Austin-Round Rock-Georgetown</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216</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216</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98.1%</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84</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H.E.B., Pinstack, Baylor Scott &amp; White</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$24.11</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Village at Riverstone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165</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165</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95.6%</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Kroger</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$17.34</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Weslayan Plaza East</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169</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68</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pPr>
            <w:r>
              <w:rPr/>
              <w:t> </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Berings, Ross Dress for Less, Michaels, The Next Level Fitness, Spec's Liquor, Trek Bicycle</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$22.30</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Weslayan Plaza West</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186</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74</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98.1%</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Randalls Food, Walgreens, PETCO, Homegoods, Barnes &amp; Noble</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$22.23</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Westwood Village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242</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242</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99.3%</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127</w:t>
            </w:r>
          </w:p>
        </w:tc>
        <w:tc>
          <w:tcPr>
            <w:tcW w:w="596" w:type="dxa"/>
            <w:tcBorders/>
            <w:shd w:fill="FFFFFF" w:val="clear"/>
            <w:vAlign w:val="center"/>
          </w:tcPr>
          <w:p>
            <w:pPr>
              <w:pStyle w:val="TableContents"/>
              <w:bidi w:val="0"/>
              <w:spacing w:before="0" w:after="283"/>
              <w:jc w:val="center"/>
              <w:rPr/>
            </w:pPr>
            <w:r>
              <w:rPr/>
              <w:t> </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Fitness Project, PetSmart, Office Max, Ross Dress For Less, TJ Maxx, Kelsey Seybold,(Target)</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$19.75</w:t>
            </w:r>
          </w:p>
        </w:tc>
      </w:tr>
      <w:tr>
        <w:trPr/>
        <w:tc>
          <w:tcPr>
            <w:tcW w:w="20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Woodway Collection</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TX</w:t>
            </w:r>
          </w:p>
        </w:tc>
        <w:tc>
          <w:tcPr>
            <w:tcW w:w="16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Houston-Woodlands-Sugar Land</w:t>
            </w:r>
          </w:p>
        </w:tc>
        <w:tc>
          <w:tcPr>
            <w:tcW w:w="43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w:t>
            </w:r>
          </w:p>
        </w:tc>
        <w:tc>
          <w:tcPr>
            <w:tcW w:w="62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67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94.2%</w:t>
            </w:r>
          </w:p>
        </w:tc>
        <w:tc>
          <w:tcPr>
            <w:tcW w:w="880"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89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59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74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w:t>
            </w:r>
          </w:p>
        </w:tc>
        <w:tc>
          <w:tcPr>
            <w:tcW w:w="599"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$32.47</w:t>
            </w:r>
          </w:p>
        </w:tc>
      </w:tr>
      <w:tr>
        <w:trPr/>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TX</w:t>
            </w:r>
          </w:p>
        </w:tc>
        <w:tc>
          <w:tcPr>
            <w:tcW w:w="1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4,231</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3,775</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96.6%</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97.8%</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190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1,824</w:t>
            </w:r>
          </w:p>
        </w:tc>
        <w:tc>
          <w:tcPr>
            <w:tcW w:w="1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$21.40</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Ashburn Farm Village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37</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Patel Brothers, The Shop Gym</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$18.19</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Belmont Chase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Cooper's Hawk Winery, Whole Foods</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$35.04</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Carytown Exchange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w:t>
            </w:r>
          </w:p>
        </w:tc>
        <w:tc>
          <w:tcPr>
            <w:tcW w:w="32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69%</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Richmond</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98.8%</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CVS</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$28.95</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Centre Ridge Marketplace</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107</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United States Coast Guard Ex, Planet Fitness</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$21.78</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Point 50</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2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Amazon Fresh</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$33.08</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Festival at Manchester Lakes</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169</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68</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95.2%</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Amazon Fresh, Homesense, Hyper Kidz</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$30.99</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Fox Mill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97.6%</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Giant</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$27.54</w:t>
            </w:r>
          </w:p>
        </w:tc>
      </w:tr>
      <w:tr>
        <w:trPr/>
        <w:tc>
          <w:tcPr>
            <w:tcW w:w="20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Greenbriar Town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3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340</w:t>
            </w:r>
          </w:p>
        </w:tc>
        <w:tc>
          <w:tcPr>
            <w:tcW w:w="62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136</w:t>
            </w:r>
          </w:p>
        </w:tc>
        <w:tc>
          <w:tcPr>
            <w:tcW w:w="67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97.2%</w:t>
            </w:r>
          </w:p>
        </w:tc>
        <w:tc>
          <w:tcPr>
            <w:tcW w:w="880"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62</w:t>
            </w:r>
          </w:p>
        </w:tc>
        <w:tc>
          <w:tcPr>
            <w:tcW w:w="174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Big Blue Swim School, Bob's Discount Furniture, CVS, Giant, Marshalls, Planet Fitness, Ross Dress for Less, Total Wine and More</w:t>
            </w:r>
          </w:p>
        </w:tc>
        <w:tc>
          <w:tcPr>
            <w:tcW w:w="599"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$29.55</w:t>
            </w:r>
          </w:p>
        </w:tc>
      </w:tr>
      <w:tr>
        <w:trPr/>
        <w:tc>
          <w:tcPr>
            <w:tcW w:w="202" w:type="dxa"/>
            <w:tcBorders/>
            <w:shd w:fill="DBDBDB" w:val="clear"/>
            <w:vAlign w:val="center"/>
          </w:tcPr>
          <w:p>
            <w:pPr>
              <w:pStyle w:val="TableContents"/>
              <w:bidi w:val="0"/>
              <w:spacing w:before="0" w:after="283"/>
              <w:jc w:val="left"/>
              <w:rPr/>
            </w:pPr>
            <w:r>
              <w:rPr/>
              <w:t> </w:t>
            </w:r>
          </w:p>
        </w:tc>
        <w:tc>
          <w:tcPr>
            <w:tcW w:w="942"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Hanover Village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2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Richmond</w:t>
            </w:r>
          </w:p>
        </w:tc>
        <w:tc>
          <w:tcPr>
            <w:tcW w:w="43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w:t>
            </w:r>
          </w:p>
        </w:tc>
        <w:tc>
          <w:tcPr>
            <w:tcW w:w="62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w:t>
            </w:r>
          </w:p>
        </w:tc>
        <w:tc>
          <w:tcPr>
            <w:tcW w:w="67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880" w:type="dxa"/>
            <w:tcBorders/>
            <w:shd w:fill="DBDBDB" w:val="clear"/>
            <w:vAlign w:val="center"/>
          </w:tcPr>
          <w:p>
            <w:pPr>
              <w:pStyle w:val="TableContents"/>
              <w:bidi w:val="0"/>
              <w:spacing w:before="0" w:after="283"/>
              <w:jc w:val="center"/>
              <w:rPr/>
            </w:pPr>
            <w:r>
              <w:rPr/>
              <w:t> </w:t>
            </w:r>
          </w:p>
        </w:tc>
        <w:tc>
          <w:tcPr>
            <w:tcW w:w="898" w:type="dxa"/>
            <w:tcBorders/>
            <w:shd w:fill="DBDBDB" w:val="clear"/>
            <w:vAlign w:val="center"/>
          </w:tcPr>
          <w:p>
            <w:pPr>
              <w:pStyle w:val="TableContents"/>
              <w:bidi w:val="0"/>
              <w:spacing w:before="0" w:after="283"/>
              <w:jc w:val="center"/>
              <w:rPr/>
            </w:pPr>
            <w:r>
              <w:rPr/>
              <w:t> </w:t>
            </w:r>
          </w:p>
        </w:tc>
        <w:tc>
          <w:tcPr>
            <w:tcW w:w="59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18</w:t>
            </w:r>
          </w:p>
        </w:tc>
        <w:tc>
          <w:tcPr>
            <w:tcW w:w="174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Aldi, Tractor Supply Company, Harbor Freight Tools, Dollar Tree</w:t>
            </w:r>
          </w:p>
        </w:tc>
        <w:tc>
          <w:tcPr>
            <w:tcW w:w="599"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$10.35</w:t>
            </w:r>
          </w:p>
        </w:tc>
      </w:tr>
    </w:tbl>
    <w:p>
      <w:pPr>
        <w:pStyle w:val="TextBody"/>
        <w:bidi w:val="0"/>
        <w:jc w:val="left"/>
        <w:rPr/>
      </w:pPr>
      <w:r>
        <w:rPr/>
        <w:t> </w:t>
      </w:r>
    </w:p>
    <w:p>
      <w:pPr>
        <w:pStyle w:val="TextBody"/>
        <w:bidi w:val="0"/>
        <w:jc w:val="left"/>
        <w:rPr/>
      </w:pPr>
      <w:r>
        <w:rPr/>
        <w:drawing>
          <wp:inline distT="0" distB="0" distL="0" distR="0">
            <wp:extent cx="476250" cy="2571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Portfolio Summary Report By State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(GLA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1287"/>
        <w:gridCol w:w="286"/>
        <w:gridCol w:w="318"/>
        <w:gridCol w:w="346"/>
        <w:gridCol w:w="1636"/>
        <w:gridCol w:w="468"/>
        <w:gridCol w:w="584"/>
        <w:gridCol w:w="637"/>
        <w:gridCol w:w="775"/>
        <w:gridCol w:w="882"/>
        <w:gridCol w:w="552"/>
        <w:gridCol w:w="1715"/>
        <w:gridCol w:w="558"/>
      </w:tblGrid>
      <w:tr>
        <w:trPr/>
        <w:tc>
          <w:tcPr>
            <w:tcW w:w="16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46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JVs at 100%</w:t>
            </w:r>
          </w:p>
        </w:tc>
        <w:tc>
          <w:tcPr>
            <w:tcW w:w="58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63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77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REG's pro-rata share</w:t>
            </w:r>
          </w:p>
        </w:tc>
        <w:tc>
          <w:tcPr>
            <w:tcW w:w="8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8" w:type="dxa"/>
            <w:gridSpan w:val="2"/>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Property Name</w:t>
            </w:r>
          </w:p>
        </w:tc>
        <w:tc>
          <w:tcPr>
            <w:tcW w:w="2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JV</w:t>
            </w:r>
          </w:p>
        </w:tc>
        <w:tc>
          <w:tcPr>
            <w:tcW w:w="31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REG %</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State</w:t>
            </w:r>
          </w:p>
        </w:tc>
        <w:tc>
          <w:tcPr>
            <w:tcW w:w="16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CBSA</w:t>
            </w:r>
          </w:p>
        </w:tc>
        <w:tc>
          <w:tcPr>
            <w:tcW w:w="46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58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GLA</w:t>
            </w:r>
          </w:p>
        </w:tc>
        <w:tc>
          <w:tcPr>
            <w:tcW w:w="63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w:t>
            </w:r>
          </w:p>
        </w:tc>
        <w:tc>
          <w:tcPr>
            <w:tcW w:w="77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 Leased - Retail Operating Properties</w:t>
            </w:r>
          </w:p>
        </w:tc>
        <w:tc>
          <w:tcPr>
            <w:tcW w:w="88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Retailer-Owned GLA</w:t>
            </w:r>
          </w:p>
        </w:tc>
        <w:tc>
          <w:tcPr>
            <w:tcW w:w="5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Grocery Anchor GLA</w:t>
            </w:r>
          </w:p>
        </w:tc>
        <w:tc>
          <w:tcPr>
            <w:tcW w:w="17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1"/>
              </w:rPr>
            </w:pPr>
            <w:r>
              <w:rPr>
                <w:rFonts w:ascii="Tahoma;sans-serif" w:hAnsi="Tahoma;sans-serif"/>
                <w:b/>
                <w:color w:val="000000"/>
                <w:sz w:val="11"/>
              </w:rPr>
              <w:t xml:space="preserve">Major Tenants </w:t>
            </w:r>
            <w:r>
              <w:rPr>
                <w:rFonts w:ascii="Tahoma;sans-serif" w:hAnsi="Tahoma;sans-serif"/>
                <w:b/>
                <w:color w:val="000000"/>
                <w:sz w:val="7"/>
              </w:rPr>
              <w:t>(1)</w:t>
            </w:r>
          </w:p>
        </w:tc>
        <w:tc>
          <w:tcPr>
            <w:tcW w:w="55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Avg. Base Rent PSF</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Kamp Washington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71</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99.8%</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pPr>
            <w:r>
              <w:rPr/>
              <w:t> </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PGA Tour Superstore</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$35.00</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Kings Park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51</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Giant, CVS</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$34.69</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Lorton Station Marketplace</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136</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91.4%</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63</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Amazon Fresh, Planet Fitness, Five Below, LLC</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$26.64</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Saratoga Shopping Center</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113</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95.1%</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56</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Giant</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$22.31</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Shops at County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52</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Harris Teeter, Planet Fitness</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$21.64</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Crossing Clarendon</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420</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420</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96.9%</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Crate &amp; Barrel, The Container Store, Barnes &amp; Noble, Pottery Barn, Ethan Allen, The Cheesecake Factory, LifeTime, Corobus Sports, Three Notch'd Brewing Company</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$39.54</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The Field at Commonwealth</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167</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167</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122</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Wegmans</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$23.85</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Village Center at Dulles</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307</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61</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84.2%</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48</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Giant, CVS, Advance Auto Parts, Chuck E. Cheese, HomeGoods, Goodwill, Furniture Max</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$30.86</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Village Shopping Center</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Richmond</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116</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46</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83.8%</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Publix, CVS</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$25.81</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Willston Centre I</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105</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42</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86.5%</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pPr>
            <w:r>
              <w:rPr/>
              <w:t> </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Fashion K City</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$30.06</w:t>
            </w:r>
          </w:p>
        </w:tc>
      </w:tr>
      <w:tr>
        <w:trPr/>
        <w:tc>
          <w:tcPr>
            <w:tcW w:w="16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Willston Centre II</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VA</w:t>
            </w:r>
          </w:p>
        </w:tc>
        <w:tc>
          <w:tcPr>
            <w:tcW w:w="163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Washington-Arlington-Alexandri</w:t>
            </w:r>
          </w:p>
        </w:tc>
        <w:tc>
          <w:tcPr>
            <w:tcW w:w="46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136</w:t>
            </w:r>
          </w:p>
        </w:tc>
        <w:tc>
          <w:tcPr>
            <w:tcW w:w="58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54</w:t>
            </w:r>
          </w:p>
        </w:tc>
        <w:tc>
          <w:tcPr>
            <w:tcW w:w="63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92.4%</w:t>
            </w:r>
          </w:p>
        </w:tc>
        <w:tc>
          <w:tcPr>
            <w:tcW w:w="77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88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141</w:t>
            </w:r>
          </w:p>
        </w:tc>
        <w:tc>
          <w:tcPr>
            <w:tcW w:w="55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59</w:t>
            </w:r>
          </w:p>
        </w:tc>
        <w:tc>
          <w:tcPr>
            <w:tcW w:w="171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(Target), (PetSmart)</w:t>
            </w:r>
          </w:p>
        </w:tc>
        <w:tc>
          <w:tcPr>
            <w:tcW w:w="55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$28.24</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VA</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2,925</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1,647</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96.7%</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96.7%</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141</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882</w:t>
            </w:r>
          </w:p>
        </w:tc>
        <w:tc>
          <w:tcPr>
            <w:tcW w:w="1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$30.37</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6401 Roosevelt</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pPr>
            <w:r>
              <w:rPr/>
              <w:t> </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$27.27</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Aurora Marketplace</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107</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43</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TJ Maxx</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$19.07</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Ballard Blocks I</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132</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66</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98.4%</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12</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LA Fitness, Ross Dress for Less, Trader Joe's</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$27.65</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Ballard Blocks II</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O</w:t>
            </w:r>
          </w:p>
        </w:tc>
        <w:tc>
          <w:tcPr>
            <w:tcW w:w="3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117</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99.0%</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25</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Bright Horizons, Kaiser Permanente, PCC Community Markets, Prokarma, Trufusion, West Marine</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$34.37</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Broadway Market</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140</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96.1%</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64</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Gold's Gym, Mosaic Salon Group, Quality Food Centers</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$28.88</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Cascade Plaza</w:t>
            </w:r>
          </w:p>
        </w:tc>
        <w:tc>
          <w:tcPr>
            <w:tcW w:w="28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C</w:t>
            </w:r>
          </w:p>
        </w:tc>
        <w:tc>
          <w:tcPr>
            <w:tcW w:w="31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206</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86.9%</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Big 5 Sporting Goods, Dollar Tree, Jo-Ann Fabrics, Planet Fitness, Ross Dress For Less, Safeway, Aaron's</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$13.20</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Eastgate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85</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34</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29</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Rite Aid</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$32.22</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Grand Ridge Plaza</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331</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331</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99.6%</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45</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Bevmo!, Dick's Sporting Goods, Marshalls, Regal Cinemas,Safeway, Ulta</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$27.16</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Inglewood Plaza</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17</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pPr>
            <w:r>
              <w:rPr/>
              <w:t> </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$47.73</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Island Village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106</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106</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49</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Safeway, Rite Aid</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$16.40</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Klahanie Shopping Center</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88.0%</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55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(QFC)</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$38.73</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Melrose Market</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21</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90.0%</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pPr>
            <w:r>
              <w:rPr/>
              <w:t> </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$35.38</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Overlake Fashion Plaza</w:t>
            </w:r>
          </w:p>
        </w:tc>
        <w:tc>
          <w:tcPr>
            <w:tcW w:w="28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GRI</w:t>
            </w:r>
          </w:p>
        </w:tc>
        <w:tc>
          <w:tcPr>
            <w:tcW w:w="31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40%</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87</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35</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230</w:t>
            </w:r>
          </w:p>
        </w:tc>
        <w:tc>
          <w:tcPr>
            <w:tcW w:w="55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13</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Marshalls, Bevmo!, Amazon Go Grocery</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$30.35</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Pine Lake Village</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103</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98.6%</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41</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Quality Food Centers, Rite Aid</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$26.90</w:t>
            </w:r>
          </w:p>
        </w:tc>
      </w:tr>
      <w:tr>
        <w:trPr/>
        <w:tc>
          <w:tcPr>
            <w:tcW w:w="161" w:type="dxa"/>
            <w:tcBorders/>
            <w:shd w:fill="DBDBDB" w:val="clear"/>
            <w:vAlign w:val="center"/>
          </w:tcPr>
          <w:p>
            <w:pPr>
              <w:pStyle w:val="TableContents"/>
              <w:bidi w:val="0"/>
              <w:spacing w:before="0" w:after="283"/>
              <w:jc w:val="left"/>
              <w:rPr/>
            </w:pPr>
            <w:r>
              <w:rPr/>
              <w:t> </w:t>
            </w:r>
          </w:p>
        </w:tc>
        <w:tc>
          <w:tcPr>
            <w:tcW w:w="1287" w:type="dxa"/>
            <w:tcBorders/>
            <w:shd w:fill="DBDBDB"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Roosevelt Square</w:t>
            </w:r>
          </w:p>
        </w:tc>
        <w:tc>
          <w:tcPr>
            <w:tcW w:w="286" w:type="dxa"/>
            <w:tcBorders/>
            <w:shd w:fill="DBDBDB" w:val="clear"/>
            <w:vAlign w:val="center"/>
          </w:tcPr>
          <w:p>
            <w:pPr>
              <w:pStyle w:val="TableContents"/>
              <w:bidi w:val="0"/>
              <w:spacing w:before="0" w:after="283"/>
              <w:jc w:val="left"/>
              <w:rPr>
                <w:sz w:val="4"/>
                <w:szCs w:val="4"/>
              </w:rPr>
            </w:pPr>
            <w:r>
              <w:rPr>
                <w:sz w:val="4"/>
                <w:szCs w:val="4"/>
              </w:rPr>
            </w:r>
          </w:p>
        </w:tc>
        <w:tc>
          <w:tcPr>
            <w:tcW w:w="318" w:type="dxa"/>
            <w:tcBorders/>
            <w:shd w:fill="DBDBDB" w:val="clear"/>
            <w:vAlign w:val="center"/>
          </w:tcPr>
          <w:p>
            <w:pPr>
              <w:pStyle w:val="TableContents"/>
              <w:bidi w:val="0"/>
              <w:spacing w:before="0" w:after="283"/>
              <w:jc w:val="center"/>
              <w:rPr/>
            </w:pPr>
            <w:r>
              <w:rPr/>
              <w:t> </w:t>
            </w:r>
          </w:p>
        </w:tc>
        <w:tc>
          <w:tcPr>
            <w:tcW w:w="34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150</w:t>
            </w:r>
          </w:p>
        </w:tc>
        <w:tc>
          <w:tcPr>
            <w:tcW w:w="584"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150</w:t>
            </w:r>
          </w:p>
        </w:tc>
        <w:tc>
          <w:tcPr>
            <w:tcW w:w="637"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84.7%</w:t>
            </w:r>
          </w:p>
        </w:tc>
        <w:tc>
          <w:tcPr>
            <w:tcW w:w="775" w:type="dxa"/>
            <w:tcBorders/>
            <w:shd w:fill="DBDBDB" w:val="clear"/>
            <w:vAlign w:val="center"/>
          </w:tcPr>
          <w:p>
            <w:pPr>
              <w:pStyle w:val="TableContents"/>
              <w:bidi w:val="0"/>
              <w:spacing w:before="0" w:after="283"/>
              <w:jc w:val="center"/>
              <w:rPr/>
            </w:pPr>
            <w:r>
              <w:rPr/>
              <w:t> </w:t>
            </w:r>
          </w:p>
        </w:tc>
        <w:tc>
          <w:tcPr>
            <w:tcW w:w="882" w:type="dxa"/>
            <w:tcBorders/>
            <w:shd w:fill="DBDBDB" w:val="clear"/>
            <w:vAlign w:val="center"/>
          </w:tcPr>
          <w:p>
            <w:pPr>
              <w:pStyle w:val="TableContents"/>
              <w:bidi w:val="0"/>
              <w:spacing w:before="0" w:after="283"/>
              <w:jc w:val="center"/>
              <w:rPr/>
            </w:pPr>
            <w:r>
              <w:rPr/>
              <w:t> </w:t>
            </w:r>
          </w:p>
        </w:tc>
        <w:tc>
          <w:tcPr>
            <w:tcW w:w="552"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50</w:t>
            </w:r>
          </w:p>
        </w:tc>
        <w:tc>
          <w:tcPr>
            <w:tcW w:w="1715"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Whole Foods, Guitar Center, LA Fitness</w:t>
            </w:r>
          </w:p>
        </w:tc>
        <w:tc>
          <w:tcPr>
            <w:tcW w:w="558" w:type="dxa"/>
            <w:tcBorders/>
            <w:shd w:fill="DBDBDB"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$27.84</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Sammamish-Highlands</w:t>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584"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101</w:t>
            </w:r>
          </w:p>
        </w:tc>
        <w:tc>
          <w:tcPr>
            <w:tcW w:w="637"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55</w:t>
            </w:r>
          </w:p>
        </w:tc>
        <w:tc>
          <w:tcPr>
            <w:tcW w:w="552"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67</w:t>
            </w:r>
          </w:p>
        </w:tc>
        <w:tc>
          <w:tcPr>
            <w:tcW w:w="1715"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Trader Joe's, Bartell Drugs, (Safeway)</w:t>
            </w:r>
          </w:p>
        </w:tc>
        <w:tc>
          <w:tcPr>
            <w:tcW w:w="558" w:type="dxa"/>
            <w:tcBorders/>
            <w:shd w:fill="FFFFFF" w:val="cle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$39.55</w:t>
            </w:r>
          </w:p>
        </w:tc>
      </w:tr>
      <w:tr>
        <w:trPr/>
        <w:tc>
          <w:tcPr>
            <w:tcW w:w="16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rFonts w:ascii="Tahoma;sans-serif" w:hAnsi="Tahoma;sans-serif"/>
                <w:color w:val="000000"/>
                <w:sz w:val="11"/>
              </w:rPr>
            </w:pPr>
            <w:r>
              <w:rPr>
                <w:rFonts w:ascii="Tahoma;sans-serif" w:hAnsi="Tahoma;sans-serif"/>
                <w:color w:val="000000"/>
                <w:sz w:val="11"/>
              </w:rPr>
              <w:t>Southcenter</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WA</w:t>
            </w:r>
          </w:p>
        </w:tc>
        <w:tc>
          <w:tcPr>
            <w:tcW w:w="163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Seattle-Tacoma-Bellevue</w:t>
            </w:r>
          </w:p>
        </w:tc>
        <w:tc>
          <w:tcPr>
            <w:tcW w:w="46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58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58</w:t>
            </w:r>
          </w:p>
        </w:tc>
        <w:tc>
          <w:tcPr>
            <w:tcW w:w="63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100.0%</w:t>
            </w:r>
          </w:p>
        </w:tc>
        <w:tc>
          <w:tcPr>
            <w:tcW w:w="77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88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112</w:t>
            </w:r>
          </w:p>
        </w:tc>
        <w:tc>
          <w:tcPr>
            <w:tcW w:w="55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171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(Target)</w:t>
            </w:r>
          </w:p>
        </w:tc>
        <w:tc>
          <w:tcPr>
            <w:tcW w:w="55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1"/>
              </w:rPr>
            </w:pPr>
            <w:r>
              <w:rPr>
                <w:rFonts w:ascii="Tahoma;sans-serif" w:hAnsi="Tahoma;sans-serif"/>
                <w:color w:val="000000"/>
                <w:sz w:val="11"/>
              </w:rPr>
              <w:t>$36.00</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WA</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1,836</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1,267</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96.5%</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96.5%</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437</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532</w:t>
            </w:r>
          </w:p>
        </w:tc>
        <w:tc>
          <w:tcPr>
            <w:tcW w:w="1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$28.63</w:t>
            </w:r>
          </w:p>
        </w:tc>
      </w:tr>
      <w:tr>
        <w:trPr/>
        <w:tc>
          <w:tcPr>
            <w:tcW w:w="161"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1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46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584"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637"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77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88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552"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1715"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c>
          <w:tcPr>
            <w:tcW w:w="558" w:type="dxa"/>
            <w:tcBorders>
              <w:bottom w:val="single" w:sz="4" w:space="0" w:color="000000"/>
            </w:tcBorders>
            <w:shd w:fill="DBDBDB"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1"/>
              </w:rPr>
            </w:pPr>
            <w:r>
              <w:rPr>
                <w:rFonts w:ascii="Tahoma;sans-serif" w:hAnsi="Tahoma;sans-serif"/>
                <w:b/>
                <w:color w:val="000000"/>
                <w:sz w:val="11"/>
              </w:rPr>
              <w:t>Regency Centers Total</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57,172</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48,842</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95.6%</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95.9%</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3,747</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17,748</w:t>
            </w:r>
          </w:p>
        </w:tc>
        <w:tc>
          <w:tcPr>
            <w:tcW w:w="1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1"/>
              </w:rPr>
            </w:pPr>
            <w:r>
              <w:rPr>
                <w:rFonts w:ascii="Tahoma;sans-serif" w:hAnsi="Tahoma;sans-serif"/>
                <w:b/>
                <w:color w:val="000000"/>
                <w:sz w:val="11"/>
              </w:rPr>
              <w:t>$24.91</w:t>
            </w:r>
          </w:p>
        </w:tc>
      </w:tr>
      <w:tr>
        <w:trPr/>
        <w:tc>
          <w:tcPr>
            <w:tcW w:w="161"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318"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636" w:type="dxa"/>
            <w:tcBorders/>
            <w:shd w:fill="FFFFFF" w:val="clear"/>
            <w:vAlign w:val="center"/>
          </w:tcPr>
          <w:p>
            <w:pPr>
              <w:pStyle w:val="TableContents"/>
              <w:bidi w:val="0"/>
              <w:spacing w:before="0" w:after="283"/>
              <w:jc w:val="center"/>
              <w:rPr/>
            </w:pPr>
            <w:r>
              <w:rPr/>
              <w:t> </w:t>
            </w:r>
          </w:p>
        </w:tc>
        <w:tc>
          <w:tcPr>
            <w:tcW w:w="468" w:type="dxa"/>
            <w:tcBorders/>
            <w:shd w:fill="FFFFFF" w:val="clear"/>
            <w:vAlign w:val="center"/>
          </w:tcPr>
          <w:p>
            <w:pPr>
              <w:pStyle w:val="TableContents"/>
              <w:bidi w:val="0"/>
              <w:spacing w:before="0" w:after="283"/>
              <w:jc w:val="center"/>
              <w:rPr/>
            </w:pPr>
            <w:r>
              <w:rPr/>
              <w:t> </w:t>
            </w:r>
          </w:p>
        </w:tc>
        <w:tc>
          <w:tcPr>
            <w:tcW w:w="584" w:type="dxa"/>
            <w:tcBorders/>
            <w:shd w:fill="FFFFFF" w:val="clear"/>
            <w:vAlign w:val="center"/>
          </w:tcPr>
          <w:p>
            <w:pPr>
              <w:pStyle w:val="TableContents"/>
              <w:bidi w:val="0"/>
              <w:spacing w:before="0" w:after="283"/>
              <w:jc w:val="center"/>
              <w:rPr/>
            </w:pPr>
            <w:r>
              <w:rPr/>
              <w:t> </w:t>
            </w:r>
          </w:p>
        </w:tc>
        <w:tc>
          <w:tcPr>
            <w:tcW w:w="637" w:type="dxa"/>
            <w:tcBorders/>
            <w:shd w:fill="FFFFFF" w:val="clear"/>
            <w:vAlign w:val="center"/>
          </w:tcPr>
          <w:p>
            <w:pPr>
              <w:pStyle w:val="TableContents"/>
              <w:bidi w:val="0"/>
              <w:spacing w:before="0" w:after="283"/>
              <w:jc w:val="center"/>
              <w:rPr/>
            </w:pPr>
            <w:r>
              <w:rPr/>
              <w:t> </w:t>
            </w:r>
          </w:p>
        </w:tc>
        <w:tc>
          <w:tcPr>
            <w:tcW w:w="775" w:type="dxa"/>
            <w:tcBorders/>
            <w:shd w:fill="FFFFFF" w:val="clear"/>
            <w:vAlign w:val="center"/>
          </w:tcPr>
          <w:p>
            <w:pPr>
              <w:pStyle w:val="TableContents"/>
              <w:bidi w:val="0"/>
              <w:spacing w:before="0" w:after="283"/>
              <w:jc w:val="center"/>
              <w:rPr/>
            </w:pPr>
            <w:r>
              <w:rPr/>
              <w:t> </w:t>
            </w:r>
          </w:p>
        </w:tc>
        <w:tc>
          <w:tcPr>
            <w:tcW w:w="882" w:type="dxa"/>
            <w:tcBorders/>
            <w:shd w:fill="FFFFFF" w:val="clear"/>
            <w:vAlign w:val="center"/>
          </w:tcPr>
          <w:p>
            <w:pPr>
              <w:pStyle w:val="TableContents"/>
              <w:bidi w:val="0"/>
              <w:spacing w:before="0" w:after="283"/>
              <w:jc w:val="center"/>
              <w:rPr/>
            </w:pPr>
            <w:r>
              <w:rPr/>
              <w:t> </w:t>
            </w:r>
          </w:p>
        </w:tc>
        <w:tc>
          <w:tcPr>
            <w:tcW w:w="552" w:type="dxa"/>
            <w:tcBorders/>
            <w:shd w:fill="FFFFFF" w:val="clear"/>
            <w:vAlign w:val="center"/>
          </w:tcPr>
          <w:p>
            <w:pPr>
              <w:pStyle w:val="TableContents"/>
              <w:bidi w:val="0"/>
              <w:spacing w:before="0" w:after="283"/>
              <w:jc w:val="center"/>
              <w:rPr/>
            </w:pPr>
            <w:r>
              <w:rPr/>
              <w:t> </w:t>
            </w:r>
          </w:p>
        </w:tc>
        <w:tc>
          <w:tcPr>
            <w:tcW w:w="1715" w:type="dxa"/>
            <w:tcBorders/>
            <w:shd w:fill="FFFFFF" w:val="clear"/>
            <w:vAlign w:val="center"/>
          </w:tcPr>
          <w:p>
            <w:pPr>
              <w:pStyle w:val="TableContents"/>
              <w:bidi w:val="0"/>
              <w:spacing w:before="0" w:after="283"/>
              <w:jc w:val="center"/>
              <w:rPr/>
            </w:pPr>
            <w:r>
              <w:rPr/>
              <w:t> </w:t>
            </w:r>
          </w:p>
        </w:tc>
        <w:tc>
          <w:tcPr>
            <w:tcW w:w="558" w:type="dxa"/>
            <w:tcBorders/>
            <w:shd w:fill="FFFFFF" w:val="clear"/>
            <w:vAlign w:val="center"/>
          </w:tcPr>
          <w:p>
            <w:pPr>
              <w:pStyle w:val="TableContents"/>
              <w:bidi w:val="0"/>
              <w:spacing w:before="0" w:after="283"/>
              <w:jc w:val="center"/>
              <w:rPr/>
            </w:pPr>
            <w:r>
              <w:rPr/>
              <w:t> </w:t>
            </w:r>
          </w:p>
        </w:tc>
      </w:tr>
    </w:tbl>
    <w:p>
      <w:pPr>
        <w:pStyle w:val="TextBody"/>
        <w:bidi w:val="0"/>
        <w:spacing w:before="240" w:after="283"/>
        <w:jc w:val="left"/>
        <w:rPr>
          <w:rFonts w:ascii="Arial" w:hAnsi="Arial"/>
          <w:color w:val="000000"/>
          <w:sz w:val="14"/>
        </w:rPr>
      </w:pPr>
      <w:r>
        <w:rPr>
          <w:rFonts w:ascii="Arial" w:hAnsi="Arial"/>
          <w:color w:val="000000"/>
          <w:sz w:val="14"/>
        </w:rPr>
        <w:t>(1)</w:t>
      </w:r>
    </w:p>
    <w:p>
      <w:pPr>
        <w:pStyle w:val="TextBody"/>
        <w:bidi w:val="0"/>
        <w:spacing w:before="240" w:after="283"/>
        <w:jc w:val="left"/>
        <w:rPr>
          <w:rFonts w:ascii="Arial" w:hAnsi="Arial"/>
          <w:color w:val="000000"/>
          <w:sz w:val="14"/>
        </w:rPr>
      </w:pPr>
      <w:r>
        <w:rPr>
          <w:rFonts w:ascii="Arial" w:hAnsi="Arial"/>
          <w:color w:val="000000"/>
          <w:sz w:val="14"/>
        </w:rPr>
        <w:t>Major Tenants are the grocery anchor and any tenant 10,000 square feet or greater. Retailers in parenthesis are a shadow anchor and not a part of the owned property.</w:t>
      </w:r>
    </w:p>
    <w:p>
      <w:pPr>
        <w:pStyle w:val="TextBody"/>
        <w:bidi w:val="0"/>
        <w:spacing w:before="60" w:after="283"/>
        <w:jc w:val="left"/>
        <w:rPr>
          <w:rFonts w:ascii="Arial" w:hAnsi="Arial"/>
          <w:color w:val="000000"/>
          <w:sz w:val="14"/>
        </w:rPr>
      </w:pPr>
      <w:r>
        <w:rPr>
          <w:rFonts w:ascii="Arial" w:hAnsi="Arial"/>
          <w:color w:val="000000"/>
          <w:sz w:val="14"/>
        </w:rPr>
        <w:t>(2)</w:t>
      </w:r>
    </w:p>
    <w:p>
      <w:pPr>
        <w:pStyle w:val="TextBody"/>
        <w:bidi w:val="0"/>
        <w:spacing w:before="60" w:after="283"/>
        <w:jc w:val="left"/>
        <w:rPr>
          <w:rFonts w:ascii="Arial" w:hAnsi="Arial"/>
          <w:color w:val="000000"/>
          <w:sz w:val="14"/>
        </w:rPr>
      </w:pPr>
      <w:r>
        <w:rPr>
          <w:rFonts w:ascii="Arial" w:hAnsi="Arial"/>
          <w:color w:val="000000"/>
          <w:sz w:val="14"/>
        </w:rPr>
        <w:t>Non-Same Property.</w:t>
      </w:r>
    </w:p>
    <w:p>
      <w:pPr>
        <w:pStyle w:val="TextBody"/>
        <w:bidi w:val="0"/>
        <w:jc w:val="left"/>
        <w:rPr/>
      </w:pPr>
      <w:r>
        <w:rPr/>
        <w:t> </w:t>
      </w:r>
    </w:p>
    <w:tbl>
      <w:tblPr>
        <w:tblW w:w="3752" w:type="dxa"/>
        <w:jc w:val="left"/>
        <w:tblInd w:w="0" w:type="dxa"/>
        <w:tblLayout w:type="fixed"/>
        <w:tblCellMar>
          <w:top w:w="28" w:type="dxa"/>
          <w:left w:w="28" w:type="dxa"/>
          <w:bottom w:w="28" w:type="dxa"/>
          <w:right w:w="28" w:type="dxa"/>
        </w:tblCellMar>
      </w:tblPr>
      <w:tblGrid>
        <w:gridCol w:w="451"/>
        <w:gridCol w:w="3301"/>
      </w:tblGrid>
      <w:tr>
        <w:trPr/>
        <w:tc>
          <w:tcPr>
            <w:tcW w:w="45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Note:</w:t>
            </w:r>
          </w:p>
        </w:tc>
        <w:tc>
          <w:tcPr>
            <w:tcW w:w="33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In-process developments are bolded and italicized.</w:t>
            </w:r>
          </w:p>
        </w:tc>
      </w:tr>
    </w:tbl>
    <w:p>
      <w:pPr>
        <w:pStyle w:val="TextBody"/>
        <w:bidi w:val="0"/>
        <w:jc w:val="left"/>
        <w:rPr/>
      </w:pPr>
      <w:r>
        <w:rPr/>
        <w:t> </w:t>
      </w:r>
    </w:p>
    <w:tbl>
      <w:tblPr>
        <w:tblW w:w="2657" w:type="dxa"/>
        <w:jc w:val="left"/>
        <w:tblInd w:w="0" w:type="dxa"/>
        <w:tblLayout w:type="fixed"/>
        <w:tblCellMar>
          <w:top w:w="28" w:type="dxa"/>
          <w:left w:w="28" w:type="dxa"/>
          <w:bottom w:w="28" w:type="dxa"/>
          <w:right w:w="28" w:type="dxa"/>
        </w:tblCellMar>
      </w:tblPr>
      <w:tblGrid>
        <w:gridCol w:w="256"/>
        <w:gridCol w:w="2401"/>
      </w:tblGrid>
      <w:tr>
        <w:trPr/>
        <w:tc>
          <w:tcPr>
            <w:tcW w:w="25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w:t>
            </w:r>
          </w:p>
        </w:tc>
        <w:tc>
          <w:tcPr>
            <w:tcW w:w="24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Real Estate Partnership with Oregon</w:t>
            </w:r>
          </w:p>
        </w:tc>
      </w:tr>
    </w:tbl>
    <w:p>
      <w:pPr>
        <w:pStyle w:val="TextBody"/>
        <w:bidi w:val="0"/>
        <w:jc w:val="left"/>
        <w:rPr/>
      </w:pPr>
      <w:r>
        <w:rPr/>
        <w:t> </w:t>
      </w:r>
    </w:p>
    <w:tbl>
      <w:tblPr>
        <w:tblW w:w="2597" w:type="dxa"/>
        <w:jc w:val="left"/>
        <w:tblInd w:w="0" w:type="dxa"/>
        <w:tblLayout w:type="fixed"/>
        <w:tblCellMar>
          <w:top w:w="28" w:type="dxa"/>
          <w:left w:w="28" w:type="dxa"/>
          <w:bottom w:w="28" w:type="dxa"/>
          <w:right w:w="28" w:type="dxa"/>
        </w:tblCellMar>
      </w:tblPr>
      <w:tblGrid>
        <w:gridCol w:w="406"/>
        <w:gridCol w:w="2191"/>
      </w:tblGrid>
      <w:tr>
        <w:trPr/>
        <w:tc>
          <w:tcPr>
            <w:tcW w:w="40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GRI:</w:t>
            </w:r>
          </w:p>
        </w:tc>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Real Estate Partnership with GRI</w:t>
            </w:r>
          </w:p>
        </w:tc>
      </w:tr>
    </w:tbl>
    <w:p>
      <w:pPr>
        <w:pStyle w:val="TextBody"/>
        <w:bidi w:val="0"/>
        <w:jc w:val="left"/>
        <w:rPr/>
      </w:pPr>
      <w:r>
        <w:rPr/>
        <w:t> </w:t>
      </w:r>
    </w:p>
    <w:tbl>
      <w:tblPr>
        <w:tblW w:w="3197" w:type="dxa"/>
        <w:jc w:val="left"/>
        <w:tblInd w:w="0" w:type="dxa"/>
        <w:tblLayout w:type="fixed"/>
        <w:tblCellMar>
          <w:top w:w="28" w:type="dxa"/>
          <w:left w:w="28" w:type="dxa"/>
          <w:bottom w:w="28" w:type="dxa"/>
          <w:right w:w="28" w:type="dxa"/>
        </w:tblCellMar>
      </w:tblPr>
      <w:tblGrid>
        <w:gridCol w:w="271"/>
        <w:gridCol w:w="2926"/>
      </w:tblGrid>
      <w:tr>
        <w:trPr/>
        <w:tc>
          <w:tcPr>
            <w:tcW w:w="27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w:t>
            </w:r>
          </w:p>
        </w:tc>
        <w:tc>
          <w:tcPr>
            <w:tcW w:w="29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Real Estate Partnership with Minority Partner</w:t>
            </w:r>
          </w:p>
        </w:tc>
      </w:tr>
    </w:tbl>
    <w:p>
      <w:pPr>
        <w:pStyle w:val="TextBody"/>
        <w:bidi w:val="0"/>
        <w:jc w:val="left"/>
        <w:rPr/>
      </w:pPr>
      <w:r>
        <w:rPr/>
        <w:t> </w:t>
      </w:r>
    </w:p>
    <w:tbl>
      <w:tblPr>
        <w:tblW w:w="3362" w:type="dxa"/>
        <w:jc w:val="left"/>
        <w:tblInd w:w="0" w:type="dxa"/>
        <w:tblLayout w:type="fixed"/>
        <w:tblCellMar>
          <w:top w:w="28" w:type="dxa"/>
          <w:left w:w="28" w:type="dxa"/>
          <w:bottom w:w="28" w:type="dxa"/>
          <w:right w:w="28" w:type="dxa"/>
        </w:tblCellMar>
      </w:tblPr>
      <w:tblGrid>
        <w:gridCol w:w="271"/>
        <w:gridCol w:w="3091"/>
      </w:tblGrid>
      <w:tr>
        <w:trPr/>
        <w:tc>
          <w:tcPr>
            <w:tcW w:w="271"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w:t>
            </w:r>
          </w:p>
        </w:tc>
        <w:tc>
          <w:tcPr>
            <w:tcW w:w="30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single property Real Estate Partnerships</w:t>
            </w:r>
          </w:p>
        </w:tc>
      </w:tr>
    </w:tbl>
    <w:p>
      <w:pPr>
        <w:pStyle w:val="TextBody"/>
        <w:bidi w:val="0"/>
        <w:jc w:val="left"/>
        <w:rPr/>
      </w:pPr>
      <w:r>
        <w:rPr/>
        <w:t> </w:t>
      </w:r>
    </w:p>
    <w:p>
      <w:pPr>
        <w:pStyle w:val="TextBody"/>
        <w:bidi w:val="0"/>
        <w:jc w:val="left"/>
        <w:rPr/>
      </w:pPr>
      <w:r>
        <w:rPr/>
        <w:drawing>
          <wp:inline distT="0" distB="0" distL="0" distR="0">
            <wp:extent cx="476250" cy="2571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bookmarkStart w:id="35" w:name="nav"/>
      <w:bookmarkEnd w:id="35"/>
      <w:r>
        <w:rPr>
          <w:rFonts w:ascii="Tahoma;sans-serif" w:hAnsi="Tahoma;sans-serif"/>
          <w:b/>
          <w:color w:val="000000"/>
          <w:sz w:val="20"/>
        </w:rPr>
        <w:t>Components of Net Asset Value (NAV)</w:t>
      </w:r>
    </w:p>
    <w:p>
      <w:pPr>
        <w:pStyle w:val="TextBody"/>
        <w:bidi w:val="0"/>
        <w:jc w:val="center"/>
        <w:rPr>
          <w:rFonts w:ascii="Tahoma;sans-serif" w:hAnsi="Tahoma;sans-serif"/>
          <w:color w:val="000000"/>
          <w:sz w:val="20"/>
        </w:rPr>
      </w:pPr>
      <w:r>
        <w:rPr>
          <w:rFonts w:ascii="Tahoma;sans-serif" w:hAnsi="Tahoma;sans-serif"/>
          <w:color w:val="000000"/>
          <w:sz w:val="20"/>
        </w:rPr>
        <w:t>As of September 30, 2024</w:t>
      </w:r>
    </w:p>
    <w:p>
      <w:pPr>
        <w:pStyle w:val="TextBody"/>
        <w:bidi w:val="0"/>
        <w:jc w:val="center"/>
        <w:rPr>
          <w:rFonts w:ascii="Tahoma;sans-serif" w:hAnsi="Tahoma;sans-serif"/>
          <w:i/>
          <w:color w:val="000000"/>
          <w:sz w:val="20"/>
        </w:rPr>
      </w:pPr>
      <w:r>
        <w:rPr>
          <w:rFonts w:ascii="Tahoma;sans-serif" w:hAnsi="Tahoma;sans-serif"/>
          <w:i/>
          <w:color w:val="000000"/>
          <w:sz w:val="20"/>
        </w:rPr>
        <w:t>(unaudited and in thousands)</w:t>
      </w:r>
    </w:p>
    <w:p>
      <w:pPr>
        <w:pStyle w:val="TextBody"/>
        <w:bidi w:val="0"/>
        <w:jc w:val="left"/>
        <w:rPr/>
      </w:pPr>
      <w:r>
        <w:rPr/>
        <w:t> </w:t>
      </w:r>
    </w:p>
    <w:tbl>
      <w:tblPr>
        <w:tblW w:w="7878" w:type="dxa"/>
        <w:jc w:val="left"/>
        <w:tblInd w:w="0" w:type="dxa"/>
        <w:tblLayout w:type="fixed"/>
        <w:tblCellMar>
          <w:top w:w="28" w:type="dxa"/>
          <w:left w:w="28" w:type="dxa"/>
          <w:bottom w:w="28" w:type="dxa"/>
          <w:right w:w="28" w:type="dxa"/>
        </w:tblCellMar>
      </w:tblPr>
      <w:tblGrid>
        <w:gridCol w:w="6811"/>
        <w:gridCol w:w="146"/>
        <w:gridCol w:w="921"/>
      </w:tblGrid>
      <w:tr>
        <w:trPr/>
        <w:tc>
          <w:tcPr>
            <w:tcW w:w="6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7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Real Estate: Operating</w:t>
            </w:r>
          </w:p>
        </w:tc>
      </w:tr>
      <w:tr>
        <w:trPr/>
        <w:tc>
          <w:tcPr>
            <w:tcW w:w="6811" w:type="dxa"/>
            <w:tcBorders/>
            <w:shd w:fill="FFFFFF" w:val="cle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Operating Portfolio NOI Excluding Straight-line Rent and Above/Below Market Rent - Current Quarter</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left"/>
              <w:rPr/>
            </w:pPr>
            <w:r>
              <w:rPr/>
              <w:t> </w:t>
            </w:r>
          </w:p>
        </w:tc>
      </w:tr>
      <w:tr>
        <w:trPr/>
        <w:tc>
          <w:tcPr>
            <w:tcW w:w="68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Consolidated NOI (page 5)</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$237,279</w:t>
            </w:r>
          </w:p>
        </w:tc>
      </w:tr>
      <w:tr>
        <w:trPr/>
        <w:tc>
          <w:tcPr>
            <w:tcW w:w="68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Share of Unconsolidated JV NOI (page 7)</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$25,980</w:t>
            </w:r>
          </w:p>
        </w:tc>
      </w:tr>
      <w:tr>
        <w:trPr/>
        <w:tc>
          <w:tcPr>
            <w:tcW w:w="68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Less: Noncontrolling Interests (page 7)</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$(2,099)</w:t>
            </w:r>
          </w:p>
        </w:tc>
      </w:tr>
      <w:tr>
        <w:trPr/>
        <w:tc>
          <w:tcPr>
            <w:tcW w:w="6811" w:type="dxa"/>
            <w:tcBorders/>
            <w:shd w:fill="FFFFFF" w:val="cle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Pro Rata Share of Operating Portfolio NOI</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$261,160</w:t>
            </w:r>
          </w:p>
        </w:tc>
      </w:tr>
      <w:tr>
        <w:trPr/>
        <w:tc>
          <w:tcPr>
            <w:tcW w:w="6811"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 </w:t>
            </w:r>
          </w:p>
        </w:tc>
      </w:tr>
      <w:tr>
        <w:trPr/>
        <w:tc>
          <w:tcPr>
            <w:tcW w:w="6811" w:type="dxa"/>
            <w:tcBorders/>
            <w:shd w:fill="FFFFFF" w:val="cle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Quarterly Base Rent From Leases Signed But Not Yet Rent-Paying</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pPr>
            <w:r>
              <w:rPr/>
              <w:t> </w:t>
            </w:r>
          </w:p>
        </w:tc>
      </w:tr>
      <w:tr>
        <w:trPr/>
        <w:tc>
          <w:tcPr>
            <w:tcW w:w="68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Retail Operating Properties Excluding In-Process Redevelopments (Quarterly)</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$7,673</w:t>
            </w:r>
          </w:p>
        </w:tc>
      </w:tr>
      <w:tr>
        <w:trPr/>
        <w:tc>
          <w:tcPr>
            <w:tcW w:w="68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Retail Operating Properties Including In-Process Redevelopments (Quarterly)</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$12,161</w:t>
            </w:r>
          </w:p>
        </w:tc>
      </w:tr>
      <w:tr>
        <w:trPr/>
        <w:tc>
          <w:tcPr>
            <w:tcW w:w="6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tbl>
      <w:tblPr>
        <w:tblW w:w="6038" w:type="dxa"/>
        <w:jc w:val="left"/>
        <w:tblInd w:w="0" w:type="dxa"/>
        <w:tblLayout w:type="fixed"/>
        <w:tblCellMar>
          <w:top w:w="28" w:type="dxa"/>
          <w:left w:w="28" w:type="dxa"/>
          <w:bottom w:w="28" w:type="dxa"/>
          <w:right w:w="28" w:type="dxa"/>
        </w:tblCellMar>
      </w:tblPr>
      <w:tblGrid>
        <w:gridCol w:w="4971"/>
        <w:gridCol w:w="146"/>
        <w:gridCol w:w="921"/>
      </w:tblGrid>
      <w:tr>
        <w:trPr/>
        <w:tc>
          <w:tcPr>
            <w:tcW w:w="4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4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Real Estate: In-Process Ground-Up Developments and Redevelopments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8" w:type="dxa"/>
            <w:gridSpan w:val="3"/>
            <w:tcBorders/>
            <w:shd w:fill="FFFFFF" w:val="cle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In-Process Ground-Up Development</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REG's Estimated Net Project Costs (page 17)</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$237,000</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Stabilized Yield (page 17)</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7%</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Annualized Proforma Stabilized NOI</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$16,590</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 of Costs Incurred (page 17)</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38%</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Construction in Progress</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$90,060</w:t>
            </w:r>
          </w:p>
        </w:tc>
      </w:tr>
      <w:tr>
        <w:trPr/>
        <w:tc>
          <w:tcPr>
            <w:tcW w:w="4971"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r>
      <w:tr>
        <w:trPr/>
        <w:tc>
          <w:tcPr>
            <w:tcW w:w="6038" w:type="dxa"/>
            <w:gridSpan w:val="3"/>
            <w:tcBorders/>
            <w:shd w:fill="FFFFFF" w:val="cle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NOI from In-Process Ground-Up Development - Current Quarter</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In-place NOI from Current Year Ground-Up Development Completions</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$412</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In-place NOI from In-Process Ground-Up Developments</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$157</w:t>
            </w:r>
          </w:p>
        </w:tc>
      </w:tr>
      <w:tr>
        <w:trPr/>
        <w:tc>
          <w:tcPr>
            <w:tcW w:w="4971"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r>
      <w:tr>
        <w:trPr/>
        <w:tc>
          <w:tcPr>
            <w:tcW w:w="6038" w:type="dxa"/>
            <w:gridSpan w:val="3"/>
            <w:tcBorders/>
            <w:shd w:fill="FFFFFF" w:val="cle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In-Process Redevelopment Projects</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REG's Estimated Net Project Costs (page 17)</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$382,000</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Stabilized Yield (page 17)</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10%</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Annualized Proforma Stabilized NOI</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$38,200</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 of Costs Incurred (page 17)</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52%</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Construction in Progress</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$198,640</w:t>
            </w:r>
          </w:p>
        </w:tc>
      </w:tr>
      <w:tr>
        <w:trPr/>
        <w:tc>
          <w:tcPr>
            <w:tcW w:w="4971" w:type="dxa"/>
            <w:tcBorders/>
            <w:shd w:fill="FFFFFF" w:val="clear"/>
            <w:vAlign w:val="center"/>
          </w:tcPr>
          <w:p>
            <w:pPr>
              <w:pStyle w:val="TableContents"/>
              <w:bidi w:val="0"/>
              <w:spacing w:before="0" w:after="283"/>
              <w:ind w:left="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r>
      <w:tr>
        <w:trPr/>
        <w:tc>
          <w:tcPr>
            <w:tcW w:w="6038" w:type="dxa"/>
            <w:gridSpan w:val="3"/>
            <w:tcBorders/>
            <w:shd w:fill="FFFFFF" w:val="cle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NOI from In-Process Redevelopment - Current Quarter</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In-place NOI from Current Year Redevelopment Completions</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$582</w:t>
            </w:r>
          </w:p>
        </w:tc>
      </w:tr>
      <w:tr>
        <w:trPr/>
        <w:tc>
          <w:tcPr>
            <w:tcW w:w="497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In-place NOI from In-Process Redevelopments</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$(297)</w:t>
            </w:r>
          </w:p>
        </w:tc>
      </w:tr>
      <w:tr>
        <w:trPr/>
        <w:tc>
          <w:tcPr>
            <w:tcW w:w="4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5818" w:type="dxa"/>
        <w:jc w:val="left"/>
        <w:tblInd w:w="0" w:type="dxa"/>
        <w:tblLayout w:type="fixed"/>
        <w:tblCellMar>
          <w:top w:w="28" w:type="dxa"/>
          <w:left w:w="28" w:type="dxa"/>
          <w:bottom w:w="28" w:type="dxa"/>
          <w:right w:w="28" w:type="dxa"/>
        </w:tblCellMar>
      </w:tblPr>
      <w:tblGrid>
        <w:gridCol w:w="5101"/>
        <w:gridCol w:w="146"/>
        <w:gridCol w:w="57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5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Fee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Third-Party Management Fees and Commissions - Current Quarter (page 5)</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$6,765</w:t>
            </w:r>
          </w:p>
        </w:tc>
      </w:tr>
      <w:tr>
        <w:trPr/>
        <w:tc>
          <w:tcPr>
            <w:tcW w:w="510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Less: Share of JV's Total fee income - Current Quarter (page 7)</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$(238)</w:t>
            </w:r>
          </w:p>
        </w:tc>
      </w:tr>
      <w:tr>
        <w:trPr/>
        <w:tc>
          <w:tcPr>
            <w:tcW w:w="5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5903" w:type="dxa"/>
        <w:jc w:val="left"/>
        <w:tblInd w:w="0" w:type="dxa"/>
        <w:tblLayout w:type="fixed"/>
        <w:tblCellMar>
          <w:top w:w="28" w:type="dxa"/>
          <w:left w:w="28" w:type="dxa"/>
          <w:bottom w:w="28" w:type="dxa"/>
          <w:right w:w="28" w:type="dxa"/>
        </w:tblCellMar>
      </w:tblPr>
      <w:tblGrid>
        <w:gridCol w:w="4911"/>
        <w:gridCol w:w="146"/>
        <w:gridCol w:w="846"/>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4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Other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Estimated Market Value of Land &amp; Non-income Producing Assets</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right"/>
              <w:rPr/>
            </w:pPr>
            <w:r>
              <w:rPr/>
              <w:t> </w:t>
            </w:r>
          </w:p>
        </w:tc>
      </w:tr>
      <w:tr>
        <w:trPr/>
        <w:tc>
          <w:tcPr>
            <w:tcW w:w="49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Land held for sale or future development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$32,277</w:t>
            </w:r>
          </w:p>
        </w:tc>
      </w:tr>
      <w:tr>
        <w:trPr/>
        <w:tc>
          <w:tcPr>
            <w:tcW w:w="49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Outparcels at retail operating properties</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$6,839</w:t>
            </w:r>
          </w:p>
        </w:tc>
      </w:tr>
      <w:tr>
        <w:trPr/>
        <w:tc>
          <w:tcPr>
            <w:tcW w:w="49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Non-income producing assets</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$26,000</w:t>
            </w:r>
          </w:p>
        </w:tc>
      </w:tr>
      <w:tr>
        <w:trPr/>
        <w:tc>
          <w:tcPr>
            <w:tcW w:w="49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Total Estimated Market Value of Land &amp; Non-income Producing Assets</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$65,116</w:t>
            </w:r>
          </w:p>
        </w:tc>
      </w:tr>
      <w:tr>
        <w:trPr/>
        <w:tc>
          <w:tcPr>
            <w:tcW w:w="4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r>
      <w:tr>
        <w:trPr/>
        <w:tc>
          <w:tcPr>
            <w:tcW w:w="4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Regency's Pro-Rata Share (page 3 &amp; 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9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Cash and Cash Equivalents</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$73,731</w:t>
            </w:r>
          </w:p>
        </w:tc>
      </w:tr>
      <w:tr>
        <w:trPr/>
        <w:tc>
          <w:tcPr>
            <w:tcW w:w="49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Tenant and other receivables, excluding Straight line rent receivables</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$91,403</w:t>
            </w:r>
          </w:p>
        </w:tc>
      </w:tr>
      <w:tr>
        <w:trPr/>
        <w:tc>
          <w:tcPr>
            <w:tcW w:w="4911"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Assets, excluding Goodwill</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$160,965</w:t>
            </w:r>
          </w:p>
        </w:tc>
      </w:tr>
      <w:tr>
        <w:trPr/>
        <w:tc>
          <w:tcPr>
            <w:tcW w:w="4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3923" w:type="dxa"/>
        <w:jc w:val="left"/>
        <w:tblInd w:w="0" w:type="dxa"/>
        <w:tblLayout w:type="fixed"/>
        <w:tblCellMar>
          <w:top w:w="28" w:type="dxa"/>
          <w:left w:w="28" w:type="dxa"/>
          <w:bottom w:w="28" w:type="dxa"/>
          <w:right w:w="28" w:type="dxa"/>
        </w:tblCellMar>
      </w:tblPr>
      <w:tblGrid>
        <w:gridCol w:w="2736"/>
        <w:gridCol w:w="146"/>
        <w:gridCol w:w="1041"/>
      </w:tblGrid>
      <w:tr>
        <w:trPr/>
        <w:tc>
          <w:tcPr>
            <w:tcW w:w="2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6" w:type="dxa"/>
            <w:tcBorders/>
            <w:shd w:fill="FFFFFF" w:val="cle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Regency's Pro-Rata Share (page 3 &amp; 6)</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right"/>
              <w:rPr/>
            </w:pPr>
            <w:r>
              <w:rPr/>
              <w:t> </w:t>
            </w:r>
          </w:p>
        </w:tc>
      </w:tr>
      <w:tr>
        <w:trPr/>
        <w:tc>
          <w:tcPr>
            <w:tcW w:w="273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Notes payable</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$4,939,647</w:t>
            </w:r>
          </w:p>
        </w:tc>
      </w:tr>
      <w:tr>
        <w:trPr/>
        <w:tc>
          <w:tcPr>
            <w:tcW w:w="273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Accounts payable and other liabilities</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$414,345</w:t>
            </w:r>
          </w:p>
        </w:tc>
      </w:tr>
      <w:tr>
        <w:trPr/>
        <w:tc>
          <w:tcPr>
            <w:tcW w:w="273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Tenants' security, escrow deposits</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$84,123</w:t>
            </w:r>
          </w:p>
        </w:tc>
      </w:tr>
      <w:tr>
        <w:trPr/>
        <w:tc>
          <w:tcPr>
            <w:tcW w:w="2736" w:type="dxa"/>
            <w:tcBorders/>
            <w:shd w:fill="FFFFFF" w:val="cle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Preferred Stock</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$225,000</w:t>
            </w:r>
          </w:p>
        </w:tc>
      </w:tr>
      <w:tr>
        <w:trPr/>
        <w:tc>
          <w:tcPr>
            <w:tcW w:w="2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5323" w:type="dxa"/>
        <w:jc w:val="left"/>
        <w:tblInd w:w="0" w:type="dxa"/>
        <w:tblLayout w:type="fixed"/>
        <w:tblCellMar>
          <w:top w:w="28" w:type="dxa"/>
          <w:left w:w="28" w:type="dxa"/>
          <w:bottom w:w="28" w:type="dxa"/>
          <w:right w:w="28" w:type="dxa"/>
        </w:tblCellMar>
      </w:tblPr>
      <w:tblGrid>
        <w:gridCol w:w="4531"/>
        <w:gridCol w:w="146"/>
        <w:gridCol w:w="64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Common Shares and Equivalents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Common Shares and Equivalents Issued and Outstanding (page 1)</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182,600</w:t>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drawing>
          <wp:inline distT="0" distB="0" distL="0" distR="0">
            <wp:extent cx="476250" cy="2571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bookmarkStart w:id="36" w:name="guidance"/>
      <w:bookmarkEnd w:id="36"/>
      <w:r>
        <w:rPr>
          <w:rFonts w:ascii="Tahoma;sans-serif" w:hAnsi="Tahoma;sans-serif"/>
          <w:b/>
          <w:color w:val="000000"/>
          <w:sz w:val="20"/>
        </w:rPr>
        <w:t>Earnings Guidance</w:t>
      </w:r>
    </w:p>
    <w:p>
      <w:pPr>
        <w:pStyle w:val="TextBody"/>
        <w:bidi w:val="0"/>
        <w:jc w:val="center"/>
        <w:rPr>
          <w:rFonts w:ascii="Tahoma;sans-serif" w:hAnsi="Tahoma;sans-serif"/>
          <w:color w:val="000000"/>
          <w:sz w:val="20"/>
        </w:rPr>
      </w:pPr>
      <w:r>
        <w:rPr>
          <w:rFonts w:ascii="Tahoma;sans-serif" w:hAnsi="Tahoma;sans-serif"/>
          <w:color w:val="000000"/>
          <w:sz w:val="20"/>
        </w:rPr>
        <w:t>September 30, 2024</w:t>
      </w:r>
    </w:p>
    <w:p>
      <w:pPr>
        <w:pStyle w:val="TextBody"/>
        <w:bidi w:val="0"/>
        <w:spacing w:before="60" w:after="283"/>
        <w:jc w:val="left"/>
        <w:rPr/>
      </w:pPr>
      <w:r>
        <w:rPr/>
        <w:t> </w:t>
      </w:r>
    </w:p>
    <w:tbl>
      <w:tblPr>
        <w:tblW w:w="8899" w:type="dxa"/>
        <w:jc w:val="left"/>
        <w:tblInd w:w="0" w:type="dxa"/>
        <w:tblLayout w:type="fixed"/>
        <w:tblCellMar>
          <w:top w:w="28" w:type="dxa"/>
          <w:left w:w="28" w:type="dxa"/>
          <w:bottom w:w="28" w:type="dxa"/>
          <w:right w:w="28" w:type="dxa"/>
        </w:tblCellMar>
      </w:tblPr>
      <w:tblGrid>
        <w:gridCol w:w="5431"/>
        <w:gridCol w:w="796"/>
        <w:gridCol w:w="1186"/>
        <w:gridCol w:w="1486"/>
      </w:tblGrid>
      <w:tr>
        <w:trPr/>
        <w:tc>
          <w:tcPr>
            <w:tcW w:w="543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Full Year 2024 Guidance </w:t>
            </w:r>
            <w:r>
              <w:rPr>
                <w:rFonts w:ascii="Tahoma;sans-serif" w:hAnsi="Tahoma;sans-serif"/>
                <w:color w:val="000000"/>
                <w:sz w:val="16"/>
              </w:rPr>
              <w:t>(in thousands, except per share data)</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YTD 2024</w:t>
            </w:r>
          </w:p>
        </w:tc>
        <w:tc>
          <w:tcPr>
            <w:tcW w:w="1186" w:type="dxa"/>
            <w:tcBorders>
              <w:top w:val="single" w:sz="4" w:space="0" w:color="808080"/>
              <w:bottom w:val="single" w:sz="4" w:space="0" w:color="BFBFBF"/>
              <w:right w:val="single" w:sz="4" w:space="0" w:color="808080"/>
            </w:tcBorders>
            <w:shd w:fill="808080" w:val="clear"/>
            <w:tcMar>
              <w:left w:w="0" w:type="dxa"/>
            </w:tcMar>
            <w:vAlign w:val="center"/>
          </w:tcPr>
          <w:p>
            <w:pPr>
              <w:pStyle w:val="TableContents"/>
              <w:bidi w:val="0"/>
              <w:spacing w:before="0" w:after="283"/>
              <w:jc w:val="center"/>
              <w:rPr>
                <w:rFonts w:ascii="Tahoma;sans-serif" w:hAnsi="Tahoma;sans-serif"/>
                <w:b/>
                <w:color w:val="FFFFFF"/>
                <w:sz w:val="16"/>
              </w:rPr>
            </w:pPr>
            <w:r>
              <w:rPr>
                <w:rFonts w:ascii="Tahoma;sans-serif" w:hAnsi="Tahoma;sans-serif"/>
                <w:b/>
                <w:color w:val="FFFFFF"/>
                <w:sz w:val="16"/>
              </w:rPr>
              <w:t>2024 Guidance</w:t>
            </w:r>
          </w:p>
        </w:tc>
        <w:tc>
          <w:tcPr>
            <w:tcW w:w="148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Previous Guidance</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 per diluted share</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$1.66</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$2.13 - $2.15</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$2.02 - $2.06</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 (“Nareit FFO”) per diluted share</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$3.20</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$4.27 - $4.29</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$4.21 - $4.25</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4"/>
              </w:rPr>
              <w:t>Core Operating Earnings per diluted share</w:t>
            </w:r>
            <w:r>
              <w:rPr>
                <w:rFonts w:ascii="Tahoma;sans-serif" w:hAnsi="Tahoma;sans-serif"/>
                <w:color w:val="000000"/>
                <w:sz w:val="11"/>
              </w:rPr>
              <w:t>(1)</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$3.09</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$4.12 - $4.14</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$4.06 - $4.10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Same property NOI growth without termination fees or collection of 2020/2021 reserves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3.4%</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+/- 3.50%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+2.25% to +2.75%</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Non-cash revenues</w:t>
            </w:r>
            <w:r>
              <w:rPr>
                <w:rFonts w:ascii="Tahoma;sans-serif" w:hAnsi="Tahoma;sans-serif"/>
                <w:color w:val="000000"/>
                <w:sz w:val="9"/>
              </w:rPr>
              <w:t>(2)</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$33,613</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$42,000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center"/>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G&amp;A expense, net</w:t>
            </w:r>
            <w:r>
              <w:rPr>
                <w:rFonts w:ascii="Tahoma;sans-serif" w:hAnsi="Tahoma;sans-serif"/>
                <w:color w:val="000000"/>
                <w:sz w:val="9"/>
              </w:rPr>
              <w:t>(3)</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$72,058</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+/-$95,000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$93,000-$95,000</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Interest expense, net and Preferred stock dividends</w:t>
            </w:r>
            <w:r>
              <w:rPr>
                <w:rFonts w:ascii="Tahoma;sans-serif" w:hAnsi="Tahoma;sans-serif"/>
                <w:color w:val="000000"/>
                <w:sz w:val="9"/>
              </w:rPr>
              <w:t>(4)</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$158,433</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+/-$214,000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$213,000-$215,000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Management, transaction and other fees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$19,189</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+/-$26,000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center"/>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Development and Redevelopment spend</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$158,508</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+/-$215,000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Acquisitions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$78,155</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+/-$92,000</w:t>
            </w:r>
          </w:p>
        </w:tc>
        <w:tc>
          <w:tcPr>
            <w:tcW w:w="1486" w:type="dxa"/>
            <w:tcBorders/>
            <w:shd w:fill="FFFFFF"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+/-$81,000</w:t>
            </w:r>
          </w:p>
        </w:tc>
      </w:tr>
      <w:tr>
        <w:trPr/>
        <w:tc>
          <w:tcPr>
            <w:tcW w:w="5431" w:type="dxa"/>
            <w:tcBorders/>
            <w:shd w:fill="FFFFFF"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6.6%</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+/- 6.5%</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+/- 6.5%</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Dispositions</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$106,500</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+/-$109,000</w:t>
            </w:r>
          </w:p>
        </w:tc>
        <w:tc>
          <w:tcPr>
            <w:tcW w:w="1486" w:type="dxa"/>
            <w:tcBorders/>
            <w:shd w:fill="F2F2F2" w:val="cle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+/-$125,000</w:t>
            </w:r>
          </w:p>
        </w:tc>
      </w:tr>
      <w:tr>
        <w:trPr/>
        <w:tc>
          <w:tcPr>
            <w:tcW w:w="5431" w:type="dxa"/>
            <w:tcBorders/>
            <w:shd w:fill="F2F2F2" w:val="cle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pPr>
            <w:r>
              <w:rPr/>
              <w:t> </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Share/unit repurchases</w:t>
            </w:r>
          </w:p>
        </w:tc>
        <w:tc>
          <w:tcPr>
            <w:tcW w:w="79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c>
          <w:tcPr>
            <w:tcW w:w="1186"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c>
          <w:tcPr>
            <w:tcW w:w="1486" w:type="dxa"/>
            <w:tcBorders/>
            <w:shd w:fill="FFFFFF"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$200,000</w:t>
            </w:r>
          </w:p>
        </w:tc>
      </w:tr>
      <w:tr>
        <w:trPr/>
        <w:tc>
          <w:tcPr>
            <w:tcW w:w="543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186"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pPr>
            <w:r>
              <w:rPr/>
              <w:t> </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vAlign w:val="center"/>
          </w:tcPr>
          <w:p>
            <w:pPr>
              <w:pStyle w:val="TableContents"/>
              <w:bidi w:val="0"/>
              <w:spacing w:before="0" w:after="283"/>
              <w:jc w:val="center"/>
              <w:rPr/>
            </w:pPr>
            <w:r>
              <w:rPr/>
              <w:t> </w:t>
            </w:r>
          </w:p>
        </w:tc>
      </w:tr>
      <w:tr>
        <w:trPr/>
        <w:tc>
          <w:tcPr>
            <w:tcW w:w="5431" w:type="dxa"/>
            <w:tcBorders/>
            <w:shd w:fill="F2F2F2" w:val="cle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Merger-related transition expense</w:t>
            </w:r>
          </w:p>
        </w:tc>
        <w:tc>
          <w:tcPr>
            <w:tcW w:w="79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$7,069</w:t>
            </w:r>
          </w:p>
        </w:tc>
        <w:tc>
          <w:tcPr>
            <w:tcW w:w="1186"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+/-$7,000</w:t>
            </w:r>
          </w:p>
        </w:tc>
        <w:tc>
          <w:tcPr>
            <w:tcW w:w="1486" w:type="dxa"/>
            <w:tcBorders/>
            <w:shd w:fill="F2F2F2" w:val="cle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+/-$7,000</w:t>
            </w:r>
          </w:p>
        </w:tc>
      </w:tr>
      <w:tr>
        <w:trPr/>
        <w:tc>
          <w:tcPr>
            <w:tcW w:w="543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808080"/>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431" w:type="dxa"/>
            <w:tcBorders/>
            <w:shd w:fill="FFFFFF" w:val="clear"/>
            <w:vAlign w:val="center"/>
          </w:tcPr>
          <w:p>
            <w:pPr>
              <w:pStyle w:val="TableContents"/>
              <w:bidi w:val="0"/>
              <w:spacing w:before="0" w:after="283"/>
              <w:ind w:left="0" w:right="0" w:firstLine="80"/>
              <w:jc w:val="left"/>
              <w:rPr/>
            </w:pPr>
            <w:r>
              <w:rPr/>
              <w:t> </w:t>
            </w:r>
          </w:p>
        </w:tc>
        <w:tc>
          <w:tcPr>
            <w:tcW w:w="796" w:type="dxa"/>
            <w:tcBorders/>
            <w:shd w:fill="FFFFFF" w:val="clear"/>
            <w:vAlign w:val="center"/>
          </w:tcPr>
          <w:p>
            <w:pPr>
              <w:pStyle w:val="TableContents"/>
              <w:bidi w:val="0"/>
              <w:spacing w:before="0" w:after="283"/>
              <w:jc w:val="center"/>
              <w:rPr/>
            </w:pPr>
            <w:r>
              <w:rPr/>
              <w:t> </w:t>
            </w:r>
          </w:p>
        </w:tc>
        <w:tc>
          <w:tcPr>
            <w:tcW w:w="1186" w:type="dxa"/>
            <w:tcBorders/>
            <w:shd w:fill="FFFFFF" w:val="clear"/>
            <w:vAlign w:val="center"/>
          </w:tcPr>
          <w:p>
            <w:pPr>
              <w:pStyle w:val="TableContents"/>
              <w:bidi w:val="0"/>
              <w:spacing w:before="0" w:after="283"/>
              <w:jc w:val="center"/>
              <w:rPr/>
            </w:pPr>
            <w:r>
              <w:rPr/>
              <w:t> </w:t>
            </w:r>
          </w:p>
        </w:tc>
        <w:tc>
          <w:tcPr>
            <w:tcW w:w="1486" w:type="dxa"/>
            <w:tcBorders/>
            <w:shd w:fill="FFFFFF" w:val="clear"/>
            <w:vAlign w:val="center"/>
          </w:tcPr>
          <w:p>
            <w:pPr>
              <w:pStyle w:val="TableContents"/>
              <w:bidi w:val="0"/>
              <w:spacing w:before="0" w:after="283"/>
              <w:jc w:val="center"/>
              <w:rPr/>
            </w:pPr>
            <w:r>
              <w:rPr/>
              <w:t> </w:t>
            </w:r>
          </w:p>
        </w:tc>
      </w:tr>
    </w:tbl>
    <w:p>
      <w:pPr>
        <w:pStyle w:val="TextBody"/>
        <w:bidi w:val="0"/>
        <w:spacing w:before="60" w:after="283"/>
        <w:jc w:val="left"/>
        <w:rPr/>
      </w:pPr>
      <w:r>
        <w:rPr/>
        <w:t> </w:t>
      </w:r>
    </w:p>
    <w:tbl>
      <w:tblPr>
        <w:tblW w:w="7135" w:type="dxa"/>
        <w:jc w:val="left"/>
        <w:tblInd w:w="0" w:type="dxa"/>
        <w:tblLayout w:type="fixed"/>
        <w:tblCellMar>
          <w:top w:w="28" w:type="dxa"/>
          <w:left w:w="28" w:type="dxa"/>
          <w:bottom w:w="28" w:type="dxa"/>
          <w:right w:w="28" w:type="dxa"/>
        </w:tblCellMar>
      </w:tblPr>
      <w:tblGrid>
        <w:gridCol w:w="5236"/>
        <w:gridCol w:w="146"/>
        <w:gridCol w:w="541"/>
        <w:gridCol w:w="146"/>
        <w:gridCol w:w="1066"/>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Reconciliation of Net Income to Earnings Guidance </w:t>
            </w:r>
            <w:r>
              <w:rPr>
                <w:rFonts w:ascii="Tahoma;sans-serif" w:hAnsi="Tahoma;sans-serif"/>
                <w:color w:val="000000"/>
                <w:sz w:val="16"/>
              </w:rPr>
              <w:t>(per diluted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Full Year 2024</w:t>
            </w:r>
          </w:p>
        </w:tc>
      </w:tr>
      <w:tr>
        <w:trPr/>
        <w:tc>
          <w:tcPr>
            <w:tcW w:w="5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Low</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High</w:t>
            </w:r>
          </w:p>
        </w:tc>
      </w:tr>
      <w:tr>
        <w:trPr/>
        <w:tc>
          <w:tcPr>
            <w:tcW w:w="5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income attributable to common shareholders</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$2.13</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2.15</w:t>
            </w:r>
          </w:p>
        </w:tc>
      </w:tr>
      <w:tr>
        <w:trPr/>
        <w:tc>
          <w:tcPr>
            <w:tcW w:w="5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Adjustments to reconcile net income to Nareit FFO:</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center"/>
              <w:rPr/>
            </w:pPr>
            <w:r>
              <w:rPr/>
              <w:t> </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Depreciation and amortization (excluding FF&amp;E)</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2.32</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2.32</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Gain on sale of real estate, net of tax</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(0.19)</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(0.19)</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Exchangeable operating partnership units</w:t>
            </w:r>
          </w:p>
        </w:tc>
        <w:tc>
          <w:tcPr>
            <w:tcW w:w="146" w:type="dxa"/>
            <w:tcBorders/>
            <w:shd w:fill="FFFFFF" w:val="cle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rFonts w:ascii="Tahoma;sans-serif" w:hAnsi="Tahoma;sans-serif"/>
                <w:color w:val="000000"/>
                <w:sz w:val="16"/>
              </w:rPr>
            </w:pPr>
            <w:r>
              <w:rPr>
                <w:rFonts w:ascii="Tahoma;sans-serif" w:hAnsi="Tahoma;sans-serif"/>
                <w:color w:val="000000"/>
                <w:sz w:val="16"/>
              </w:rPr>
              <w:t>0.01</w:t>
            </w:r>
          </w:p>
        </w:tc>
      </w:tr>
      <w:tr>
        <w:trPr/>
        <w:tc>
          <w:tcPr>
            <w:tcW w:w="5236" w:type="dxa"/>
            <w:tcBorders/>
            <w:shd w:fill="FFFFFF" w:val="cle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Nareit Funds From Operations</w:t>
            </w:r>
          </w:p>
        </w:tc>
        <w:tc>
          <w:tcPr>
            <w:tcW w:w="146" w:type="dxa"/>
            <w:tcBorders/>
            <w:shd w:fill="FFFFFF" w:val="cle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4.29</w:t>
            </w:r>
          </w:p>
        </w:tc>
      </w:tr>
      <w:tr>
        <w:trPr/>
        <w:tc>
          <w:tcPr>
            <w:tcW w:w="5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Adjustments to reconcile Nareit FFO to Core Operating Earnings:</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Merger transition costs</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0.04</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0.04</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Loss on early extinguishment of debt</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0.00</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0.00</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Straight line rent, net</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(0.10)</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(0.10)</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Above/below market rent amortization, net</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(0.12)</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(0.12)</w:t>
            </w:r>
          </w:p>
        </w:tc>
      </w:tr>
      <w:tr>
        <w:trPr/>
        <w:tc>
          <w:tcPr>
            <w:tcW w:w="5236" w:type="dxa"/>
            <w:tcBorders/>
            <w:shd w:fill="FFFFFF" w:val="cle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Debt and derivative mark-to-market amortization</w:t>
            </w:r>
          </w:p>
        </w:tc>
        <w:tc>
          <w:tcPr>
            <w:tcW w:w="146" w:type="dxa"/>
            <w:tcBorders/>
            <w:shd w:fill="FFFFFF" w:val="cle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rFonts w:ascii="Tahoma;sans-serif" w:hAnsi="Tahoma;sans-serif"/>
                <w:color w:val="000000"/>
                <w:sz w:val="16"/>
              </w:rPr>
            </w:pPr>
            <w:r>
              <w:rPr>
                <w:rFonts w:ascii="Tahoma;sans-serif" w:hAnsi="Tahoma;sans-serif"/>
                <w:color w:val="000000"/>
                <w:sz w:val="16"/>
              </w:rPr>
              <w:t>0.03</w:t>
            </w:r>
          </w:p>
        </w:tc>
      </w:tr>
      <w:tr>
        <w:trPr/>
        <w:tc>
          <w:tcPr>
            <w:tcW w:w="5236" w:type="dxa"/>
            <w:tcBorders/>
            <w:shd w:fill="FFFFFF" w:val="cle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Core Operating Earnings</w:t>
            </w:r>
          </w:p>
        </w:tc>
        <w:tc>
          <w:tcPr>
            <w:tcW w:w="146" w:type="dxa"/>
            <w:tcBorders/>
            <w:shd w:fill="FFFFFF" w:val="cle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4.14</w:t>
            </w:r>
          </w:p>
        </w:tc>
      </w:tr>
    </w:tbl>
    <w:p>
      <w:pPr>
        <w:pStyle w:val="TextBody"/>
        <w:bidi w:val="0"/>
        <w:spacing w:before="180" w:after="283"/>
        <w:jc w:val="left"/>
        <w:rPr>
          <w:rFonts w:ascii="Tahoma;sans-serif" w:hAnsi="Tahoma;sans-serif"/>
          <w:color w:val="000000"/>
          <w:sz w:val="16"/>
        </w:rPr>
      </w:pPr>
      <w:r>
        <w:rPr>
          <w:rFonts w:ascii="Tahoma;sans-serif" w:hAnsi="Tahoma;sans-serif"/>
          <w:color w:val="000000"/>
          <w:sz w:val="16"/>
        </w:rPr>
        <w:t>Note: With the exception of per share and investment/transaction data, figures above represent 100% of Regency's consolidated entities and its pro-rata share of unconsolidated real estate partnerships.</w:t>
      </w:r>
    </w:p>
    <w:p>
      <w:pPr>
        <w:pStyle w:val="TextBody"/>
        <w:bidi w:val="0"/>
        <w:spacing w:before="60" w:after="283"/>
        <w:jc w:val="left"/>
        <w:rPr>
          <w:rFonts w:ascii="Tahoma" w:hAnsi="Tahoma"/>
          <w:color w:val="000000"/>
          <w:sz w:val="14"/>
        </w:rPr>
      </w:pPr>
      <w:r>
        <w:rPr>
          <w:rFonts w:ascii="Tahoma" w:hAnsi="Tahoma"/>
          <w:color w:val="000000"/>
          <w:sz w:val="14"/>
        </w:rPr>
        <w:t>(1)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Core Operating Earnings excludes certain non-cash items, including straight-line rents, above/below market rent amortization, debt and derivative mark-to-market amortization, as well as transaction related income/expenses and debt extinguishment charges.</w:t>
      </w:r>
    </w:p>
    <w:p>
      <w:pPr>
        <w:pStyle w:val="TextBody"/>
        <w:bidi w:val="0"/>
        <w:spacing w:before="60" w:after="283"/>
        <w:jc w:val="left"/>
        <w:rPr>
          <w:rFonts w:ascii="Tahoma" w:hAnsi="Tahoma"/>
          <w:color w:val="000000"/>
          <w:sz w:val="14"/>
        </w:rPr>
      </w:pPr>
      <w:r>
        <w:rPr>
          <w:rFonts w:ascii="Tahoma" w:hAnsi="Tahoma"/>
          <w:color w:val="000000"/>
          <w:sz w:val="14"/>
        </w:rPr>
        <w:t>(2)</w:t>
      </w:r>
    </w:p>
    <w:p>
      <w:pPr>
        <w:pStyle w:val="TextBody"/>
        <w:bidi w:val="0"/>
        <w:spacing w:before="60" w:after="283"/>
        <w:jc w:val="left"/>
        <w:rPr/>
      </w:pPr>
      <w:r>
        <w:rPr>
          <w:rFonts w:ascii="Tahoma;sans-serif" w:hAnsi="Tahoma;sans-serif"/>
          <w:b/>
          <w:color w:val="000000"/>
          <w:sz w:val="14"/>
        </w:rPr>
        <w:t>As of Q3 2024</w:t>
      </w:r>
      <w:r>
        <w:rPr>
          <w:rFonts w:ascii="Tahoma;sans-serif" w:hAnsi="Tahoma;sans-serif"/>
          <w:color w:val="000000"/>
          <w:sz w:val="14"/>
        </w:rPr>
        <w:t xml:space="preserve">, includes above and below market rent amortization and straight-line rents, and </w:t>
      </w:r>
      <w:r>
        <w:rPr>
          <w:rFonts w:ascii="Tahoma;sans-serif" w:hAnsi="Tahoma;sans-serif"/>
          <w:b/>
          <w:color w:val="000000"/>
          <w:sz w:val="14"/>
          <w:u w:val="single"/>
        </w:rPr>
        <w:t>excludes</w:t>
      </w:r>
      <w:r>
        <w:rPr>
          <w:color w:val="000000"/>
        </w:rPr>
        <w:t xml:space="preserve"> </w:t>
      </w:r>
      <w:r>
        <w:rPr>
          <w:rFonts w:ascii="Tahoma;sans-serif" w:hAnsi="Tahoma;sans-serif"/>
          <w:color w:val="000000"/>
          <w:sz w:val="14"/>
        </w:rPr>
        <w:t>debt and derivative mark to market amortization.</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Represents 'General &amp; administrative, net' before gains or losses on deferred compensation plan, as reported on supplemental pages 5 and 7 and calculated on a pro rata basis.</w:t>
      </w:r>
    </w:p>
    <w:p>
      <w:pPr>
        <w:pStyle w:val="TextBody"/>
        <w:bidi w:val="0"/>
        <w:spacing w:before="20" w:after="283"/>
        <w:jc w:val="left"/>
        <w:rPr>
          <w:rFonts w:ascii="Tahoma" w:hAnsi="Tahoma"/>
          <w:color w:val="000000"/>
          <w:sz w:val="14"/>
        </w:rPr>
      </w:pPr>
      <w:r>
        <w:rPr>
          <w:rFonts w:ascii="Tahoma" w:hAnsi="Tahoma"/>
          <w:color w:val="000000"/>
          <w:sz w:val="14"/>
        </w:rPr>
        <w:t>(4)</w:t>
      </w:r>
    </w:p>
    <w:p>
      <w:pPr>
        <w:pStyle w:val="TextBody"/>
        <w:bidi w:val="0"/>
        <w:spacing w:before="20" w:after="283"/>
        <w:jc w:val="left"/>
        <w:rPr/>
      </w:pPr>
      <w:r>
        <w:rPr>
          <w:rFonts w:ascii="Tahoma;sans-serif" w:hAnsi="Tahoma;sans-serif"/>
          <w:b/>
          <w:color w:val="000000"/>
          <w:sz w:val="14"/>
        </w:rPr>
        <w:t>As of Q3 2024</w:t>
      </w:r>
      <w:r>
        <w:rPr>
          <w:rFonts w:ascii="Tahoma;sans-serif" w:hAnsi="Tahoma;sans-serif"/>
          <w:color w:val="000000"/>
          <w:sz w:val="14"/>
        </w:rPr>
        <w:t xml:space="preserve">, </w:t>
      </w:r>
      <w:r>
        <w:rPr>
          <w:rFonts w:ascii="Tahoma;sans-serif" w:hAnsi="Tahoma;sans-serif"/>
          <w:b/>
          <w:color w:val="000000"/>
          <w:sz w:val="14"/>
          <w:u w:val="single"/>
        </w:rPr>
        <w:t>includes</w:t>
      </w:r>
      <w:r>
        <w:rPr>
          <w:color w:val="000000"/>
        </w:rPr>
        <w:t xml:space="preserve"> </w:t>
      </w:r>
      <w:r>
        <w:rPr>
          <w:rFonts w:ascii="Tahoma;sans-serif" w:hAnsi="Tahoma;sans-serif"/>
          <w:color w:val="000000"/>
          <w:sz w:val="14"/>
        </w:rPr>
        <w:t>debt and derivative mark to market amortization, and is net of interest income.</w:t>
      </w:r>
    </w:p>
    <w:p>
      <w:pPr>
        <w:pStyle w:val="TextBody"/>
        <w:bidi w:val="0"/>
        <w:spacing w:before="60" w:after="283"/>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Forward-looking statements involve risks, uncertainties and assumptions. Actual future performance, outcomes and results may differ materially from those expressed in forward-looking statements. Please refer to the documents filed by Regency Centers Corporation with the SEC, specifically the most recent reports on forms 10-K and 10-Q, which identify important risk factors which could cause actual results to differ from those contained in the forward-looking statements.</w:t>
      </w:r>
    </w:p>
    <w:p>
      <w:pPr>
        <w:pStyle w:val="TextBody"/>
        <w:bidi w:val="0"/>
        <w:jc w:val="left"/>
        <w:rPr/>
      </w:pPr>
      <w:r>
        <w:rPr/>
        <w:drawing>
          <wp:inline distT="0" distB="0" distL="0" distR="0">
            <wp:extent cx="476250" cy="2571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18"/>
        </w:rPr>
      </w:pPr>
      <w:bookmarkStart w:id="37" w:name="glossary"/>
      <w:bookmarkEnd w:id="37"/>
      <w:r>
        <w:rPr>
          <w:rFonts w:ascii="Tahoma;sans-serif" w:hAnsi="Tahoma;sans-serif"/>
          <w:b/>
          <w:color w:val="000000"/>
          <w:sz w:val="18"/>
        </w:rPr>
        <w:t>Glossary of Terms</w:t>
      </w:r>
    </w:p>
    <w:p>
      <w:pPr>
        <w:pStyle w:val="TextBody"/>
        <w:bidi w:val="0"/>
        <w:jc w:val="center"/>
        <w:rPr>
          <w:rFonts w:ascii="Tahoma;sans-serif" w:hAnsi="Tahoma;sans-serif"/>
          <w:color w:val="000000"/>
          <w:sz w:val="18"/>
        </w:rPr>
      </w:pPr>
      <w:r>
        <w:rPr>
          <w:rFonts w:ascii="Tahoma;sans-serif" w:hAnsi="Tahoma;sans-serif"/>
          <w:color w:val="000000"/>
          <w:sz w:val="18"/>
        </w:rPr>
        <w:t>September 30, 2024</w:t>
      </w:r>
    </w:p>
    <w:p>
      <w:pPr>
        <w:pStyle w:val="TextBody"/>
        <w:bidi w:val="0"/>
        <w:jc w:val="center"/>
        <w:rPr/>
      </w:pPr>
      <w:r>
        <w:rPr/>
        <w:t> </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 xml:space="preserve">Adjusted Funds From Operations (AFFO): </w:t>
      </w:r>
      <w:r>
        <w:rPr>
          <w:rFonts w:ascii="Tahoma;sans-serif" w:hAnsi="Tahoma;sans-serif"/>
          <w:color w:val="000000"/>
          <w:sz w:val="18"/>
        </w:rPr>
        <w:t>An additional performance measure used by Regency that reflects cash available to fund the Company’s business needs and distribution to shareholders. AFFO is calculated by adjusting Core Operating Earnings for (i) capital expenditures necessary to maintain and lease the Company’s portfolio of properties, (ii) debt cost and derivative adjustments and (iii) stock-based compensation.</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Core Operating Earnings:</w:t>
      </w:r>
      <w:r>
        <w:rPr>
          <w:rFonts w:ascii="Times New Roman" w:hAnsi="Times New Roman"/>
          <w:color w:val="000000"/>
          <w:sz w:val="20"/>
        </w:rPr>
        <w:t xml:space="preserve"> </w:t>
      </w:r>
      <w:r>
        <w:rPr>
          <w:rFonts w:ascii="Tahoma;sans-serif" w:hAnsi="Tahoma;sans-serif"/>
          <w:color w:val="000000"/>
          <w:sz w:val="18"/>
        </w:rPr>
        <w:t>An additional performance measure used by Regency because the computation of Nareit FFO includes certain non-comparable items that affect the Company's period-over-period performance. 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 The Company provides a reconciliation of Net Income Attributable to Common Shareholders to Nareit FFO to Core Operating Earnings.</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Development Completion</w:t>
      </w:r>
      <w:r>
        <w:rPr>
          <w:rFonts w:ascii="Tahoma;sans-serif" w:hAnsi="Tahoma;sans-serif"/>
          <w:b/>
          <w:color w:val="000000"/>
          <w:sz w:val="18"/>
        </w:rPr>
        <w:t>:</w:t>
      </w:r>
      <w:r>
        <w:rPr>
          <w:rFonts w:ascii="Times New Roman" w:hAnsi="Times New Roman"/>
          <w:color w:val="000000"/>
          <w:sz w:val="20"/>
        </w:rPr>
        <w:t xml:space="preserve"> </w:t>
      </w:r>
      <w:r>
        <w:rPr>
          <w:rFonts w:ascii="Tahoma;sans-serif" w:hAnsi="Tahoma;sans-serif"/>
          <w:color w:val="000000"/>
          <w:sz w:val="18"/>
        </w:rPr>
        <w:t>A Property in Development is deemed complete upon the earlier of (i) 90% of total estimated net development costs have been incurred and percent leased equals or exceeds 95%, or (ii) the property features at least two years of anchor operations. Once deemed complete, the property is termed a Retail Operating Property.</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Fixed Charge Coverage Ratio:</w:t>
      </w:r>
      <w:r>
        <w:rPr>
          <w:rFonts w:ascii="Times New Roman" w:hAnsi="Times New Roman"/>
          <w:color w:val="000000"/>
          <w:sz w:val="20"/>
        </w:rPr>
        <w:t xml:space="preserve"> </w:t>
      </w:r>
      <w:r>
        <w:rPr>
          <w:rFonts w:ascii="Tahoma;sans-serif" w:hAnsi="Tahoma;sans-serif"/>
          <w:color w:val="000000"/>
          <w:sz w:val="18"/>
        </w:rPr>
        <w:t>Operating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divided by the sum of the gross interest and scheduled mortgage principal paid to our lenders.</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Nareit Funds From Operations (Nareit FFO):</w:t>
      </w:r>
      <w:r>
        <w:rPr>
          <w:rFonts w:ascii="Times New Roman" w:hAnsi="Times New Roman"/>
          <w:color w:val="000000"/>
          <w:sz w:val="20"/>
        </w:rPr>
        <w:t xml:space="preserve"> </w:t>
      </w:r>
      <w:r>
        <w:rPr>
          <w:rFonts w:ascii="Tahoma;sans-serif" w:hAnsi="Tahoma;sans-serif"/>
          <w:color w:val="000000"/>
          <w:sz w:val="18"/>
        </w:rPr>
        <w:t>Nareit FFO is a commonly used measure of REIT performance, which the National Association of Real Estate Investment Trusts (“Nareit”) defines as net income, computed in accordance with GAAP, excluding gains on sales and impairments of real estate, net of tax, plus depreciation and amortization, and after adjustments for unconsolidated partnerships and joint ventures. Regency computes Nareit FFO for all periods presented in accordance with Nareit's definition. Many companies use different depreciable lives and methods, and real estate values historically fluctuate with market conditions. Since Nareit FFO excludes depreciation and amortization and gains on sale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Shareholders to Nareit FFO.</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Net Operating Income (NOI):</w:t>
      </w:r>
      <w:r>
        <w:rPr>
          <w:rFonts w:ascii="Times New Roman" w:hAnsi="Times New Roman"/>
          <w:color w:val="000000"/>
          <w:sz w:val="20"/>
        </w:rPr>
        <w:t xml:space="preserve"> </w:t>
      </w:r>
      <w:r>
        <w:rPr>
          <w:rFonts w:ascii="Tahoma;sans-serif" w:hAnsi="Tahoma;sans-serif"/>
          <w:color w:val="000000"/>
          <w:sz w:val="18"/>
        </w:rPr>
        <w:t>The sum of base rent, percentage rent, recoveries from tenants, other lease income, and other property income, less operating and maintenance expenses, real estate taxes, ground rent, and uncollectible lease income. NOI excludes straight-line rental income and expense, above and below market rent and ground rent amortization, tenant lease inducement amortization, and other fees. The Company also provides disclosure of NOI excluding termination fees, which excludes both termination fee income and expenses.</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Non-Same Property:</w:t>
      </w:r>
      <w:r>
        <w:rPr>
          <w:rFonts w:ascii="Times New Roman" w:hAnsi="Times New Roman"/>
          <w:color w:val="000000"/>
          <w:sz w:val="20"/>
        </w:rPr>
        <w:t xml:space="preserve"> </w:t>
      </w:r>
      <w:r>
        <w:rPr>
          <w:rFonts w:ascii="Tahoma;sans-serif" w:hAnsi="Tahoma;sans-serif"/>
          <w:color w:val="000000"/>
          <w:sz w:val="18"/>
        </w:rPr>
        <w:t>During either calendar year period being compared, a property acquired, sold, a Property in Development, a Development Completion, or a property under, or being positioned for, significant redevelopment that distorts comparability between periods. Non-retail properties and corporate activities, including the captive insurance program, are part of Non-Same Property. Please refer to the footnote on Property Summary Report for Non-Same Property detail.</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Operating EBITDA</w:t>
      </w:r>
      <w:r>
        <w:rPr>
          <w:rFonts w:ascii="Tahoma;sans-serif" w:hAnsi="Tahoma;sans-serif"/>
          <w:b/>
          <w:i/>
          <w:color w:val="000000"/>
          <w:sz w:val="18"/>
          <w:u w:val="single"/>
        </w:rPr>
        <w:t>re</w:t>
      </w:r>
      <w:r>
        <w:rPr>
          <w:rFonts w:ascii="Tahoma;sans-serif" w:hAnsi="Tahoma;sans-serif"/>
          <w:b/>
          <w:color w:val="000000"/>
          <w:sz w:val="18"/>
          <w:u w:val="single"/>
        </w:rPr>
        <w:t>:</w:t>
      </w:r>
      <w:r>
        <w:rPr>
          <w:rFonts w:ascii="Times New Roman" w:hAnsi="Times New Roman"/>
          <w:color w:val="000000"/>
          <w:sz w:val="20"/>
        </w:rPr>
        <w:t xml:space="preserve"> </w:t>
      </w:r>
      <w:r>
        <w:rPr>
          <w:rFonts w:ascii="Tahoma;sans-serif" w:hAnsi="Tahoma;sans-serif"/>
          <w:color w:val="000000"/>
          <w:sz w:val="18"/>
        </w:rPr>
        <w:t>Nareit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is a measure of REIT performance, which the Nareit defines as net income, computed in accordance with GAAP, excluding (i) interest expense; (ii) income tax expense; (iii) depreciation and amortization; (iv) gains on sales of real estate; (v) impairments of real estate; and (vi) adjustments to reflect the Company’s share of unconsolidated partnerships and joint ventures. Operating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excludes from Nareit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certain non-cash components of earnings derived from straight-line rents and above and below market rent amortization. The Company provides a reconciliation of Net Income to Nareit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to Operating EBITDA</w:t>
      </w:r>
      <w:r>
        <w:rPr>
          <w:rFonts w:ascii="Tahoma;sans-serif" w:hAnsi="Tahoma;sans-serif"/>
          <w:i/>
          <w:color w:val="000000"/>
          <w:sz w:val="18"/>
        </w:rPr>
        <w:t>re</w:t>
      </w:r>
      <w:r>
        <w:rPr>
          <w:rFonts w:ascii="Tahoma;sans-serif" w:hAnsi="Tahoma;sans-serif"/>
          <w:color w:val="000000"/>
          <w:sz w:val="18"/>
        </w:rPr>
        <w:t>.</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Pro-rata information:</w:t>
      </w:r>
      <w:r>
        <w:rPr>
          <w:rFonts w:ascii="Times New Roman" w:hAnsi="Times New Roman"/>
          <w:color w:val="000000"/>
          <w:sz w:val="20"/>
        </w:rPr>
        <w:t xml:space="preserve"> </w:t>
      </w:r>
      <w:r>
        <w:rPr>
          <w:rFonts w:ascii="Tahoma;sans-serif" w:hAnsi="Tahoma;sans-serif"/>
          <w:color w:val="000000"/>
          <w:sz w:val="18"/>
        </w:rPr>
        <w:t>includes 100% of our consolidated properties plus our economic share (based on our ownership interest) in our unconsolidated real estate investment partnerships. We provide Pro-rata financial information because we believe it assists investors and analysts in estimating our economic interest in our consolidated and unconsolidated partnerships, when read in conjunction with our reported results under GAAP. We believe presenting our Pro-rata share of assets, liabilities, operating results, and other metrics, along with certain other non-GAAP measures, makes comparisons of our operating results to those of other REITs more meaningful. The Pro-rata information provided is not, nor is it intended to be, presented in accordance with GAAP. The Pro-rata supplemental details of assets and liabilities and supplemental details of operations reflect our proportionate economic ownership of the assets, liabilities, and operating results of the properties in our portfolio.</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ahoma;sans-serif" w:hAnsi="Tahoma;sans-serif"/>
          <w:color w:val="000000"/>
          <w:sz w:val="18"/>
        </w:rPr>
        <w:t>The Pro-rata information is prepared on a basis consistent with the comparable consolidated amounts and is intended to more accurately reflect our proportionate economic interest in the assets, liabilities, and operating results of properties in our portfolio. We do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Our share of invested capital establishes the ownership interests we use to prepare our Pro-rata share.</w:t>
      </w:r>
      <w:r>
        <w:rPr>
          <w:rFonts w:ascii="Times New Roman" w:hAnsi="Times New Roman"/>
          <w:color w:val="000000"/>
          <w:sz w:val="20"/>
        </w:rPr>
        <w:t xml:space="preserve"> </w:t>
      </w:r>
    </w:p>
    <w:p>
      <w:pPr>
        <w:pStyle w:val="TextBody"/>
        <w:bidi w:val="0"/>
        <w:jc w:val="left"/>
        <w:rPr/>
      </w:pPr>
      <w:r>
        <w:rPr/>
        <w:drawing>
          <wp:inline distT="0" distB="0" distL="0" distR="0">
            <wp:extent cx="476250" cy="2571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ahoma;sans-serif" w:hAnsi="Tahoma;sans-serif"/>
          <w:color w:val="000000"/>
          <w:sz w:val="18"/>
        </w:rPr>
        <w:t>The presentation of Pro-rata information has limitations which include, but are not limited to, the following:</w:t>
      </w:r>
      <w:r>
        <w:rPr>
          <w:rFonts w:ascii="Times New Roman" w:hAnsi="Times New Roman"/>
          <w:color w:val="000000"/>
          <w:sz w:val="20"/>
        </w:rPr>
        <w:t xml:space="preserve"> </w:t>
      </w:r>
    </w:p>
    <w:p>
      <w:pPr>
        <w:pStyle w:val="TextBody"/>
        <w:bidi w:val="0"/>
        <w:spacing w:before="60" w:after="283"/>
        <w:jc w:val="left"/>
        <w:rPr>
          <w:color w:val="000000"/>
        </w:rPr>
      </w:pPr>
      <w:r>
        <w:rPr>
          <w:color w:val="000000"/>
        </w:rPr>
        <w:t>•</w:t>
      </w:r>
    </w:p>
    <w:p>
      <w:pPr>
        <w:pStyle w:val="TextBody"/>
        <w:bidi w:val="0"/>
        <w:spacing w:before="60" w:after="283"/>
        <w:jc w:val="left"/>
        <w:rPr>
          <w:rFonts w:ascii="Tahoma;sans-serif" w:hAnsi="Tahoma;sans-serif"/>
          <w:color w:val="000000"/>
          <w:sz w:val="18"/>
        </w:rPr>
      </w:pPr>
      <w:r>
        <w:rPr>
          <w:rFonts w:ascii="Tahoma;sans-serif" w:hAnsi="Tahoma;sans-serif"/>
          <w:color w:val="000000"/>
          <w:sz w:val="18"/>
        </w:rPr>
        <w:t xml:space="preserve">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 </w:t>
      </w:r>
    </w:p>
    <w:p>
      <w:pPr>
        <w:pStyle w:val="TextBody"/>
        <w:bidi w:val="0"/>
        <w:spacing w:before="60" w:after="283"/>
        <w:jc w:val="left"/>
        <w:rPr>
          <w:color w:val="000000"/>
        </w:rPr>
      </w:pPr>
      <w:r>
        <w:rPr>
          <w:color w:val="000000"/>
        </w:rPr>
        <w:t>•</w:t>
      </w:r>
    </w:p>
    <w:p>
      <w:pPr>
        <w:pStyle w:val="TextBody"/>
        <w:bidi w:val="0"/>
        <w:spacing w:before="60" w:after="283"/>
        <w:jc w:val="left"/>
        <w:rPr>
          <w:rFonts w:ascii="Tahoma;sans-serif" w:hAnsi="Tahoma;sans-serif"/>
          <w:color w:val="000000"/>
          <w:sz w:val="18"/>
        </w:rPr>
      </w:pPr>
      <w:r>
        <w:rPr>
          <w:rFonts w:ascii="Tahoma;sans-serif" w:hAnsi="Tahoma;sans-serif"/>
          <w:color w:val="000000"/>
          <w:sz w:val="18"/>
        </w:rPr>
        <w:t xml:space="preserve">Other companies in our industry may calculate their Pro-rata interest differently, limiting the comparability of Pro-rata information. </w:t>
      </w:r>
    </w:p>
    <w:p>
      <w:pPr>
        <w:pStyle w:val="TextBody"/>
        <w:bidi w:val="0"/>
        <w:spacing w:before="180" w:after="283"/>
        <w:jc w:val="left"/>
        <w:rPr>
          <w:rFonts w:ascii="Tahoma;sans-serif" w:hAnsi="Tahoma;sans-serif"/>
          <w:color w:val="000000"/>
          <w:sz w:val="18"/>
        </w:rPr>
      </w:pPr>
      <w:r>
        <w:rPr>
          <w:rFonts w:ascii="Tahoma;sans-serif" w:hAnsi="Tahoma;sans-serif"/>
          <w:color w:val="000000"/>
          <w:sz w:val="18"/>
        </w:rPr>
        <w:t>Because of these limitations, the Pro-rata financial information should not be considered independently or as a substitute for our financial statements as reported under GAAP. We compensate for these limitations by relying primarily on our GAAP financial statements, using the Pro-rata information as a supplement.</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Property In Development:</w:t>
      </w:r>
      <w:r>
        <w:rPr>
          <w:rFonts w:ascii="Times New Roman" w:hAnsi="Times New Roman"/>
          <w:color w:val="000000"/>
          <w:sz w:val="20"/>
        </w:rPr>
        <w:t xml:space="preserve"> </w:t>
      </w:r>
      <w:r>
        <w:rPr>
          <w:rFonts w:ascii="Tahoma;sans-serif" w:hAnsi="Tahoma;sans-serif"/>
          <w:color w:val="000000"/>
          <w:sz w:val="18"/>
        </w:rPr>
        <w:t>Properties in various stages of ground-up development.</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Property In Redevelopment:</w:t>
      </w:r>
      <w:r>
        <w:rPr>
          <w:rFonts w:ascii="Times New Roman" w:hAnsi="Times New Roman"/>
          <w:color w:val="000000"/>
          <w:sz w:val="20"/>
        </w:rPr>
        <w:t xml:space="preserve"> </w:t>
      </w:r>
      <w:r>
        <w:rPr>
          <w:rFonts w:ascii="Tahoma;sans-serif" w:hAnsi="Tahoma;sans-serif"/>
          <w:color w:val="000000"/>
          <w:sz w:val="18"/>
        </w:rPr>
        <w:t>Retail Operating Properties under redevelopment or being positioned for redevelopment. Unless otherwise indicated, a Property in Redevelopment is included in the Same Property pool.</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Retail Operating Property:</w:t>
      </w:r>
      <w:r>
        <w:rPr>
          <w:rFonts w:ascii="Times New Roman" w:hAnsi="Times New Roman"/>
          <w:color w:val="000000"/>
          <w:sz w:val="20"/>
        </w:rPr>
        <w:t xml:space="preserve"> </w:t>
      </w:r>
      <w:r>
        <w:rPr>
          <w:rFonts w:ascii="Tahoma;sans-serif" w:hAnsi="Tahoma;sans-serif"/>
          <w:color w:val="000000"/>
          <w:sz w:val="18"/>
        </w:rPr>
        <w:t>Any retail property not termed a Property In Development. A retail property is any property where the majority of the income is generated from retail uses.</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Redevelopment Completion:</w:t>
      </w:r>
      <w:r>
        <w:rPr>
          <w:rFonts w:ascii="Times New Roman" w:hAnsi="Times New Roman"/>
          <w:color w:val="000000"/>
          <w:sz w:val="20"/>
        </w:rPr>
        <w:t xml:space="preserve"> </w:t>
      </w:r>
      <w:r>
        <w:rPr>
          <w:rFonts w:ascii="Tahoma;sans-serif" w:hAnsi="Tahoma;sans-serif"/>
          <w:color w:val="000000"/>
          <w:sz w:val="18"/>
        </w:rPr>
        <w:t>A Property in Redevelopment is deemed complete upon the earlier of (i) 90% of total estimated project costs have been incurred and percent leased equals or exceeds 95% for the company owned GLA related to the project, or (ii) the property features at least two years of anchor operations, if applicable.</w:t>
      </w:r>
    </w:p>
    <w:p>
      <w:pPr>
        <w:pStyle w:val="TextBody"/>
        <w:bidi w:val="0"/>
        <w:spacing w:before="180" w:after="283"/>
        <w:jc w:val="left"/>
        <w:rPr>
          <w:rFonts w:ascii="Times New Roman" w:hAnsi="Times New Roman"/>
          <w:sz w:val="20"/>
        </w:rPr>
      </w:pPr>
      <w:r>
        <w:rPr>
          <w:rFonts w:ascii="Tahoma;sans-serif" w:hAnsi="Tahoma;sans-serif"/>
          <w:b/>
          <w:color w:val="000000"/>
          <w:sz w:val="18"/>
          <w:u w:val="single"/>
        </w:rPr>
        <w:t>Same Property:</w:t>
      </w:r>
      <w:r>
        <w:rPr>
          <w:rFonts w:ascii="Times New Roman" w:hAnsi="Times New Roman"/>
          <w:color w:val="000000"/>
          <w:sz w:val="20"/>
        </w:rPr>
        <w:t xml:space="preserve"> </w:t>
      </w:r>
      <w:r>
        <w:rPr>
          <w:rFonts w:ascii="Tahoma;sans-serif" w:hAnsi="Tahoma;sans-serif"/>
          <w:color w:val="000000"/>
          <w:sz w:val="18"/>
        </w:rPr>
        <w:t>Retail Operating Properties that were owned and operated for the entirety of both calendar year periods being compared. This term excludes Property in Development, prior year Development Completions, and Non-Same Properties. Property in Redevelopment is included unless otherwise indicated.</w:t>
      </w:r>
    </w:p>
    <w:p>
      <w:pPr>
        <w:pStyle w:val="TextBody"/>
        <w:bidi w:val="0"/>
        <w:jc w:val="left"/>
        <w:rPr/>
      </w:pPr>
      <w:r>
        <w:rPr/>
        <w:drawing>
          <wp:inline distT="0" distB="0" distL="0" distR="0">
            <wp:extent cx="476250" cy="2571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41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reg-ex99_3.htm"/>
      <w:bookmarkStart w:id="39" w:name="ksregex99_3"/>
      <w:bookmarkEnd w:id="38"/>
      <w:bookmarkEnd w:id="39"/>
      <w:r>
        <w:rPr>
          <w:rFonts w:ascii="Times New Roman" w:hAnsi="Times New Roman"/>
          <w:b/>
          <w:color w:val="000000"/>
          <w:sz w:val="20"/>
        </w:rPr>
        <w:t>Exhibit 99.3</w:t>
      </w:r>
      <w:r>
        <w:br w:type="page"/>
      </w:r>
    </w:p>
    <w:p>
      <w:pPr>
        <w:pStyle w:val="TextBody"/>
        <w:bidi w:val="0"/>
        <w:spacing w:before="0" w:after="160"/>
        <w:jc w:val="left"/>
        <w:rPr/>
      </w:pPr>
      <w:r>
        <w:rPr/>
        <w:drawing>
          <wp:inline distT="0" distB="0" distL="0" distR="0">
            <wp:extent cx="8620125" cy="64674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620125" cy="6467475"/>
                    </a:xfrm>
                    <a:prstGeom prst="rect">
                      <a:avLst/>
                    </a:prstGeom>
                  </pic:spPr>
                </pic:pic>
              </a:graphicData>
            </a:graphic>
          </wp:inline>
        </w:drawing>
      </w:r>
      <w:r>
        <w:rPr>
          <w:color w:val="FFFFFF"/>
        </w:rPr>
        <w:t xml:space="preserve"> </w:t>
      </w:r>
      <w:r>
        <w:rPr>
          <w:rFonts w:ascii="Calibri;sans-serif" w:hAnsi="Calibri;sans-serif"/>
          <w:color w:val="FFFFFF"/>
          <w:sz w:val="2"/>
        </w:rPr>
        <w:t>THIRD QUARTER2024 Fixed Income Supplemental Regencypreston oaks dallas, TX Shoppes of Kildaire Raleigh, NC the crossing clarendon Arlington, VA Buckhead Station Atlanta, East San Marco, Jacksonville, FL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8963025" cy="67246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8963025" cy="6724650"/>
                    </a:xfrm>
                    <a:prstGeom prst="rect">
                      <a:avLst/>
                    </a:prstGeom>
                  </pic:spPr>
                </pic:pic>
              </a:graphicData>
            </a:graphic>
          </wp:inline>
        </w:drawing>
      </w:r>
      <w:r>
        <w:rPr>
          <w:color w:val="FFFFFF"/>
        </w:rPr>
        <w:t xml:space="preserve"> </w:t>
      </w:r>
      <w:r>
        <w:rPr>
          <w:rFonts w:ascii="Calibri;sans-serif" w:hAnsi="Calibri;sans-serif"/>
          <w:color w:val="FFFFFF"/>
          <w:sz w:val="2"/>
        </w:rPr>
        <w:t>Highlights Third Quarter</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Calibri;sans-serif" w:hAnsi="Calibri;sans-serif"/>
          <w:color w:val="FFFFFF"/>
          <w:sz w:val="2"/>
        </w:rPr>
        <w:t>2024Reported Nareit FFO of $1.07 per diluted share and Core Operating Earnings of $1.03 per diluted shareRaised 2024 Nareit FFO guidance to a range of $4.27 to $4.29 per diluted share and 2024 Core Operating Earnings guidance to a range of $4.12 to $4.14 per diluted shareThe midpoint of 2024 Core Operating Earnings guidance represents more than 5% year-over-year growth, excluding the collection of receivables reserved during 2020-2021Increased Same Property NOI for the third quarter by 4.9% year-over-year, excluding lease termination fees and the collection of receivables reserved during 2020 and 2021Increased Same Property percent leased by 20 basis points sequentially and 80 basis points year-over-year to 96.1%Increased Same Property shop percent leased by 20 basis points sequentially and 50 basis points year-over-year to a new record high of 93.7%Executed 1.8 million square feet of comparable new and renewal leases at blended rent spreads of +9.3% on a cash basis and +20.7% on a straight-lined basisStarted more than $100 million of new development and redevelopment projects, bringing year-to-date total project starts to $220 millionStarted two new grocery-anchored ground-up development projects, Jordan Ranch Market in Houston, Texas, and Oakley Shops at Laurel Fields in the Bay AreaAs of September 30, 2024, Regency's in-process development and redevelopment projects had estimated net project costs of $618 millionAcquired two grocery-anchored shopping centers, one subsequent to quarter end, for a total of $47 million at Regency's sharePriced a public offering of $325 million of senior unsecured notes due January 2035, with a coupon of 5.1%Pro-rata net debt and preferred stock to operating EBITDAre at September 30, 2024 was 5.2x2</w:t>
      </w:r>
      <w:r>
        <w:rPr>
          <w:rFonts w:ascii="Times New Roman" w:hAnsi="Times New Roman"/>
          <w:sz w:val="20"/>
        </w:rPr>
        <w:drawing>
          <wp:inline distT="0" distB="0" distL="0" distR="0">
            <wp:extent cx="8715375" cy="65436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8715375" cy="6543675"/>
                    </a:xfrm>
                    <a:prstGeom prst="rect">
                      <a:avLst/>
                    </a:prstGeom>
                  </pic:spPr>
                </pic:pic>
              </a:graphicData>
            </a:graphic>
          </wp:inline>
        </w:drawing>
      </w:r>
      <w:r>
        <w:rPr>
          <w:rFonts w:ascii="Times New Roman" w:hAnsi="Times New Roman"/>
          <w:color w:val="FFFFFF"/>
          <w:sz w:val="20"/>
        </w:rPr>
        <w:t xml:space="preserve"> </w:t>
      </w:r>
      <w:r>
        <w:rPr>
          <w:rFonts w:ascii="Calibri;sans-serif" w:hAnsi="Calibri;sans-serif"/>
          <w:color w:val="FFFFFF"/>
          <w:sz w:val="2"/>
        </w:rPr>
        <w:t>Credit Ratings &amp;Select RatiosCredit RatingsAgencyCredit RatingOutlookLast Review DateS&amp;PBBB+Positive5/16/24Moody'sA3Stable2/28/24i.For a complete listing of all Debt Covenants related to the Company’s Senior Unsecured Notes, as well as definitions of the above terms, please refer to the Company’s filings with the Securities and Exchange Commission.ii.Current period debt covenants are finalized and submitted after the Company’s most recent Form 10-Q or Form 10-K filing.3Unsecured Public Debt CovenantsRequired9/30/20246/30/20243/31/202412/31/2023Fair Market Value Calculation Method Covenants(i)(ii)Total Consolidated Debt to Total Consolidated Assets≤ 65%27%27%27%26%Secured Consolidated Debt to Total Consolidated Assets≤ 40%4%4%5%5%Consolidated Income for Debt Service to Consolidated Debt Service≥ 1.5x4.9x4.8x4.9x5.6xUnencumbered Consolidated Assets to Unsecured Consolidated Debt&gt;150%397%394%398%420%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8705850" cy="65341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8705850" cy="6534150"/>
                    </a:xfrm>
                    <a:prstGeom prst="rect">
                      <a:avLst/>
                    </a:prstGeom>
                  </pic:spPr>
                </pic:pic>
              </a:graphicData>
            </a:graphic>
          </wp:inline>
        </w:drawing>
      </w:r>
      <w:r>
        <w:rPr>
          <w:color w:val="FFFFFF"/>
        </w:rPr>
        <w:t xml:space="preserve"> </w:t>
      </w:r>
      <w:r>
        <w:rPr>
          <w:rFonts w:ascii="Calibri;sans-serif" w:hAnsi="Calibri;sans-serif"/>
          <w:color w:val="FFFFFF"/>
          <w:sz w:val="2"/>
        </w:rPr>
        <w:t>Capital Structure &amp; Liquidity Profile26%&lt;1%73%Secured Fixed RateSecured Variable RateUnsecured Debt - BondsLiquidity Profile ($ millions)Unsecured Credit Facility - Committed1,500 Balance Outstanding(30) Undrawn Portion of Credit Facility1,470 Cash, Cash Equivalents &amp; marketable Securities115 Total Liquidity1,585 9/30/202473%19%4%3%1%&lt;1%EquityUnsecured Debt - BondsConsolidated Debt - SecuredUnconsolidated Debt - SecuredPreferred EquityCredit Facilities25%75%SecuredUnsecuredCapital Structure(% of total capitalization)Debt CompositionPro-RataSecuredvs.Unsecured4$18.0 BillionTotal Capitalization26%&lt;1%73%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8353425" cy="62674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8353425" cy="6267450"/>
                    </a:xfrm>
                    <a:prstGeom prst="rect">
                      <a:avLst/>
                    </a:prstGeom>
                  </pic:spPr>
                </pic:pic>
              </a:graphicData>
            </a:graphic>
          </wp:inline>
        </w:drawing>
      </w:r>
    </w:p>
    <w:p>
      <w:pPr>
        <w:pStyle w:val="TextBody"/>
        <w:bidi w:val="0"/>
        <w:spacing w:before="0" w:after="160"/>
        <w:jc w:val="left"/>
        <w:rPr>
          <w:rFonts w:ascii="Times New Roman" w:hAnsi="Times New Roman"/>
          <w:sz w:val="20"/>
        </w:rPr>
      </w:pPr>
      <w:r>
        <w:rPr>
          <w:rFonts w:ascii="Calibri;sans-serif" w:hAnsi="Calibri;sans-serif"/>
          <w:color w:val="FFFFFF"/>
          <w:sz w:val="2"/>
        </w:rPr>
        <w:t xml:space="preserve">A Well-Laddered Maturity SchedulePro Rata Debt Maturity Profile as of September 30, 2024Regency aims to have &lt; 15% of total debt maturing in any given yearWtd Avg Interest Rate: 4.1%Wtd Avg Yrs to Maturity: 7.2 YearsTotal Pro Rata Debt: $5.0B5in $ millions $900$800 $768$700 $675$600 ·- $500 $452 $509 E $415 $425 C $400$300 $350 $325 $300 $200 $178$100 $34 $102 $0 ---2024 2046 </w:t>
      </w:r>
      <w:r>
        <w:rPr>
          <w:rFonts w:ascii="Times New Roman" w:hAnsi="Times New Roman"/>
          <w:color w:val="FFFFFF"/>
          <w:sz w:val="20"/>
        </w:rPr>
        <w:t xml:space="preserve">■ </w:t>
      </w:r>
      <w:r>
        <w:rPr>
          <w:rFonts w:ascii="Calibri;sans-serif" w:hAnsi="Calibri;sans-serif"/>
          <w:color w:val="FFFFFF"/>
          <w:sz w:val="2"/>
        </w:rPr>
        <w:t xml:space="preserve">Unsecured Debt - Bonds </w:t>
      </w:r>
      <w:r>
        <w:rPr>
          <w:rFonts w:ascii="Times New Roman" w:hAnsi="Times New Roman"/>
          <w:color w:val="FFFFFF"/>
          <w:sz w:val="20"/>
        </w:rPr>
        <w:t xml:space="preserve">■ </w:t>
      </w:r>
      <w:r>
        <w:rPr>
          <w:rFonts w:ascii="Calibri;sans-serif" w:hAnsi="Calibri;sans-serif"/>
          <w:color w:val="FFFFFF"/>
          <w:sz w:val="2"/>
        </w:rPr>
        <w:t xml:space="preserve">Line of Credit </w:t>
      </w:r>
      <w:r>
        <w:rPr>
          <w:rFonts w:ascii="Times New Roman" w:hAnsi="Times New Roman"/>
          <w:color w:val="FFFFFF"/>
          <w:sz w:val="20"/>
        </w:rPr>
        <w:t xml:space="preserve">■ </w:t>
      </w:r>
      <w:r>
        <w:rPr>
          <w:rFonts w:ascii="Calibri;sans-serif" w:hAnsi="Calibri;sans-serif"/>
          <w:color w:val="FFFFFF"/>
          <w:sz w:val="2"/>
        </w:rPr>
        <w:t xml:space="preserve">Consolidated Debt - Secured </w:t>
      </w:r>
      <w:r>
        <w:rPr>
          <w:rFonts w:ascii="Times New Roman" w:hAnsi="Times New Roman"/>
          <w:color w:val="FFFFFF"/>
          <w:sz w:val="20"/>
        </w:rPr>
        <w:t xml:space="preserve">■ </w:t>
      </w:r>
      <w:r>
        <w:rPr>
          <w:rFonts w:ascii="Calibri;sans-serif" w:hAnsi="Calibri;sans-serif"/>
          <w:color w:val="FFFFFF"/>
          <w:sz w:val="2"/>
        </w:rPr>
        <w:t>Unconsolidated Debt – Secured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8562975" cy="64198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8562975" cy="6419850"/>
                    </a:xfrm>
                    <a:prstGeom prst="rect">
                      <a:avLst/>
                    </a:prstGeom>
                  </pic:spPr>
                </pic:pic>
              </a:graphicData>
            </a:graphic>
          </wp:inline>
        </w:drawing>
      </w:r>
    </w:p>
    <w:p>
      <w:pPr>
        <w:pStyle w:val="TextBody"/>
        <w:bidi w:val="0"/>
        <w:spacing w:before="0" w:after="160"/>
        <w:jc w:val="left"/>
        <w:rPr>
          <w:rFonts w:ascii="Calibri;sans-serif" w:hAnsi="Calibri;sans-serif"/>
          <w:color w:val="FFFFFF"/>
          <w:sz w:val="2"/>
        </w:rPr>
      </w:pPr>
      <w:r>
        <w:rPr>
          <w:rFonts w:ascii="Calibri;sans-serif" w:hAnsi="Calibri;sans-serif"/>
          <w:color w:val="FFFFFF"/>
          <w:sz w:val="2"/>
        </w:rPr>
        <w:t>Follow UsThirdQuarter 2024Earnings Conference CallTuesday, October 29th, 2024Time: 11:00 AM ETDial#: 877-407-0789or 201-689-8562Webcast: investors.regencycenters.comContact Information: Christy McElroy Senior Vice President, Capital Markets 904-598-7616ChristyMcElroy@RegencyCenters.comForward-Looking StatementsCertain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2023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2022 (“2022 Form 10-K”) under Item 1A. “Risk Factors”, on Form 10-Q for the three months ended March 31, 2023 under Part II, Item 1A. “Risk Factors” and our Form S-4 Registration Statement, filed with the SEC on July 10, 2023, in connection with our acquisition of Urstadt Biddle, which contains, without limitation, additional risk factors in a section of the prospectus entitled “Risks Relating to Regency After Completion of the Mergers”.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limitation:Risk Factors Related to the Company’s Acquisition of Urstadt Biddle.Combining our business with Urstadt Biddle’s may be more difficult, costly or time-consuming than expected and we may fail to realize the anticipated benefits of the acquisition, which may adversely affect our business results and negatively affect the market price of our securities.Risk Factors Relating to the Current Economic EnvironmentInterest rates in the current economic environment may adversely impact our cost to borrow, real estate valuation, and stock price. Current economic challenges, including the potential for recession, may adversely impact our tenants and our business. Unfavorable developments affecting the banking and financial services industry could adversely affect our business, liquidity and financial condition, and overall results of operations. Additionally, macroeconomic and geopolitical risks, including the current wars in Ukraine, and involving Israel and Gaza, create challenges that may exacerbate current market and economic conditions in the United States.Risks Related to Pandemics or other Health CrisesPandemics or other health crises, such as the COVID-19 pandemic, may adversely affect our tenants’ financial condition, the profitability of our properties, and our access to the capital markets and could have a material adverse effect on our business, results of operations, cash flows and financial condition.Risk Factors Related to Operating Retail-Based Shopping CentersEconomic and market conditions may adversely affect the retail industry and consequently reduce our revenues and cash flow and increase our operating expenses. Shifts in retail trends, sales, and delivery methods between brick-and-mortar stores, e-commerce, home delivery, and curbside pick-up may adversely impact our revenues, results from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and regulations may have a material negative effect on us.Risk Factors Related to Real Estate InvestmentsOur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estate.Risk Factors Related to the Environment Affecting Our PropertiesClimate change may adversely impact our properties directly and may lead to additional compliance obligations and costs as well as additional taxes and fees. Geographic concentration of our properties makes our business more vulnerable to natural disasters, severe weather conditions and climate change. Costs of environmental remediation may adversely impact our financial performance and reduce our cash flow.Risk Factors Related to Corporate MattersAn increased focus on metrics and reporting relating to environmental, social, and governance (“ESG”) factors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 The unauthorized access, use, theft or destruction of tenant or employee personal, financial, or other data or of Regency’s proprietary or confidential information stored in our information systems or by third parties on our behalf could impact our reputation and brand and expose us to potential liability and loss of revenues.Risk Factors Related to Our Partnerships and Joint VenturesWe do not have voting control over all of the properties owned in our co-investment partnerships and joint ventures, so we are unable to ensure that our objectives will be pursued. The termination of our partnerships may adversely affect our cash flow, operating results, and our ability to make distributions to stock and unit holders.RiskFactorsRelated toFundingStrategiesandCapital StructureOur ability to sell properties and fund acquisitions and developments may be adversely impacted by higher market capitalization rates and lower NOI at our properties which may dilute earnings.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us.Risk FactorsRelatedtotheMarket PriceforOurSecuritiesChanges in economic and market conditions may adversely affect the market price of our securities. There is no assurance that we will continue to pay dividends at current or historical rates.Risk FactorsRelatedtothe Company’sQualification asaREITIf the Company fails to qualify as a REIT for federal income tax purposes, it would be subject to federal income tax at regular corporate rates. Dividends paid by REITs generally do not qualify for reduced tax rates. Certain foreign stockholders may be subject to U.S. federal income tax on gain recognized on a disposition of our common stock if we do not qualify as a “domestically controlled” REIT. Legislative or other actions affecting REITs may have a negative effect on us or our investors. Complying with REIT requirements may limit our ability to hedge effectively and may cause us to incur tax liabilities. Partnership tax audit rules could have a material adverse effect.Risk Factors Related to the Company’sCommon StockRestrictions on the ownership of the Company’s capital stock to preserve its REIT status may delay or prevent a change in control. The issuance of the Company's capital stock may delay or prevent a change in control. Ownership in the Company may be diluted in the future.Risk Factors Related to our Pending Merger with Urstadt Biddle Properties, Inc. Please refer to disclosures in our 424(b)(3) prospectus, filed, with the SEC on July 12, 2023, which contains, among other things, additional risk factors related to such acquisition.Non-GAAPdisclosureWe believe these non-GAAP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purposes.We do not consider non-GAAP measures an alternative to financial measures determined in accordance with GAAP, rather they supplement GAAP measures by providing additional information we believe to be useful to our shareholders. The principal limitation of these non-GAAP financial measures is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Company.Nareit FFO is a commonly used measure of REIT performance, which the National Association of Real Estate Investment Trusts (“Nareit”) defines as net income, computed in accordance with GAAP, excluding gains on sale and impairments of real estate, net of tax, plus depreciation and amortization, and after adjustments for unconsolidated partnerships and joint ventures. Regency computes Nareit FFO for all periods presented in accordance with Nareit's definition. Since Nareit FFO excludes depreciation and amortization and gains on sales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Stockholders to Nareit FFO.Core Operating Earnings is an additional performance measure that excludes from Nareit FFO: (i) transaction related income or expenses; (ii) gains or losses from the early extinguishment of debt; (iii) certain non-cash components of earnings derived from above and below market rent amortization, straight-line rents, and amortization of mark-to-market of debt adjustments; and (iv) other amounts as they occur. The Company provides a reconciliation of Net Income to Nareit FFO to Core Operating Earnings.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Tahoma">
    <w:altName w:val="sans-serif"/>
    <w:charset w:val="01"/>
    <w:family w:val="auto"/>
    <w:pitch w:val="default"/>
  </w:font>
  <w:font w:name="Tahom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4.jpeg"/><Relationship Id="rId57" Type="http://schemas.openxmlformats.org/officeDocument/2006/relationships/image" Target="media/image5.jpeg"/><Relationship Id="rId58" Type="http://schemas.openxmlformats.org/officeDocument/2006/relationships/image" Target="media/image6.jpeg"/><Relationship Id="rId59" Type="http://schemas.openxmlformats.org/officeDocument/2006/relationships/image" Target="media/image7.jpeg"/><Relationship Id="rId60" Type="http://schemas.openxmlformats.org/officeDocument/2006/relationships/image" Target="media/image8.jpeg"/><Relationship Id="rId61" Type="http://schemas.openxmlformats.org/officeDocument/2006/relationships/image" Target="media/image9.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34499</Words>
  <Characters>194132</Characters>
  <CharactersWithSpaces>227744</CharactersWithSpaces>
  <Paragraphs>22085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