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48260</wp:posOffset>
            </wp:positionV>
            <wp:extent cx="143573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5735" cy="571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April 29, 2026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42545</wp:posOffset>
            </wp:positionV>
            <wp:extent cx="143573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5735" cy="571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REGENCY CENTERS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REGENCY CENTERS, L.P.</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3176270</wp:posOffset>
            </wp:positionH>
            <wp:positionV relativeFrom="paragraph">
              <wp:posOffset>38100</wp:posOffset>
            </wp:positionV>
            <wp:extent cx="786765" cy="309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6765" cy="30988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tbl>
      <w:tblPr>
        <w:tblLayout w:type="fixed"/>
        <w:tblInd w:w="960" w:type="dxa"/>
        <w:tblCellMar>
          <w:top w:w="0" w:type="dxa"/>
          <w:left w:w="0" w:type="dxa"/>
          <w:bottom w:w="0" w:type="dxa"/>
          <w:right w:w="0" w:type="dxa"/>
        </w:tblCellMar>
      </w:tblPr>
      <w:tr>
        <w:trPr>
          <w:trHeight w:val="136"/>
        </w:trPr>
        <w:tc>
          <w:tcPr>
            <w:tcW w:w="2760" w:type="dxa"/>
            <w:vAlign w:val="bottom"/>
          </w:tcPr>
          <w:p>
            <w:pPr>
              <w:jc w:val="center"/>
              <w:ind w:right="888"/>
              <w:spacing w:after="0"/>
              <w:rPr>
                <w:sz w:val="20"/>
                <w:szCs w:val="20"/>
                <w:color w:val="auto"/>
              </w:rPr>
            </w:pPr>
            <w:r>
              <w:rPr>
                <w:rFonts w:ascii="Times New Roman" w:cs="Times New Roman" w:eastAsia="Times New Roman" w:hAnsi="Times New Roman"/>
                <w:sz w:val="11"/>
                <w:szCs w:val="11"/>
                <w:b w:val="1"/>
                <w:bCs w:val="1"/>
                <w:color w:val="auto"/>
                <w:w w:val="98"/>
              </w:rPr>
              <w:t>Florida (Regency Centers Corporation)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001-12298 (Regency Centers Corporation)</w:t>
            </w:r>
          </w:p>
        </w:tc>
        <w:tc>
          <w:tcPr>
            <w:tcW w:w="2900" w:type="dxa"/>
            <w:vAlign w:val="bottom"/>
          </w:tcPr>
          <w:p>
            <w:pPr>
              <w:jc w:val="center"/>
              <w:ind w:left="828"/>
              <w:spacing w:after="0"/>
              <w:rPr>
                <w:sz w:val="20"/>
                <w:szCs w:val="20"/>
                <w:color w:val="auto"/>
              </w:rPr>
            </w:pPr>
            <w:r>
              <w:rPr>
                <w:rFonts w:ascii="Times New Roman" w:cs="Times New Roman" w:eastAsia="Times New Roman" w:hAnsi="Times New Roman"/>
                <w:sz w:val="11"/>
                <w:szCs w:val="11"/>
                <w:b w:val="1"/>
                <w:bCs w:val="1"/>
                <w:color w:val="auto"/>
                <w:w w:val="99"/>
              </w:rPr>
              <w:t>59-3191743 (Regency Centers Corporation)</w:t>
            </w:r>
          </w:p>
        </w:tc>
      </w:tr>
      <w:tr>
        <w:trPr>
          <w:trHeight w:val="132"/>
        </w:trPr>
        <w:tc>
          <w:tcPr>
            <w:tcW w:w="2760" w:type="dxa"/>
            <w:vAlign w:val="bottom"/>
          </w:tcPr>
          <w:p>
            <w:pPr>
              <w:jc w:val="center"/>
              <w:ind w:right="888"/>
              <w:spacing w:after="0"/>
              <w:rPr>
                <w:sz w:val="20"/>
                <w:szCs w:val="20"/>
                <w:color w:val="auto"/>
              </w:rPr>
            </w:pPr>
            <w:r>
              <w:rPr>
                <w:rFonts w:ascii="Times New Roman" w:cs="Times New Roman" w:eastAsia="Times New Roman" w:hAnsi="Times New Roman"/>
                <w:sz w:val="11"/>
                <w:szCs w:val="11"/>
                <w:b w:val="1"/>
                <w:bCs w:val="1"/>
                <w:color w:val="auto"/>
                <w:w w:val="97"/>
              </w:rPr>
              <w:t>Delaware (Regency Centers, L. P.)</w:t>
            </w:r>
          </w:p>
        </w:tc>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0-24763 (Regency Centers, L.P.)</w:t>
            </w:r>
          </w:p>
        </w:tc>
        <w:tc>
          <w:tcPr>
            <w:tcW w:w="2900" w:type="dxa"/>
            <w:vAlign w:val="bottom"/>
          </w:tcPr>
          <w:p>
            <w:pPr>
              <w:jc w:val="center"/>
              <w:ind w:left="828"/>
              <w:spacing w:after="0"/>
              <w:rPr>
                <w:sz w:val="20"/>
                <w:szCs w:val="20"/>
                <w:color w:val="auto"/>
              </w:rPr>
            </w:pPr>
            <w:r>
              <w:rPr>
                <w:rFonts w:ascii="Times New Roman" w:cs="Times New Roman" w:eastAsia="Times New Roman" w:hAnsi="Times New Roman"/>
                <w:sz w:val="11"/>
                <w:szCs w:val="11"/>
                <w:b w:val="1"/>
                <w:bCs w:val="1"/>
                <w:color w:val="auto"/>
                <w:w w:val="99"/>
              </w:rPr>
              <w:t>59-3429602 (Regency Centers, L.P.)</w:t>
            </w:r>
          </w:p>
        </w:tc>
      </w:tr>
      <w:tr>
        <w:trPr>
          <w:trHeight w:val="174"/>
        </w:trPr>
        <w:tc>
          <w:tcPr>
            <w:tcW w:w="2760" w:type="dxa"/>
            <w:vAlign w:val="bottom"/>
          </w:tcPr>
          <w:p>
            <w:pPr>
              <w:jc w:val="center"/>
              <w:ind w:right="888"/>
              <w:spacing w:after="0"/>
              <w:rPr>
                <w:sz w:val="20"/>
                <w:szCs w:val="20"/>
                <w:color w:val="auto"/>
              </w:rPr>
            </w:pPr>
            <w:r>
              <w:rPr>
                <w:rFonts w:ascii="Times New Roman" w:cs="Times New Roman" w:eastAsia="Times New Roman" w:hAnsi="Times New Roman"/>
                <w:sz w:val="10"/>
                <w:szCs w:val="10"/>
                <w:color w:val="auto"/>
                <w:w w:val="96"/>
              </w:rPr>
              <w:t>(State or other jurisdiction of incorporation)</w:t>
            </w:r>
          </w:p>
        </w:tc>
        <w:tc>
          <w:tcPr>
            <w:tcW w:w="3780" w:type="dxa"/>
            <w:vAlign w:val="bottom"/>
          </w:tcPr>
          <w:p>
            <w:pPr>
              <w:ind w:left="13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9"/>
                <w:szCs w:val="9"/>
                <w:color w:val="auto"/>
              </w:rPr>
              <w:t>Commission File Number)</w:t>
            </w:r>
          </w:p>
        </w:tc>
        <w:tc>
          <w:tcPr>
            <w:tcW w:w="2900" w:type="dxa"/>
            <w:vAlign w:val="bottom"/>
          </w:tcPr>
          <w:p>
            <w:pPr>
              <w:jc w:val="center"/>
              <w:ind w:left="848"/>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bl>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One Independent Drive, Suite 114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Jacksonville, Florida 32202</w:t>
      </w:r>
    </w:p>
    <w:p>
      <w:pPr>
        <w:jc w:val="center"/>
        <w:spacing w:after="0" w:line="219" w:lineRule="auto"/>
        <w:rPr>
          <w:sz w:val="20"/>
          <w:szCs w:val="20"/>
          <w:color w:val="auto"/>
        </w:rPr>
      </w:pPr>
      <w:r>
        <w:rPr>
          <w:rFonts w:ascii="Times New Roman" w:cs="Times New Roman" w:eastAsia="Times New Roman" w:hAnsi="Times New Roman"/>
          <w:sz w:val="10"/>
          <w:szCs w:val="10"/>
          <w:color w:val="auto"/>
        </w:rPr>
        <w:t>(Address of principal executive offices) (Zip Code)</w:t>
      </w:r>
    </w:p>
    <w:p>
      <w:pPr>
        <w:jc w:val="center"/>
        <w:spacing w:after="0"/>
        <w:rPr>
          <w:sz w:val="20"/>
          <w:szCs w:val="20"/>
          <w:color w:val="auto"/>
        </w:rPr>
      </w:pPr>
      <w:r>
        <w:rPr>
          <w:rFonts w:ascii="Times New Roman" w:cs="Times New Roman" w:eastAsia="Times New Roman" w:hAnsi="Times New Roman"/>
          <w:sz w:val="12"/>
          <w:szCs w:val="12"/>
          <w:b w:val="1"/>
          <w:bCs w:val="1"/>
          <w:color w:val="auto"/>
        </w:rPr>
        <w:t>(904) 598-7000</w:t>
      </w:r>
    </w:p>
    <w:p>
      <w:pPr>
        <w:jc w:val="center"/>
        <w:spacing w:after="0" w:line="221" w:lineRule="auto"/>
        <w:rPr>
          <w:sz w:val="20"/>
          <w:szCs w:val="20"/>
          <w:color w:val="auto"/>
        </w:rPr>
      </w:pPr>
      <w:r>
        <w:rPr>
          <w:rFonts w:ascii="Times New Roman" w:cs="Times New Roman" w:eastAsia="Times New Roman" w:hAnsi="Times New Roman"/>
          <w:sz w:val="10"/>
          <w:szCs w:val="10"/>
          <w:color w:val="auto"/>
        </w:rPr>
        <w:t>(Registrant's telephone number, including area code)</w:t>
      </w: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jc w:val="center"/>
        <w:spacing w:after="0" w:line="221" w:lineRule="auto"/>
        <w:rPr>
          <w:sz w:val="20"/>
          <w:szCs w:val="20"/>
          <w:color w:val="auto"/>
        </w:rPr>
      </w:pPr>
      <w:r>
        <w:rPr>
          <w:rFonts w:ascii="Times New Roman" w:cs="Times New Roman" w:eastAsia="Times New Roman" w:hAnsi="Times New Roman"/>
          <w:sz w:val="10"/>
          <w:szCs w:val="10"/>
          <w:color w:val="auto"/>
        </w:rPr>
        <w:t>(Former name or former address, if changed since last report)</w:t>
      </w: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Regency Centers Corporation</w:t>
      </w:r>
    </w:p>
    <w:tbl>
      <w:tblPr>
        <w:tblLayout w:type="fixed"/>
        <w:tblInd w:w="0" w:type="dxa"/>
        <w:tblCellMar>
          <w:top w:w="0" w:type="dxa"/>
          <w:left w:w="0" w:type="dxa"/>
          <w:bottom w:w="0" w:type="dxa"/>
          <w:right w:w="0" w:type="dxa"/>
        </w:tblCellMar>
      </w:tblPr>
      <w:tr>
        <w:trPr>
          <w:trHeight w:val="106"/>
        </w:trPr>
        <w:tc>
          <w:tcPr>
            <w:tcW w:w="384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20" w:type="dxa"/>
            <w:vAlign w:val="bottom"/>
          </w:tcPr>
          <w:p>
            <w:pPr>
              <w:spacing w:after="0"/>
              <w:rPr>
                <w:sz w:val="9"/>
                <w:szCs w:val="9"/>
                <w:color w:val="auto"/>
              </w:rPr>
            </w:pPr>
          </w:p>
        </w:tc>
        <w:tc>
          <w:tcPr>
            <w:tcW w:w="338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120" w:type="dxa"/>
            <w:vAlign w:val="bottom"/>
          </w:tcPr>
          <w:p>
            <w:pPr>
              <w:spacing w:after="0"/>
              <w:rPr>
                <w:sz w:val="9"/>
                <w:szCs w:val="9"/>
                <w:color w:val="auto"/>
              </w:rPr>
            </w:pPr>
          </w:p>
        </w:tc>
        <w:tc>
          <w:tcPr>
            <w:tcW w:w="384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0"/>
                <w:szCs w:val="10"/>
                <w:b w:val="1"/>
                <w:bCs w:val="1"/>
                <w:color w:val="auto"/>
                <w:w w:val="96"/>
              </w:rPr>
              <w:t>Name of each exchange on which registered</w:t>
            </w:r>
          </w:p>
        </w:tc>
      </w:tr>
      <w:tr>
        <w:trPr>
          <w:trHeight w:val="72"/>
        </w:trPr>
        <w:tc>
          <w:tcPr>
            <w:tcW w:w="384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Common Stock, $0.01 par value</w:t>
            </w:r>
          </w:p>
        </w:tc>
        <w:tc>
          <w:tcPr>
            <w:tcW w:w="120" w:type="dxa"/>
            <w:vAlign w:val="bottom"/>
          </w:tcPr>
          <w:p>
            <w:pPr>
              <w:spacing w:after="0"/>
              <w:rPr>
                <w:sz w:val="6"/>
                <w:szCs w:val="6"/>
                <w:color w:val="auto"/>
              </w:rPr>
            </w:pPr>
          </w:p>
        </w:tc>
        <w:tc>
          <w:tcPr>
            <w:tcW w:w="338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REG</w:t>
            </w:r>
          </w:p>
        </w:tc>
        <w:tc>
          <w:tcPr>
            <w:tcW w:w="120" w:type="dxa"/>
            <w:vAlign w:val="bottom"/>
          </w:tcPr>
          <w:p>
            <w:pPr>
              <w:spacing w:after="0"/>
              <w:rPr>
                <w:sz w:val="6"/>
                <w:szCs w:val="6"/>
                <w:color w:val="auto"/>
              </w:rPr>
            </w:pPr>
          </w:p>
        </w:tc>
        <w:tc>
          <w:tcPr>
            <w:tcW w:w="384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The Nasdaq Stock Market LLC</w:t>
            </w:r>
          </w:p>
        </w:tc>
      </w:tr>
      <w:tr>
        <w:trPr>
          <w:trHeight w:val="99"/>
        </w:trPr>
        <w:tc>
          <w:tcPr>
            <w:tcW w:w="384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6"/>
              </w:rPr>
              <w:t>6.250% Series A Cumulative Redeemable Preferred Stock, par value $0.01 per share</w:t>
            </w:r>
          </w:p>
        </w:tc>
        <w:tc>
          <w:tcPr>
            <w:tcW w:w="120" w:type="dxa"/>
            <w:vAlign w:val="bottom"/>
          </w:tcPr>
          <w:p>
            <w:pPr>
              <w:spacing w:after="0"/>
              <w:rPr>
                <w:sz w:val="8"/>
                <w:szCs w:val="8"/>
                <w:color w:val="auto"/>
              </w:rPr>
            </w:pPr>
          </w:p>
        </w:tc>
        <w:tc>
          <w:tcPr>
            <w:tcW w:w="338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7"/>
              </w:rPr>
              <w:t>REGCP</w:t>
            </w:r>
          </w:p>
        </w:tc>
        <w:tc>
          <w:tcPr>
            <w:tcW w:w="120" w:type="dxa"/>
            <w:vAlign w:val="bottom"/>
          </w:tcPr>
          <w:p>
            <w:pPr>
              <w:spacing w:after="0"/>
              <w:rPr>
                <w:sz w:val="8"/>
                <w:szCs w:val="8"/>
                <w:color w:val="auto"/>
              </w:rPr>
            </w:pPr>
          </w:p>
        </w:tc>
        <w:tc>
          <w:tcPr>
            <w:tcW w:w="3840" w:type="dxa"/>
            <w:vAlign w:val="bottom"/>
          </w:tcPr>
          <w:p>
            <w:pPr>
              <w:jc w:val="center"/>
              <w:spacing w:after="0" w:line="100" w:lineRule="exact"/>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126"/>
        </w:trPr>
        <w:tc>
          <w:tcPr>
            <w:tcW w:w="3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5.875% Series B Cumulative Redeemable Preferred Stock, par value $0.01 per share</w:t>
            </w:r>
          </w:p>
        </w:tc>
        <w:tc>
          <w:tcPr>
            <w:tcW w:w="120" w:type="dxa"/>
            <w:vAlign w:val="bottom"/>
          </w:tcPr>
          <w:p>
            <w:pPr>
              <w:spacing w:after="0"/>
              <w:rPr>
                <w:sz w:val="10"/>
                <w:szCs w:val="1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REGCO</w:t>
            </w:r>
          </w:p>
        </w:tc>
        <w:tc>
          <w:tcPr>
            <w:tcW w:w="120" w:type="dxa"/>
            <w:vAlign w:val="bottom"/>
          </w:tcPr>
          <w:p>
            <w:pPr>
              <w:spacing w:after="0"/>
              <w:rPr>
                <w:sz w:val="10"/>
                <w:szCs w:val="1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The Nasdaq Stock Market LLC</w:t>
            </w: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Regency Centers, L.P.</w:t>
            </w:r>
          </w:p>
        </w:tc>
        <w:tc>
          <w:tcPr>
            <w:tcW w:w="120" w:type="dxa"/>
            <w:vAlign w:val="bottom"/>
          </w:tcPr>
          <w:p>
            <w:pPr>
              <w:spacing w:after="0"/>
              <w:rPr>
                <w:sz w:val="16"/>
                <w:szCs w:val="16"/>
                <w:color w:val="auto"/>
              </w:rPr>
            </w:pPr>
          </w:p>
        </w:tc>
        <w:tc>
          <w:tcPr>
            <w:tcW w:w="3840" w:type="dxa"/>
            <w:vAlign w:val="bottom"/>
          </w:tcPr>
          <w:p>
            <w:pPr>
              <w:spacing w:after="0"/>
              <w:rPr>
                <w:sz w:val="16"/>
                <w:szCs w:val="16"/>
                <w:color w:val="auto"/>
              </w:rPr>
            </w:pPr>
          </w:p>
        </w:tc>
      </w:tr>
      <w:tr>
        <w:trPr>
          <w:trHeight w:val="154"/>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2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120" w:type="dxa"/>
            <w:vAlign w:val="bottom"/>
          </w:tcPr>
          <w:p>
            <w:pPr>
              <w:spacing w:after="0"/>
              <w:rPr>
                <w:sz w:val="13"/>
                <w:szCs w:val="13"/>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 on which registered</w:t>
            </w:r>
          </w:p>
        </w:tc>
      </w:tr>
      <w:tr>
        <w:trPr>
          <w:trHeight w:val="115"/>
        </w:trPr>
        <w:tc>
          <w:tcPr>
            <w:tcW w:w="3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None</w:t>
            </w:r>
          </w:p>
        </w:tc>
        <w:tc>
          <w:tcPr>
            <w:tcW w:w="120" w:type="dxa"/>
            <w:vAlign w:val="bottom"/>
          </w:tcPr>
          <w:p>
            <w:pPr>
              <w:spacing w:after="0"/>
              <w:rPr>
                <w:sz w:val="9"/>
                <w:szCs w:val="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w:t>
            </w:r>
          </w:p>
        </w:tc>
        <w:tc>
          <w:tcPr>
            <w:tcW w:w="120" w:type="dxa"/>
            <w:vAlign w:val="bottom"/>
          </w:tcPr>
          <w:p>
            <w:pPr>
              <w:spacing w:after="0"/>
              <w:rPr>
                <w:sz w:val="9"/>
                <w:szCs w:val="9"/>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N/A</w:t>
            </w:r>
          </w:p>
        </w:tc>
      </w:tr>
    </w:tbl>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61" w:lineRule="exact"/>
        <w:rPr>
          <w:sz w:val="24"/>
          <w:szCs w:val="24"/>
          <w:color w:val="auto"/>
        </w:rPr>
      </w:pPr>
    </w:p>
    <w:p>
      <w:pPr>
        <w:ind w:left="680" w:hanging="457"/>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 .425)</w:t>
      </w:r>
    </w:p>
    <w:p>
      <w:pPr>
        <w:spacing w:after="0" w:line="18" w:lineRule="exact"/>
        <w:rPr>
          <w:rFonts w:ascii="MS PGothic" w:cs="MS PGothic" w:eastAsia="MS PGothic" w:hAnsi="MS PGothic"/>
          <w:sz w:val="12"/>
          <w:szCs w:val="12"/>
          <w:color w:val="auto"/>
        </w:rPr>
      </w:pPr>
    </w:p>
    <w:p>
      <w:pPr>
        <w:ind w:left="680" w:hanging="457"/>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80" w:hanging="457"/>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80" w:hanging="457"/>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4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8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495300</wp:posOffset>
            </wp:positionV>
            <wp:extent cx="720280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83185</wp:posOffset>
            </wp:positionV>
            <wp:extent cx="7177405"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11430"/>
                    </a:xfrm>
                    <a:prstGeom prst="rect">
                      <a:avLst/>
                    </a:prstGeom>
                    <a:noFill/>
                  </pic:spPr>
                </pic:pic>
              </a:graphicData>
            </a:graphic>
          </wp:anchor>
        </w:drawing>
      </w:r>
    </w:p>
    <w:p>
      <w:pPr>
        <w:sectPr>
          <w:pgSz w:w="11900" w:h="16838" w:orient="portrait"/>
          <w:cols w:equalWidth="0" w:num="1">
            <w:col w:w="11300"/>
          </w:cols>
          <w:pgMar w:left="300" w:top="786" w:right="29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Disclosure of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29, 2026, Regency Centers Corporation ("Regency") issued an earnings release for the three months ended March 31, 2026, which is attached as Exhibit 99.1.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29, 2026, Regency posted on its website, at investors.regencycenters.com, certain supplemental information for the three months ended March 31, 2026, which are attached as Exhibit 99.2 and Exhibit 99.3, respectively.</w:t>
      </w:r>
    </w:p>
    <w:p>
      <w:pPr>
        <w:spacing w:after="0" w:line="14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April 29, 2026, Regency posted on its website, at investors.regencycenters.com, the Regency Centers Q1 2026 Earnings Presentation.</w:t>
      </w:r>
    </w:p>
    <w:p>
      <w:pPr>
        <w:spacing w:after="0" w:line="11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2"/>
          <w:szCs w:val="12"/>
          <w:color w:val="auto"/>
        </w:rPr>
        <w:t>The information furnished above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380" w:type="dxa"/>
            <w:vAlign w:val="bottom"/>
            <w:gridSpan w:val="6"/>
          </w:tcPr>
          <w:p>
            <w:pPr>
              <w:ind w:left="3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9"/>
        </w:trPr>
        <w:tc>
          <w:tcPr>
            <w:tcW w:w="9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(d) Exhibits</w:t>
            </w:r>
          </w:p>
        </w:tc>
        <w:tc>
          <w:tcPr>
            <w:tcW w:w="4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6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Exhibit 99.1</w:t>
            </w:r>
          </w:p>
        </w:tc>
        <w:tc>
          <w:tcPr>
            <w:tcW w:w="420" w:type="dxa"/>
            <w:vAlign w:val="bottom"/>
          </w:tcPr>
          <w:p>
            <w:pPr>
              <w:spacing w:after="0"/>
              <w:rPr>
                <w:sz w:val="22"/>
                <w:szCs w:val="22"/>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Earnings release issued by Regency on April 29, 2026, for the three months ended March 31, 2026.</w:t>
            </w:r>
          </w:p>
        </w:tc>
      </w:tr>
      <w:tr>
        <w:trPr>
          <w:trHeight w:val="20"/>
        </w:trPr>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Exhibit 99.2</w:t>
            </w:r>
          </w:p>
        </w:tc>
        <w:tc>
          <w:tcPr>
            <w:tcW w:w="420" w:type="dxa"/>
            <w:vAlign w:val="bottom"/>
          </w:tcPr>
          <w:p>
            <w:pPr>
              <w:spacing w:after="0"/>
              <w:rPr>
                <w:sz w:val="17"/>
                <w:szCs w:val="17"/>
                <w:color w:val="auto"/>
              </w:rPr>
            </w:pPr>
          </w:p>
        </w:tc>
        <w:tc>
          <w:tcPr>
            <w:tcW w:w="5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Supplemental information posted on its website on April 29, 2026, for the three months ended March 31, 2026.</w:t>
            </w:r>
          </w:p>
        </w:tc>
        <w:tc>
          <w:tcPr>
            <w:tcW w:w="20" w:type="dxa"/>
            <w:vAlign w:val="bottom"/>
            <w:tcBorders>
              <w:bottom w:val="single" w:sz="8" w:color="0000EE"/>
            </w:tcBorders>
          </w:tcPr>
          <w:p>
            <w:pPr>
              <w:spacing w:after="0"/>
              <w:rPr>
                <w:sz w:val="17"/>
                <w:szCs w:val="17"/>
                <w:color w:val="auto"/>
              </w:rPr>
            </w:pPr>
          </w:p>
        </w:tc>
        <w:tc>
          <w:tcPr>
            <w:tcW w:w="4560" w:type="dxa"/>
            <w:vAlign w:val="bottom"/>
            <w:gridSpan w:val="2"/>
          </w:tcPr>
          <w:p>
            <w:pPr>
              <w:spacing w:after="0"/>
              <w:rPr>
                <w:sz w:val="17"/>
                <w:szCs w:val="17"/>
                <w:color w:val="auto"/>
              </w:rPr>
            </w:pPr>
          </w:p>
        </w:tc>
      </w:tr>
      <w:tr>
        <w:trPr>
          <w:trHeight w:val="20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Exhibit 99.3</w:t>
            </w:r>
          </w:p>
        </w:tc>
        <w:tc>
          <w:tcPr>
            <w:tcW w:w="420" w:type="dxa"/>
            <w:vAlign w:val="bottom"/>
          </w:tcPr>
          <w:p>
            <w:pPr>
              <w:spacing w:after="0"/>
              <w:rPr>
                <w:sz w:val="17"/>
                <w:szCs w:val="17"/>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Fixed income supplemental information posted on its website on April 29, 2026, for the three months ended March 31, 2026.</w:t>
            </w:r>
          </w:p>
        </w:tc>
      </w:tr>
      <w:tr>
        <w:trPr>
          <w:trHeight w:val="15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20" w:type="dxa"/>
            <w:vAlign w:val="bottom"/>
          </w:tcPr>
          <w:p>
            <w:pPr>
              <w:spacing w:after="0"/>
              <w:rPr>
                <w:sz w:val="13"/>
                <w:szCs w:val="13"/>
                <w:color w:val="auto"/>
              </w:rPr>
            </w:pPr>
          </w:p>
        </w:tc>
        <w:tc>
          <w:tcPr>
            <w:tcW w:w="60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XBRL tags are embedded within the inline XBRL documents)</w:t>
            </w:r>
          </w:p>
        </w:tc>
        <w:tc>
          <w:tcPr>
            <w:tcW w:w="3920" w:type="dxa"/>
            <w:vAlign w:val="bottom"/>
          </w:tcPr>
          <w:p>
            <w:pPr>
              <w:spacing w:after="0"/>
              <w:rPr>
                <w:sz w:val="13"/>
                <w:szCs w:val="13"/>
                <w:color w:val="auto"/>
              </w:rPr>
            </w:pPr>
          </w:p>
        </w:tc>
      </w:tr>
      <w:tr>
        <w:trPr>
          <w:trHeight w:val="796"/>
        </w:trPr>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4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40" w:type="dxa"/>
            <w:vAlign w:val="bottom"/>
          </w:tcPr>
          <w:p>
            <w:pPr>
              <w:spacing w:after="0"/>
              <w:rPr>
                <w:sz w:val="13"/>
                <w:szCs w:val="13"/>
                <w:color w:val="auto"/>
              </w:rPr>
            </w:pPr>
          </w:p>
        </w:tc>
        <w:tc>
          <w:tcPr>
            <w:tcW w:w="8060" w:type="dxa"/>
            <w:vAlign w:val="bottom"/>
            <w:gridSpan w:val="3"/>
          </w:tcPr>
          <w:p>
            <w:pPr>
              <w:ind w:left="2540"/>
              <w:spacing w:after="0"/>
              <w:rPr>
                <w:sz w:val="20"/>
                <w:szCs w:val="20"/>
                <w:color w:val="auto"/>
              </w:rPr>
            </w:pPr>
            <w:r>
              <w:rPr>
                <w:rFonts w:ascii="Times New Roman" w:cs="Times New Roman" w:eastAsia="Times New Roman" w:hAnsi="Times New Roman"/>
                <w:sz w:val="12"/>
                <w:szCs w:val="12"/>
                <w:b w:val="1"/>
                <w:bCs w:val="1"/>
                <w:color w:val="auto"/>
              </w:rPr>
              <w:t>REGENCY CENTERS CORPORATION</w:t>
            </w:r>
          </w:p>
        </w:tc>
      </w:tr>
      <w:tr>
        <w:trPr>
          <w:trHeight w:val="289"/>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April 29, 2026</w:t>
            </w:r>
          </w:p>
        </w:tc>
        <w:tc>
          <w:tcPr>
            <w:tcW w:w="290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 Michael R. Herman</w:t>
            </w:r>
          </w:p>
        </w:tc>
      </w:tr>
      <w:tr>
        <w:trPr>
          <w:trHeight w:val="145"/>
        </w:trPr>
        <w:tc>
          <w:tcPr>
            <w:tcW w:w="3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Michael R. Herman, Senior Vice President General Counsel and Corporate Secretary</w:t>
            </w:r>
          </w:p>
        </w:tc>
      </w:tr>
      <w:tr>
        <w:trPr>
          <w:trHeight w:val="568"/>
        </w:trPr>
        <w:tc>
          <w:tcPr>
            <w:tcW w:w="3240" w:type="dxa"/>
            <w:vAlign w:val="bottom"/>
          </w:tcPr>
          <w:p>
            <w:pPr>
              <w:spacing w:after="0"/>
              <w:rPr>
                <w:sz w:val="24"/>
                <w:szCs w:val="24"/>
                <w:color w:val="auto"/>
              </w:rPr>
            </w:pPr>
          </w:p>
        </w:tc>
        <w:tc>
          <w:tcPr>
            <w:tcW w:w="8060" w:type="dxa"/>
            <w:vAlign w:val="bottom"/>
            <w:gridSpan w:val="3"/>
          </w:tcPr>
          <w:p>
            <w:pPr>
              <w:ind w:left="2540"/>
              <w:spacing w:after="0"/>
              <w:rPr>
                <w:sz w:val="20"/>
                <w:szCs w:val="20"/>
                <w:color w:val="auto"/>
              </w:rPr>
            </w:pPr>
            <w:r>
              <w:rPr>
                <w:rFonts w:ascii="Times New Roman" w:cs="Times New Roman" w:eastAsia="Times New Roman" w:hAnsi="Times New Roman"/>
                <w:sz w:val="12"/>
                <w:szCs w:val="12"/>
                <w:b w:val="1"/>
                <w:bCs w:val="1"/>
                <w:color w:val="auto"/>
              </w:rPr>
              <w:t>REGENCY CENTERS, L.P.</w:t>
            </w:r>
          </w:p>
        </w:tc>
      </w:tr>
      <w:tr>
        <w:trPr>
          <w:trHeight w:val="289"/>
        </w:trPr>
        <w:tc>
          <w:tcPr>
            <w:tcW w:w="3240" w:type="dxa"/>
            <w:vAlign w:val="bottom"/>
          </w:tcPr>
          <w:p>
            <w:pPr>
              <w:spacing w:after="0"/>
              <w:rPr>
                <w:sz w:val="24"/>
                <w:szCs w:val="24"/>
                <w:color w:val="auto"/>
              </w:rPr>
            </w:pPr>
          </w:p>
        </w:tc>
        <w:tc>
          <w:tcPr>
            <w:tcW w:w="8060" w:type="dxa"/>
            <w:vAlign w:val="bottom"/>
            <w:gridSpan w:val="3"/>
          </w:tcPr>
          <w:p>
            <w:pPr>
              <w:ind w:left="2540"/>
              <w:spacing w:after="0"/>
              <w:rPr>
                <w:sz w:val="20"/>
                <w:szCs w:val="20"/>
                <w:color w:val="auto"/>
              </w:rPr>
            </w:pPr>
            <w:r>
              <w:rPr>
                <w:rFonts w:ascii="Times New Roman" w:cs="Times New Roman" w:eastAsia="Times New Roman" w:hAnsi="Times New Roman"/>
                <w:sz w:val="12"/>
                <w:szCs w:val="12"/>
                <w:b w:val="1"/>
                <w:bCs w:val="1"/>
                <w:color w:val="auto"/>
              </w:rPr>
              <w:t>By: Regency Centers Corporation, its general partner</w:t>
            </w:r>
          </w:p>
        </w:tc>
      </w:tr>
      <w:tr>
        <w:trPr>
          <w:trHeight w:val="289"/>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April 29, 2026</w:t>
            </w:r>
          </w:p>
        </w:tc>
        <w:tc>
          <w:tcPr>
            <w:tcW w:w="290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/s/ Michael R. Herman</w:t>
            </w:r>
          </w:p>
        </w:tc>
      </w:tr>
      <w:tr>
        <w:trPr>
          <w:trHeight w:val="145"/>
        </w:trPr>
        <w:tc>
          <w:tcPr>
            <w:tcW w:w="32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Michael R. Herman, Senior Vice President General Counsel and Corporate Secretary</w:t>
            </w:r>
          </w:p>
        </w:tc>
      </w:tr>
      <w:tr>
        <w:trPr>
          <w:trHeight w:val="785"/>
        </w:trPr>
        <w:tc>
          <w:tcPr>
            <w:tcW w:w="32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3"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970280" cy="379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0280" cy="379095"/>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shd w:val="clear" w:color="auto" w:fill="3A3430"/>
        </w:rPr>
        <w:t>NEWS RELEASE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For immediate release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Kathryn McKie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904 598 7348</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KathrynMcKie@regencycenters.com</w:t>
      </w:r>
    </w:p>
    <w:p>
      <w:pPr>
        <w:spacing w:after="0" w:line="15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Regency Centers Reports First Quarter 2026 Results</w:t>
      </w:r>
    </w:p>
    <w:p>
      <w:pPr>
        <w:spacing w:after="0" w:line="172" w:lineRule="exact"/>
        <w:rPr>
          <w:sz w:val="20"/>
          <w:szCs w:val="20"/>
          <w:color w:val="auto"/>
        </w:rPr>
      </w:pPr>
    </w:p>
    <w:p>
      <w:pPr>
        <w:ind w:left="8" w:right="520"/>
        <w:spacing w:after="0" w:line="235" w:lineRule="auto"/>
        <w:rPr>
          <w:sz w:val="20"/>
          <w:szCs w:val="20"/>
          <w:color w:val="auto"/>
        </w:rPr>
      </w:pPr>
      <w:r>
        <w:rPr>
          <w:rFonts w:ascii="Arial" w:cs="Arial" w:eastAsia="Arial" w:hAnsi="Arial"/>
          <w:sz w:val="12"/>
          <w:szCs w:val="12"/>
          <w:color w:val="auto"/>
          <w:highlight w:val="black"/>
        </w:rPr>
        <w:t xml:space="preserve">JACKSONVILLE, Fla. </w:t>
      </w:r>
      <w:r>
        <w:rPr>
          <w:rFonts w:ascii="Arial" w:cs="Arial" w:eastAsia="Arial" w:hAnsi="Arial"/>
          <w:sz w:val="12"/>
          <w:szCs w:val="12"/>
          <w:color w:val="auto"/>
        </w:rPr>
        <w:t>(April 29, 2026) – Regency Centers Corporation (“Regency Centers,” “Regency” or the “Company”) (Nasdaq: REG) today reported financial and operating results for the period ended</w:t>
      </w:r>
      <w:r>
        <w:rPr>
          <w:rFonts w:ascii="Arial" w:cs="Arial" w:eastAsia="Arial" w:hAnsi="Arial"/>
          <w:sz w:val="12"/>
          <w:szCs w:val="12"/>
          <w:color w:val="auto"/>
          <w:highlight w:val="black"/>
        </w:rPr>
        <w:t xml:space="preserve"> </w:t>
      </w:r>
      <w:r>
        <w:rPr>
          <w:rFonts w:ascii="Arial" w:cs="Arial" w:eastAsia="Arial" w:hAnsi="Arial"/>
          <w:sz w:val="12"/>
          <w:szCs w:val="12"/>
          <w:color w:val="auto"/>
        </w:rPr>
        <w:t>March 31, 2026, and provided updated 2026 earnings guidance. For the three months ended March 31, 2026 and 2025, Net Income Attributable to Common Shareholders was $0.68 and $0.58, respectively, per diluted share.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First Quarter 2026 Highlights</w:t>
      </w:r>
    </w:p>
    <w:p>
      <w:pPr>
        <w:spacing w:after="0" w:line="54" w:lineRule="exact"/>
        <w:rPr>
          <w:sz w:val="20"/>
          <w:szCs w:val="20"/>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Reported Nareit Funds From Operations ("FFO") of $1.20 per diluted share and Core Operating Earnings of $1.16 per diluted share</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Increased Same Property Net Operating Income ("NOI") year-over-year by 4.4%</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Same Property percent leased ended the quarter at 96.6%, flat year-over-year, and Same Property percent commenced ended the quarter at 94.3%, up 90 basis points year-over-year</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Same Property anchor percent leased ended the quarter at 98.2%, and Same Property shop percent leased ended the quarter at 94.1%</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Executed 1.5 million square feet of comparable new and renewal leases during the quarter at blended rent spreads of 12.1% on a cash basis and 24.3% on a straight-lined basis</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Started $73 million of redevelopment projects and completed $42 million of ground-up development and redevelopment projects</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in-process development and redevelopment projects had estimated net project costs of $635 million at a blended estimated yield of 9%</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The Company's operating partnership, Regency Centers, L.P., priced a public offering of $450 million of senior unsecured notes due 2033 at a coupon of 4.50%</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Pro-rata net debt and preferred stock to TTM operating EBITDAre at March 31, 2026 was 5.2x</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Reaffirmed 2026 earnings guidance for Nareit FFO, Core Operating Earnings, and Same Property NOI growth</w:t>
      </w:r>
    </w:p>
    <w:p>
      <w:pPr>
        <w:spacing w:after="0" w:line="350" w:lineRule="exact"/>
        <w:rPr>
          <w:sz w:val="20"/>
          <w:szCs w:val="20"/>
          <w:color w:val="auto"/>
        </w:rPr>
      </w:pPr>
    </w:p>
    <w:p>
      <w:pPr>
        <w:ind w:left="8" w:right="200"/>
        <w:spacing w:after="0" w:line="235" w:lineRule="auto"/>
        <w:rPr>
          <w:sz w:val="20"/>
          <w:szCs w:val="20"/>
          <w:color w:val="auto"/>
        </w:rPr>
      </w:pPr>
      <w:r>
        <w:rPr>
          <w:rFonts w:ascii="Arial" w:cs="Arial" w:eastAsia="Arial" w:hAnsi="Arial"/>
          <w:sz w:val="12"/>
          <w:szCs w:val="12"/>
          <w:color w:val="auto"/>
        </w:rPr>
        <w:t>“We delivered an outstanding start to the year, driven by strong Same Property NOI growth, continued robust tenant demand, and meaningful momentum across our investments platform,” said Lisa Palmer, President and Chief Executive Officer. “Our differentiated growth strategy, anchored by high-quality trade areas, a leading development platform, a strong balance sheet and our exceptional team, continues to position Regency to deliver durable and consistent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265430</wp:posOffset>
            </wp:positionV>
            <wp:extent cx="720280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559" w:right="299" w:bottom="1440" w:gutter="0" w:footer="0" w:header="0"/>
        </w:sectPr>
      </w:pPr>
    </w:p>
    <w:bookmarkStart w:id="4" w:name="page5"/>
    <w:bookmarkEnd w:id="4"/>
    <w:p>
      <w:pPr>
        <w:ind w:left="20"/>
        <w:spacing w:after="0"/>
        <w:rPr>
          <w:sz w:val="20"/>
          <w:szCs w:val="20"/>
          <w:color w:val="auto"/>
        </w:rPr>
      </w:pPr>
      <w:r>
        <w:rPr>
          <w:rFonts w:ascii="Arial" w:cs="Arial" w:eastAsia="Arial" w:hAnsi="Arial"/>
          <w:sz w:val="12"/>
          <w:szCs w:val="12"/>
          <w:color w:val="auto"/>
          <w:highlight w:val="black"/>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Net Income Attributable to Common Shareholders</w:t>
      </w:r>
    </w:p>
    <w:p>
      <w:pPr>
        <w:spacing w:after="0" w:line="85" w:lineRule="exact"/>
        <w:rPr>
          <w:sz w:val="20"/>
          <w:szCs w:val="20"/>
          <w:color w:val="auto"/>
        </w:rPr>
      </w:pPr>
    </w:p>
    <w:p>
      <w:pPr>
        <w:ind w:left="1040" w:right="460" w:hanging="516"/>
        <w:spacing w:after="0"/>
        <w:tabs>
          <w:tab w:leader="none" w:pos="1040" w:val="left"/>
        </w:tabs>
        <w:numPr>
          <w:ilvl w:val="0"/>
          <w:numId w:val="3"/>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Net Income Attributable to Common Shareholders was $125.1 million, or $0.68 per diluted share, compared to Net Income Attributable to Common Shareholders of $106.2 million, or $0.58 per diluted share, for the same period in 2025.</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Nareit FFO</w:t>
      </w:r>
    </w:p>
    <w:p>
      <w:pPr>
        <w:spacing w:after="0" w:line="54" w:lineRule="exact"/>
        <w:rPr>
          <w:sz w:val="20"/>
          <w:szCs w:val="20"/>
          <w:color w:val="auto"/>
        </w:rPr>
      </w:pPr>
    </w:p>
    <w:p>
      <w:pPr>
        <w:ind w:left="1040" w:hanging="516"/>
        <w:spacing w:after="0"/>
        <w:tabs>
          <w:tab w:leader="none" w:pos="1040" w:val="left"/>
        </w:tabs>
        <w:numPr>
          <w:ilvl w:val="0"/>
          <w:numId w:val="4"/>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Nareit FFO was $224.3 million, or $1.20 per diluted share, compared to $210.7 million, or $1.15 per diluted share, for the same period in 2025.</w:t>
      </w:r>
    </w:p>
    <w:p>
      <w:pPr>
        <w:spacing w:after="0" w:line="372" w:lineRule="exact"/>
        <w:rPr>
          <w:sz w:val="20"/>
          <w:szCs w:val="20"/>
          <w:color w:val="auto"/>
        </w:rPr>
      </w:pPr>
    </w:p>
    <w:p>
      <w:pPr>
        <w:ind w:left="1040" w:right="280" w:hanging="516"/>
        <w:spacing w:after="0"/>
        <w:tabs>
          <w:tab w:leader="none" w:pos="1040" w:val="left"/>
        </w:tabs>
        <w:numPr>
          <w:ilvl w:val="0"/>
          <w:numId w:val="5"/>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Core Operating Earnings was $216.5 million, or $1.16 per diluted share, compared to $199.4 million, or $1.09 per diluted share, for the same period in 2025.</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2"/>
          <w:szCs w:val="12"/>
          <w:color w:val="auto"/>
          <w:highlight w:val="black"/>
        </w:rPr>
        <w:t>Portfolio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NOI</w:t>
      </w:r>
    </w:p>
    <w:p>
      <w:pPr>
        <w:spacing w:after="0" w:line="54" w:lineRule="exact"/>
        <w:rPr>
          <w:sz w:val="20"/>
          <w:szCs w:val="20"/>
          <w:color w:val="auto"/>
        </w:rPr>
      </w:pPr>
    </w:p>
    <w:p>
      <w:pPr>
        <w:ind w:left="1040" w:hanging="516"/>
        <w:spacing w:after="0"/>
        <w:tabs>
          <w:tab w:leader="none" w:pos="1040" w:val="left"/>
        </w:tabs>
        <w:numPr>
          <w:ilvl w:val="0"/>
          <w:numId w:val="6"/>
        </w:numPr>
        <w:rPr>
          <w:rFonts w:ascii="Times New Roman" w:cs="Times New Roman" w:eastAsia="Times New Roman" w:hAnsi="Times New Roman"/>
          <w:sz w:val="12"/>
          <w:szCs w:val="12"/>
          <w:color w:val="auto"/>
        </w:rPr>
      </w:pPr>
      <w:r>
        <w:rPr>
          <w:rFonts w:ascii="Arial" w:cs="Arial" w:eastAsia="Arial" w:hAnsi="Arial"/>
          <w:sz w:val="12"/>
          <w:szCs w:val="12"/>
          <w:color w:val="auto"/>
        </w:rPr>
        <w:t>First quarter 2026 Same Property NOI increased by 4.4% compared to the same period in 2025.</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Same Property base rent growth contributed 3.6% to Same Property NOI growth in the first quarter of 2026.</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6"/>
        </w:numPr>
        <w:rPr>
          <w:rFonts w:ascii="Times New Roman" w:cs="Times New Roman" w:eastAsia="Times New Roman" w:hAnsi="Times New Roman"/>
          <w:sz w:val="12"/>
          <w:szCs w:val="12"/>
          <w:color w:val="auto"/>
        </w:rPr>
      </w:pPr>
      <w:r>
        <w:rPr>
          <w:rFonts w:ascii="Arial" w:cs="Arial" w:eastAsia="Arial" w:hAnsi="Arial"/>
          <w:sz w:val="12"/>
          <w:szCs w:val="12"/>
          <w:color w:val="auto"/>
        </w:rPr>
        <w:t>First quarter 2026 NOI increased by 8.4% compared to the same period in 2025.</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Occupancy</w:t>
      </w:r>
    </w:p>
    <w:p>
      <w:pPr>
        <w:spacing w:after="0" w:line="54" w:lineRule="exact"/>
        <w:rPr>
          <w:sz w:val="20"/>
          <w:szCs w:val="20"/>
          <w:color w:val="auto"/>
        </w:rPr>
      </w:pPr>
    </w:p>
    <w:p>
      <w:pPr>
        <w:ind w:left="1040" w:hanging="516"/>
        <w:spacing w:after="0"/>
        <w:tabs>
          <w:tab w:leader="none" w:pos="1040" w:val="left"/>
        </w:tabs>
        <w:numPr>
          <w:ilvl w:val="0"/>
          <w:numId w:val="7"/>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Same Property portfolio was 96.6% leased, an increase of 10 basis points sequentially, and flat compared to March 31, 2025.</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Same Property anchor percent leased, which includes spaces greater than or equal to 10,000 square feet, was 98.2%.</w:t>
      </w:r>
    </w:p>
    <w:p>
      <w:pPr>
        <w:spacing w:after="0" w:line="68"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1"/>
          <w:szCs w:val="11"/>
          <w:color w:val="auto"/>
        </w:rPr>
        <w:t>Same Property shop percent leased, which includes spaces less than 10,000 square feet, was 94.1%.</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7"/>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Same Property portfolio was 94.3% commenced, an increase of 20 basis points sequentially and an increase of 90 basis points compared to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Leasing Activity</w:t>
      </w:r>
    </w:p>
    <w:p>
      <w:pPr>
        <w:spacing w:after="0" w:line="85" w:lineRule="exact"/>
        <w:rPr>
          <w:sz w:val="20"/>
          <w:szCs w:val="20"/>
          <w:color w:val="auto"/>
        </w:rPr>
      </w:pPr>
    </w:p>
    <w:p>
      <w:pPr>
        <w:ind w:left="1040" w:right="60" w:hanging="516"/>
        <w:spacing w:after="0"/>
        <w:tabs>
          <w:tab w:leader="none" w:pos="104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During the three months ended March 31, 2026, Regency executed approximately 1.5 million square feet of comparable new and renewal leases at a blended cash rent spread of +12.1% and a blended straight-lined rent spread of +24.3%.</w:t>
      </w:r>
    </w:p>
    <w:p>
      <w:pPr>
        <w:spacing w:after="0" w:line="85"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8"/>
        </w:numPr>
        <w:rPr>
          <w:rFonts w:ascii="Times New Roman" w:cs="Times New Roman" w:eastAsia="Times New Roman" w:hAnsi="Times New Roman"/>
          <w:sz w:val="12"/>
          <w:szCs w:val="12"/>
          <w:color w:val="auto"/>
        </w:rPr>
      </w:pPr>
      <w:r>
        <w:rPr>
          <w:rFonts w:ascii="Arial" w:cs="Arial" w:eastAsia="Arial" w:hAnsi="Arial"/>
          <w:sz w:val="12"/>
          <w:szCs w:val="12"/>
          <w:color w:val="auto"/>
        </w:rPr>
        <w:t>During the twelve months ended March 31, 2026, Regency executed approximately 6.9 million square feet of comparable new and renewal leases at a blended cash rent spread of +11.7% and a blended straight-lined rent spread of +22.7%.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 Allocation and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Developments and Redevelopments</w:t>
      </w:r>
    </w:p>
    <w:p>
      <w:pPr>
        <w:spacing w:after="0" w:line="54" w:lineRule="exact"/>
        <w:rPr>
          <w:sz w:val="20"/>
          <w:szCs w:val="20"/>
          <w:color w:val="auto"/>
        </w:rPr>
      </w:pPr>
    </w:p>
    <w:p>
      <w:pPr>
        <w:ind w:left="1040" w:hanging="516"/>
        <w:spacing w:after="0"/>
        <w:tabs>
          <w:tab w:leader="none" w:pos="104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the Company started redevelopment projects with estimated net project costs of approximately $73 million, at the Company's share.</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First quarter starts included Crystal Brook Corner, a $59 million redevelopment project on Long Island in New York.</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9"/>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the Company completed approximately $42 million of ground up development and redevelopment projects.</w:t>
      </w:r>
    </w:p>
    <w:p>
      <w:pPr>
        <w:spacing w:after="0" w:line="87"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1"/>
          <w:szCs w:val="11"/>
          <w:color w:val="auto"/>
        </w:rPr>
        <w:t>First quarter completions included Oakley Shops at Laurel Fields, a 78K square foot Safeway-anchored ground-up development project in California's Bay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720280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280" w:top="795" w:right="339" w:bottom="1440" w:gutter="0" w:footer="0" w:header="0"/>
        </w:sectPr>
      </w:pPr>
    </w:p>
    <w:bookmarkStart w:id="5" w:name="page6"/>
    <w:bookmarkEnd w:id="5"/>
    <w:p>
      <w:pPr>
        <w:ind w:left="1040" w:hanging="516"/>
        <w:spacing w:after="0"/>
        <w:tabs>
          <w:tab w:leader="none" w:pos="1040" w:val="left"/>
        </w:tabs>
        <w:numPr>
          <w:ilvl w:val="0"/>
          <w:numId w:val="10"/>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in-process development and redevelopment projects had estimated net project costs of $635 million at the Company’s share, 46% of which had been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Property Transactions</w:t>
      </w:r>
    </w:p>
    <w:p>
      <w:pPr>
        <w:spacing w:after="0" w:line="54" w:lineRule="exact"/>
        <w:rPr>
          <w:sz w:val="20"/>
          <w:szCs w:val="20"/>
          <w:color w:val="auto"/>
        </w:rPr>
      </w:pPr>
    </w:p>
    <w:p>
      <w:pPr>
        <w:ind w:left="1040" w:hanging="516"/>
        <w:spacing w:after="0"/>
        <w:tabs>
          <w:tab w:leader="none" w:pos="1040" w:val="left"/>
        </w:tabs>
        <w:numPr>
          <w:ilvl w:val="0"/>
          <w:numId w:val="11"/>
        </w:numPr>
        <w:rPr>
          <w:rFonts w:ascii="Times New Roman" w:cs="Times New Roman" w:eastAsia="Times New Roman" w:hAnsi="Times New Roman"/>
          <w:sz w:val="12"/>
          <w:szCs w:val="12"/>
          <w:color w:val="auto"/>
        </w:rPr>
      </w:pPr>
      <w:r>
        <w:rPr>
          <w:rFonts w:ascii="Arial" w:cs="Arial" w:eastAsia="Arial" w:hAnsi="Arial"/>
          <w:sz w:val="12"/>
          <w:szCs w:val="12"/>
          <w:color w:val="auto"/>
        </w:rPr>
        <w:t>Effective January 1, 2026, the Company acquired its partner's 60% interest in Haddon Commons in Westmont, NJ for approximately $6 million, and now owns 100% of the asset.</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Balance Sheet</w:t>
      </w:r>
    </w:p>
    <w:p>
      <w:pPr>
        <w:spacing w:after="0" w:line="85" w:lineRule="exact"/>
        <w:rPr>
          <w:sz w:val="20"/>
          <w:szCs w:val="20"/>
          <w:color w:val="auto"/>
        </w:rPr>
      </w:pPr>
    </w:p>
    <w:p>
      <w:pPr>
        <w:jc w:val="both"/>
        <w:ind w:left="1040" w:right="160" w:hanging="516"/>
        <w:spacing w:after="0" w:line="246" w:lineRule="auto"/>
        <w:tabs>
          <w:tab w:leader="none" w:pos="104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On February 4, 2026, Regency’s Board of Directors authorized a refreshed share repurchase program, which authorizes the repurchase by Regency of up to $500 million of its common stock. The program will remain in place until February 28, 2029 unless earlier modified, extended or terminated in the discretion of the Board. The timing and price of share repurchases, if any, will be dependent upon market conditions and other factors.</w:t>
      </w:r>
    </w:p>
    <w:p>
      <w:pPr>
        <w:spacing w:after="0" w:line="50"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 had approximately $1.5 billion of available capacity under its revolving credit facility.</w:t>
      </w:r>
    </w:p>
    <w:p>
      <w:pPr>
        <w:spacing w:after="0" w:line="87"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pro-rata net debt and preferred stock to TTM operating EBITDAre was 5.2x.</w:t>
      </w:r>
    </w:p>
    <w:p>
      <w:pPr>
        <w:spacing w:after="0" w:line="118" w:lineRule="exact"/>
        <w:rPr>
          <w:rFonts w:ascii="Times New Roman" w:cs="Times New Roman" w:eastAsia="Times New Roman" w:hAnsi="Times New Roman"/>
          <w:sz w:val="12"/>
          <w:szCs w:val="12"/>
          <w:color w:val="auto"/>
        </w:rPr>
      </w:pPr>
    </w:p>
    <w:p>
      <w:pPr>
        <w:ind w:left="1040" w:right="140" w:hanging="516"/>
        <w:spacing w:after="0"/>
        <w:tabs>
          <w:tab w:leader="none" w:pos="1040" w:val="left"/>
        </w:tabs>
        <w:numPr>
          <w:ilvl w:val="0"/>
          <w:numId w:val="12"/>
        </w:numPr>
        <w:rPr>
          <w:rFonts w:ascii="Times New Roman" w:cs="Times New Roman" w:eastAsia="Times New Roman" w:hAnsi="Times New Roman"/>
          <w:sz w:val="12"/>
          <w:szCs w:val="12"/>
          <w:color w:val="auto"/>
        </w:rPr>
      </w:pPr>
      <w:r>
        <w:rPr>
          <w:rFonts w:ascii="Arial" w:cs="Arial" w:eastAsia="Arial" w:hAnsi="Arial"/>
          <w:sz w:val="12"/>
          <w:szCs w:val="12"/>
          <w:color w:val="auto"/>
        </w:rPr>
        <w:t>As previously disclosed, on February 18, 2026, the Company’s operating partnership, Regency Centers, L.P., priced a public offering of $450 million of senior unsecured notes due 2033 with a coupon of 4.50%.</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2"/>
          <w:szCs w:val="12"/>
          <w:color w:val="auto"/>
          <w:highlight w:val="black"/>
        </w:rPr>
        <w:t>2026 Guidance</w:t>
      </w:r>
    </w:p>
    <w:p>
      <w:pPr>
        <w:spacing w:after="0" w:line="99" w:lineRule="exact"/>
        <w:rPr>
          <w:sz w:val="20"/>
          <w:szCs w:val="20"/>
          <w:color w:val="auto"/>
        </w:rPr>
      </w:pPr>
    </w:p>
    <w:p>
      <w:pPr>
        <w:ind w:left="20" w:right="300"/>
        <w:spacing w:after="0" w:line="228" w:lineRule="auto"/>
        <w:rPr>
          <w:sz w:val="20"/>
          <w:szCs w:val="20"/>
          <w:color w:val="auto"/>
        </w:rPr>
      </w:pPr>
      <w:r>
        <w:rPr>
          <w:rFonts w:ascii="Arial" w:cs="Arial" w:eastAsia="Arial" w:hAnsi="Arial"/>
          <w:sz w:val="12"/>
          <w:szCs w:val="12"/>
          <w:color w:val="auto"/>
        </w:rPr>
        <w:t>Regency Centers is providing updated 2026 Guidance, as summarized in the table below. Please refer to the Company’s first quarter 2026 "Earnings Presentation" and "Quarterly Supplemental Disclosure" for additional detail. All materials are posted on the Company’s website at investors.regencycenters.com.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92075</wp:posOffset>
            </wp:positionV>
            <wp:extent cx="31115" cy="186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92075</wp:posOffset>
            </wp:positionV>
            <wp:extent cx="1161415" cy="186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580" w:type="dxa"/>
            <w:vAlign w:val="bottom"/>
            <w:vMerge w:val="restart"/>
          </w:tcPr>
          <w:p>
            <w:pPr>
              <w:spacing w:after="0"/>
              <w:rPr>
                <w:sz w:val="20"/>
                <w:szCs w:val="20"/>
                <w:color w:val="auto"/>
              </w:rPr>
            </w:pPr>
            <w:r>
              <w:rPr>
                <w:rFonts w:ascii="Arial" w:cs="Arial" w:eastAsia="Arial" w:hAnsi="Arial"/>
                <w:sz w:val="11"/>
                <w:szCs w:val="11"/>
                <w:color w:val="auto"/>
              </w:rPr>
              <w:t xml:space="preserve">Full Year 2026 Guidance </w:t>
            </w:r>
            <w:r>
              <w:rPr>
                <w:rFonts w:ascii="Arial" w:cs="Arial" w:eastAsia="Arial" w:hAnsi="Arial"/>
                <w:sz w:val="8"/>
                <w:szCs w:val="8"/>
                <w:color w:val="auto"/>
              </w:rPr>
              <w:t>(in thousands, except per share data)</w:t>
            </w:r>
          </w:p>
        </w:tc>
        <w:tc>
          <w:tcPr>
            <w:tcW w:w="3120" w:type="dxa"/>
            <w:vAlign w:val="bottom"/>
            <w:vMerge w:val="restart"/>
          </w:tcPr>
          <w:p>
            <w:pPr>
              <w:ind w:left="1960"/>
              <w:spacing w:after="0"/>
              <w:rPr>
                <w:sz w:val="20"/>
                <w:szCs w:val="20"/>
                <w:color w:val="auto"/>
              </w:rPr>
            </w:pPr>
            <w:r>
              <w:rPr>
                <w:rFonts w:ascii="Arial" w:cs="Arial" w:eastAsia="Arial" w:hAnsi="Arial"/>
                <w:sz w:val="9"/>
                <w:szCs w:val="9"/>
                <w:color w:val="auto"/>
                <w:highlight w:val="black"/>
              </w:rPr>
              <w:t>YTD Actual</w:t>
            </w:r>
          </w:p>
        </w:tc>
        <w:tc>
          <w:tcPr>
            <w:tcW w:w="1800" w:type="dxa"/>
            <w:vAlign w:val="bottom"/>
            <w:tcBorders>
              <w:right w:val="single" w:sz="8" w:color="808080"/>
            </w:tcBorders>
            <w:shd w:val="clear" w:color="auto" w:fill="808080"/>
          </w:tcPr>
          <w:p>
            <w:pPr>
              <w:jc w:val="center"/>
              <w:spacing w:after="0"/>
              <w:rPr>
                <w:sz w:val="20"/>
                <w:szCs w:val="20"/>
                <w:color w:val="auto"/>
              </w:rPr>
            </w:pPr>
            <w:r>
              <w:rPr>
                <w:rFonts w:ascii="Arial" w:cs="Arial" w:eastAsia="Arial" w:hAnsi="Arial"/>
                <w:sz w:val="9"/>
                <w:szCs w:val="9"/>
                <w:color w:val="auto"/>
                <w:highlight w:val="white"/>
              </w:rPr>
              <w:t>Current</w:t>
            </w:r>
          </w:p>
        </w:tc>
        <w:tc>
          <w:tcPr>
            <w:tcW w:w="1800" w:type="dxa"/>
            <w:vAlign w:val="bottom"/>
          </w:tcPr>
          <w:p>
            <w:pPr>
              <w:jc w:val="center"/>
              <w:spacing w:after="0"/>
              <w:rPr>
                <w:sz w:val="20"/>
                <w:szCs w:val="20"/>
                <w:color w:val="auto"/>
              </w:rPr>
            </w:pPr>
            <w:r>
              <w:rPr>
                <w:rFonts w:ascii="Arial" w:cs="Arial" w:eastAsia="Arial" w:hAnsi="Arial"/>
                <w:sz w:val="9"/>
                <w:szCs w:val="9"/>
                <w:color w:val="auto"/>
                <w:highlight w:val="black"/>
              </w:rPr>
              <w:t>Prior</w:t>
            </w:r>
          </w:p>
        </w:tc>
        <w:tc>
          <w:tcPr>
            <w:tcW w:w="0" w:type="dxa"/>
            <w:vAlign w:val="bottom"/>
          </w:tcPr>
          <w:p>
            <w:pPr>
              <w:spacing w:after="0"/>
              <w:rPr>
                <w:sz w:val="1"/>
                <w:szCs w:val="1"/>
                <w:color w:val="auto"/>
              </w:rPr>
            </w:pPr>
          </w:p>
        </w:tc>
      </w:tr>
      <w:tr>
        <w:trPr>
          <w:trHeight w:val="57"/>
        </w:trPr>
        <w:tc>
          <w:tcPr>
            <w:tcW w:w="458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1800" w:type="dxa"/>
            <w:vAlign w:val="bottom"/>
            <w:tcBorders>
              <w:right w:val="single" w:sz="8" w:color="808080"/>
            </w:tcBorders>
            <w:vMerge w:val="restart"/>
            <w:shd w:val="clear" w:color="auto" w:fill="808080"/>
          </w:tcPr>
          <w:p>
            <w:pPr>
              <w:jc w:val="center"/>
              <w:spacing w:after="0" w:line="96" w:lineRule="exact"/>
              <w:rPr>
                <w:sz w:val="20"/>
                <w:szCs w:val="20"/>
                <w:color w:val="auto"/>
              </w:rPr>
            </w:pPr>
            <w:r>
              <w:rPr>
                <w:rFonts w:ascii="Arial" w:cs="Arial" w:eastAsia="Arial" w:hAnsi="Arial"/>
                <w:sz w:val="9"/>
                <w:szCs w:val="9"/>
                <w:color w:val="auto"/>
                <w:highlight w:val="white"/>
              </w:rPr>
              <w:t>2026 Guidance</w:t>
            </w:r>
          </w:p>
        </w:tc>
        <w:tc>
          <w:tcPr>
            <w:tcW w:w="1800" w:type="dxa"/>
            <w:vAlign w:val="bottom"/>
            <w:vMerge w:val="restart"/>
          </w:tcPr>
          <w:p>
            <w:pPr>
              <w:jc w:val="center"/>
              <w:spacing w:after="0" w:line="96" w:lineRule="exact"/>
              <w:rPr>
                <w:sz w:val="20"/>
                <w:szCs w:val="20"/>
                <w:color w:val="auto"/>
              </w:rPr>
            </w:pPr>
            <w:r>
              <w:rPr>
                <w:rFonts w:ascii="Arial" w:cs="Arial" w:eastAsia="Arial" w:hAnsi="Arial"/>
                <w:sz w:val="9"/>
                <w:szCs w:val="9"/>
                <w:color w:val="auto"/>
                <w:highlight w:val="black"/>
              </w:rPr>
              <w:t>2026 Guidance</w:t>
            </w:r>
          </w:p>
        </w:tc>
        <w:tc>
          <w:tcPr>
            <w:tcW w:w="0" w:type="dxa"/>
            <w:vAlign w:val="bottom"/>
          </w:tcPr>
          <w:p>
            <w:pPr>
              <w:spacing w:after="0"/>
              <w:rPr>
                <w:sz w:val="1"/>
                <w:szCs w:val="1"/>
                <w:color w:val="auto"/>
              </w:rPr>
            </w:pPr>
          </w:p>
        </w:tc>
      </w:tr>
      <w:tr>
        <w:trPr>
          <w:trHeight w:val="59"/>
        </w:trPr>
        <w:tc>
          <w:tcPr>
            <w:tcW w:w="4580" w:type="dxa"/>
            <w:vAlign w:val="bottom"/>
            <w:tcBorders>
              <w:bottom w:val="single" w:sz="8" w:color="BFBFBF"/>
            </w:tcBorders>
          </w:tcPr>
          <w:p>
            <w:pPr>
              <w:spacing w:after="0"/>
              <w:rPr>
                <w:sz w:val="5"/>
                <w:szCs w:val="5"/>
                <w:color w:val="auto"/>
              </w:rPr>
            </w:pPr>
          </w:p>
        </w:tc>
        <w:tc>
          <w:tcPr>
            <w:tcW w:w="3120" w:type="dxa"/>
            <w:vAlign w:val="bottom"/>
            <w:tcBorders>
              <w:bottom w:val="single" w:sz="8" w:color="BFBFBF"/>
            </w:tcBorders>
          </w:tcPr>
          <w:p>
            <w:pPr>
              <w:spacing w:after="0"/>
              <w:rPr>
                <w:sz w:val="5"/>
                <w:szCs w:val="5"/>
                <w:color w:val="auto"/>
              </w:rPr>
            </w:pPr>
          </w:p>
        </w:tc>
        <w:tc>
          <w:tcPr>
            <w:tcW w:w="1800" w:type="dxa"/>
            <w:vAlign w:val="bottom"/>
            <w:tcBorders>
              <w:bottom w:val="single" w:sz="8" w:color="BFBFBF"/>
              <w:right w:val="single" w:sz="8" w:color="808080"/>
            </w:tcBorders>
            <w:vMerge w:val="continue"/>
            <w:shd w:val="clear" w:color="auto" w:fill="808080"/>
          </w:tcPr>
          <w:p>
            <w:pPr>
              <w:spacing w:after="0"/>
              <w:rPr>
                <w:sz w:val="5"/>
                <w:szCs w:val="5"/>
                <w:color w:val="auto"/>
              </w:rPr>
            </w:pPr>
          </w:p>
        </w:tc>
        <w:tc>
          <w:tcPr>
            <w:tcW w:w="1800" w:type="dxa"/>
            <w:vAlign w:val="bottom"/>
            <w:tcBorders>
              <w:bottom w:val="single" w:sz="8" w:color="BFBFB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Net Income Attributable to Common Shareholders per diluted share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$0.68</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$2.45 - $2.49</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$2.35 - $2.39</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Nareit Funds From Operations (“Nareit FFO”) per diluted share</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w w:val="99"/>
              </w:rPr>
              <w:t>$1.20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$4.83 - $4.87</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$4.83 - $4.87</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line="134" w:lineRule="exact"/>
              <w:rPr>
                <w:sz w:val="20"/>
                <w:szCs w:val="20"/>
                <w:color w:val="auto"/>
              </w:rPr>
            </w:pPr>
            <w:r>
              <w:rPr>
                <w:rFonts w:ascii="Arial" w:cs="Arial" w:eastAsia="Arial" w:hAnsi="Arial"/>
                <w:sz w:val="8"/>
                <w:szCs w:val="8"/>
                <w:color w:val="auto"/>
              </w:rPr>
              <w:t>Core Operating Earnings per diluted share</w:t>
            </w:r>
            <w:r>
              <w:rPr>
                <w:rFonts w:ascii="Arial" w:cs="Arial" w:eastAsia="Arial" w:hAnsi="Arial"/>
                <w:sz w:val="12"/>
                <w:szCs w:val="12"/>
                <w:color w:val="auto"/>
                <w:vertAlign w:val="superscript"/>
              </w:rPr>
              <w:t>(1)</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$1.16</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Same property NOI growth</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rPr>
              <w:t>4.4%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+3.25% to +3.75%</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+3.25% to +3.75%</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Non-cash revenues</w:t>
            </w:r>
            <w:r>
              <w:rPr>
                <w:rFonts w:ascii="Arial" w:cs="Arial" w:eastAsia="Arial" w:hAnsi="Arial"/>
                <w:sz w:val="11"/>
                <w:szCs w:val="11"/>
                <w:color w:val="auto"/>
                <w:vertAlign w:val="superscript"/>
              </w:rPr>
              <w:t>(2)</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$9,693</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+/-$51,000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 $51,000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G&amp;A expense, net</w:t>
            </w:r>
            <w:r>
              <w:rPr>
                <w:rFonts w:ascii="Arial" w:cs="Arial" w:eastAsia="Arial" w:hAnsi="Arial"/>
                <w:sz w:val="11"/>
                <w:szCs w:val="11"/>
                <w:color w:val="auto"/>
                <w:vertAlign w:val="superscript"/>
              </w:rPr>
              <w:t>(3)</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$24,894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$96,000-$100,000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$96,000-$100,000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Interest expense, net and Preferred stock dividends</w:t>
            </w:r>
            <w:r>
              <w:rPr>
                <w:rFonts w:ascii="Arial" w:cs="Arial" w:eastAsia="Arial" w:hAnsi="Arial"/>
                <w:sz w:val="11"/>
                <w:szCs w:val="11"/>
                <w:color w:val="auto"/>
                <w:vertAlign w:val="superscript"/>
              </w:rPr>
              <w:t>(4)</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$60,962</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Management, transaction and other fees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$6,652</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+/-$27,000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+/-$27,000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Development and Redevelopment spend</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$100,700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+/-$350,000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+/-$325,000</w:t>
            </w:r>
          </w:p>
        </w:tc>
        <w:tc>
          <w:tcPr>
            <w:tcW w:w="0" w:type="dxa"/>
            <w:vAlign w:val="bottom"/>
          </w:tcPr>
          <w:p>
            <w:pPr>
              <w:spacing w:after="0"/>
              <w:rPr>
                <w:sz w:val="1"/>
                <w:szCs w:val="1"/>
                <w:color w:val="auto"/>
              </w:rPr>
            </w:pPr>
          </w:p>
        </w:tc>
      </w:tr>
      <w:tr>
        <w:trPr>
          <w:trHeight w:val="133"/>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Acquisitions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$6,300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highlight w:val="black"/>
              </w:rPr>
              <w:t>+/-$25,000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00"/>
        </w:trPr>
        <w:tc>
          <w:tcPr>
            <w:tcW w:w="4580" w:type="dxa"/>
            <w:vAlign w:val="bottom"/>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right w:val="single" w:sz="8" w:color="808080"/>
            </w:tcBorders>
          </w:tcPr>
          <w:p>
            <w:pPr>
              <w:jc w:val="center"/>
              <w:ind w:left="1238"/>
              <w:spacing w:after="0"/>
              <w:rPr>
                <w:sz w:val="20"/>
                <w:szCs w:val="20"/>
                <w:color w:val="auto"/>
              </w:rPr>
            </w:pPr>
            <w:r>
              <w:rPr>
                <w:rFonts w:ascii="Arial" w:cs="Arial" w:eastAsia="Arial" w:hAnsi="Arial"/>
                <w:sz w:val="8"/>
                <w:szCs w:val="8"/>
                <w:color w:val="auto"/>
              </w:rPr>
              <w:t>7.3%</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8"/>
                <w:szCs w:val="8"/>
                <w:color w:val="auto"/>
                <w:highlight w:val="black"/>
              </w:rPr>
              <w:t>+/- 5.9%</w:t>
            </w:r>
          </w:p>
        </w:tc>
        <w:tc>
          <w:tcPr>
            <w:tcW w:w="1800" w:type="dxa"/>
            <w:vAlign w:val="bottom"/>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580" w:type="dxa"/>
            <w:vAlign w:val="bottom"/>
            <w:shd w:val="clear" w:color="auto" w:fill="F2F2F2"/>
          </w:tcPr>
          <w:p>
            <w:pPr>
              <w:spacing w:after="0"/>
              <w:rPr>
                <w:sz w:val="20"/>
                <w:szCs w:val="20"/>
                <w:color w:val="auto"/>
              </w:rPr>
            </w:pPr>
            <w:r>
              <w:rPr>
                <w:rFonts w:ascii="Arial" w:cs="Arial" w:eastAsia="Arial" w:hAnsi="Arial"/>
                <w:sz w:val="8"/>
                <w:szCs w:val="8"/>
                <w:color w:val="auto"/>
              </w:rPr>
              <w:t>Dispositions</w:t>
            </w:r>
          </w:p>
        </w:tc>
        <w:tc>
          <w:tcPr>
            <w:tcW w:w="3120" w:type="dxa"/>
            <w:vAlign w:val="bottom"/>
            <w:tcBorders>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89"/>
              </w:rPr>
              <w:t>$0</w:t>
            </w:r>
          </w:p>
        </w:tc>
        <w:tc>
          <w:tcPr>
            <w:tcW w:w="1800" w:type="dxa"/>
            <w:vAlign w:val="bottom"/>
            <w:tcBorders>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1800" w:type="dxa"/>
            <w:vAlign w:val="bottom"/>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25"/>
        </w:trPr>
        <w:tc>
          <w:tcPr>
            <w:tcW w:w="45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4580" w:type="dxa"/>
            <w:vAlign w:val="bottom"/>
            <w:shd w:val="clear" w:color="auto" w:fill="BFBFBF"/>
          </w:tcPr>
          <w:p>
            <w:pPr>
              <w:spacing w:after="0" w:line="20" w:lineRule="exact"/>
              <w:rPr>
                <w:sz w:val="1"/>
                <w:szCs w:val="1"/>
                <w:color w:val="auto"/>
              </w:rPr>
            </w:pPr>
          </w:p>
        </w:tc>
        <w:tc>
          <w:tcPr>
            <w:tcW w:w="312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-1436370</wp:posOffset>
            </wp:positionV>
            <wp:extent cx="311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-1436370</wp:posOffset>
            </wp:positionV>
            <wp:extent cx="311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-1310005</wp:posOffset>
            </wp:positionV>
            <wp:extent cx="311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-1310005</wp:posOffset>
            </wp:positionV>
            <wp:extent cx="311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-1183640</wp:posOffset>
            </wp:positionV>
            <wp:extent cx="311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-1183640</wp:posOffset>
            </wp:positionV>
            <wp:extent cx="311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-1057275</wp:posOffset>
            </wp:positionV>
            <wp:extent cx="311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-1057275</wp:posOffset>
            </wp:positionV>
            <wp:extent cx="311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-930910</wp:posOffset>
            </wp:positionV>
            <wp:extent cx="311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-930910</wp:posOffset>
            </wp:positionV>
            <wp:extent cx="311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-804545</wp:posOffset>
            </wp:positionV>
            <wp:extent cx="311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-804545</wp:posOffset>
            </wp:positionV>
            <wp:extent cx="311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-678180</wp:posOffset>
            </wp:positionV>
            <wp:extent cx="311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-678180</wp:posOffset>
            </wp:positionV>
            <wp:extent cx="311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-551815</wp:posOffset>
            </wp:positionV>
            <wp:extent cx="311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-551815</wp:posOffset>
            </wp:positionV>
            <wp:extent cx="311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-425450</wp:posOffset>
            </wp:positionV>
            <wp:extent cx="311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-425450</wp:posOffset>
            </wp:positionV>
            <wp:extent cx="311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-236220</wp:posOffset>
            </wp:positionV>
            <wp:extent cx="311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-236220</wp:posOffset>
            </wp:positionV>
            <wp:extent cx="311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-46355</wp:posOffset>
            </wp:positionV>
            <wp:extent cx="311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-46355</wp:posOffset>
            </wp:positionV>
            <wp:extent cx="311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-354330</wp:posOffset>
            </wp:positionV>
            <wp:extent cx="149860" cy="132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860" cy="132715"/>
                    </a:xfrm>
                    <a:prstGeom prst="rect">
                      <a:avLst/>
                    </a:prstGeom>
                    <a:noFill/>
                  </pic:spPr>
                </pic:pic>
              </a:graphicData>
            </a:graphic>
          </wp:anchor>
        </w:drawing>
      </w:r>
    </w:p>
    <w:p>
      <w:pPr>
        <w:spacing w:after="0" w:line="150" w:lineRule="exact"/>
        <w:rPr>
          <w:sz w:val="20"/>
          <w:szCs w:val="20"/>
          <w:color w:val="auto"/>
        </w:rPr>
      </w:pPr>
    </w:p>
    <w:p>
      <w:pPr>
        <w:ind w:right="420"/>
        <w:spacing w:after="0"/>
        <w:rPr>
          <w:sz w:val="20"/>
          <w:szCs w:val="20"/>
          <w:color w:val="auto"/>
        </w:rPr>
      </w:pPr>
      <w:r>
        <w:rPr>
          <w:rFonts w:ascii="Arial" w:cs="Arial" w:eastAsia="Arial" w:hAnsi="Arial"/>
          <w:sz w:val="8"/>
          <w:szCs w:val="8"/>
          <w:color w:val="auto"/>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spacing w:after="0" w:line="179" w:lineRule="exact"/>
        <w:rPr>
          <w:sz w:val="20"/>
          <w:szCs w:val="20"/>
          <w:color w:val="auto"/>
        </w:rPr>
      </w:pPr>
    </w:p>
    <w:p>
      <w:pPr>
        <w:ind w:left="300" w:right="220" w:hanging="291"/>
        <w:spacing w:after="0" w:line="199" w:lineRule="auto"/>
        <w:tabs>
          <w:tab w:leader="none" w:pos="300" w:val="left"/>
        </w:tabs>
        <w:numPr>
          <w:ilvl w:val="0"/>
          <w:numId w:val="13"/>
        </w:numPr>
        <w:rPr>
          <w:rFonts w:ascii="Arial" w:cs="Arial" w:eastAsia="Arial" w:hAnsi="Arial"/>
          <w:sz w:val="11"/>
          <w:szCs w:val="11"/>
          <w:color w:val="auto"/>
          <w:vertAlign w:val="superscript"/>
        </w:rPr>
      </w:pPr>
      <w:r>
        <w:rPr>
          <w:rFonts w:ascii="Arial" w:cs="Arial" w:eastAsia="Arial" w:hAnsi="Arial"/>
          <w:sz w:val="8"/>
          <w:szCs w:val="8"/>
          <w:color w:val="auto"/>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spacing w:after="0" w:line="9" w:lineRule="exact"/>
        <w:rPr>
          <w:rFonts w:ascii="Arial" w:cs="Arial" w:eastAsia="Arial" w:hAnsi="Arial"/>
          <w:sz w:val="11"/>
          <w:szCs w:val="11"/>
          <w:color w:val="auto"/>
          <w:vertAlign w:val="superscript"/>
        </w:rPr>
      </w:pPr>
    </w:p>
    <w:p>
      <w:pPr>
        <w:ind w:left="300" w:hanging="291"/>
        <w:spacing w:after="0"/>
        <w:tabs>
          <w:tab w:leader="none" w:pos="300" w:val="left"/>
        </w:tabs>
        <w:numPr>
          <w:ilvl w:val="0"/>
          <w:numId w:val="13"/>
        </w:numPr>
        <w:rPr>
          <w:rFonts w:ascii="Arial" w:cs="Arial" w:eastAsia="Arial" w:hAnsi="Arial"/>
          <w:sz w:val="11"/>
          <w:szCs w:val="11"/>
          <w:color w:val="auto"/>
          <w:vertAlign w:val="superscript"/>
        </w:rPr>
      </w:pPr>
      <w:r>
        <w:rPr>
          <w:rFonts w:ascii="Arial" w:cs="Arial" w:eastAsia="Arial" w:hAnsi="Arial"/>
          <w:sz w:val="8"/>
          <w:szCs w:val="8"/>
          <w:color w:val="auto"/>
        </w:rPr>
        <w:t>Includes above and below market rent amortization and straight-line rents, and excludes debt and derivative mark to market amortization.</w:t>
      </w:r>
    </w:p>
    <w:p>
      <w:pPr>
        <w:spacing w:after="0" w:line="50" w:lineRule="exact"/>
        <w:rPr>
          <w:rFonts w:ascii="Arial" w:cs="Arial" w:eastAsia="Arial" w:hAnsi="Arial"/>
          <w:sz w:val="11"/>
          <w:szCs w:val="11"/>
          <w:color w:val="auto"/>
          <w:vertAlign w:val="superscript"/>
        </w:rPr>
      </w:pPr>
    </w:p>
    <w:p>
      <w:pPr>
        <w:ind w:left="300" w:hanging="291"/>
        <w:spacing w:after="0" w:line="198" w:lineRule="auto"/>
        <w:tabs>
          <w:tab w:leader="none" w:pos="300" w:val="left"/>
        </w:tabs>
        <w:numPr>
          <w:ilvl w:val="0"/>
          <w:numId w:val="13"/>
        </w:numPr>
        <w:rPr>
          <w:rFonts w:ascii="Arial" w:cs="Arial" w:eastAsia="Arial" w:hAnsi="Arial"/>
          <w:sz w:val="9"/>
          <w:szCs w:val="9"/>
          <w:color w:val="auto"/>
          <w:vertAlign w:val="superscript"/>
        </w:rPr>
      </w:pPr>
      <w:r>
        <w:rPr>
          <w:rFonts w:ascii="Arial" w:cs="Arial" w:eastAsia="Arial" w:hAnsi="Arial"/>
          <w:sz w:val="7"/>
          <w:szCs w:val="7"/>
          <w:color w:val="auto"/>
        </w:rPr>
        <w:t>Represents 'General &amp; administrative, net' before gains or losses on deferred compensation plan, as reported on supplemental pages 6 and 7 and calculated on a pro -rata basis.</w:t>
      </w:r>
    </w:p>
    <w:p>
      <w:pPr>
        <w:spacing w:after="0" w:line="50" w:lineRule="exact"/>
        <w:rPr>
          <w:rFonts w:ascii="Arial" w:cs="Arial" w:eastAsia="Arial" w:hAnsi="Arial"/>
          <w:sz w:val="9"/>
          <w:szCs w:val="9"/>
          <w:color w:val="auto"/>
          <w:vertAlign w:val="superscript"/>
        </w:rPr>
      </w:pPr>
    </w:p>
    <w:p>
      <w:pPr>
        <w:ind w:left="300" w:hanging="291"/>
        <w:spacing w:after="0" w:line="198" w:lineRule="auto"/>
        <w:tabs>
          <w:tab w:leader="none" w:pos="300" w:val="left"/>
        </w:tabs>
        <w:numPr>
          <w:ilvl w:val="0"/>
          <w:numId w:val="13"/>
        </w:numPr>
        <w:rPr>
          <w:rFonts w:ascii="Arial" w:cs="Arial" w:eastAsia="Arial" w:hAnsi="Arial"/>
          <w:sz w:val="9"/>
          <w:szCs w:val="9"/>
          <w:color w:val="auto"/>
          <w:vertAlign w:val="superscript"/>
        </w:rPr>
      </w:pPr>
      <w:r>
        <w:rPr>
          <w:rFonts w:ascii="Arial" w:cs="Arial" w:eastAsia="Arial" w:hAnsi="Arial"/>
          <w:sz w:val="7"/>
          <w:szCs w:val="7"/>
          <w:color w:val="auto"/>
        </w:rPr>
        <w:t>Includes debt and derivative mark to market amortization, and is net of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20280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20"/>
          </w:cols>
          <w:pgMar w:left="280" w:top="770"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color w:val="auto"/>
        </w:rPr>
        <w:t>Conference Call Information</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discuss Regency’s first quarter results and provide further business updates, management will host a conference call on Thursday, April 30 at 11:00 a.m. ET. Dial-in and webcast information is below.</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color w:val="auto"/>
        </w:rPr>
        <w:t>First Quarter 2026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48145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81455" cy="5715"/>
                    </a:xfrm>
                    <a:prstGeom prst="rect">
                      <a:avLst/>
                    </a:prstGeom>
                    <a:noFill/>
                  </pic:spPr>
                </pic:pic>
              </a:graphicData>
            </a:graphic>
          </wp:anchor>
        </w:drawing>
      </w:r>
    </w:p>
    <w:p>
      <w:pPr>
        <w:spacing w:after="0" w:line="2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Thursday, April 30, 2026</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Time:</w:t>
      </w:r>
      <w:r>
        <w:rPr>
          <w:sz w:val="20"/>
          <w:szCs w:val="20"/>
          <w:color w:val="auto"/>
        </w:rPr>
        <w:tab/>
      </w:r>
      <w:r>
        <w:rPr>
          <w:rFonts w:ascii="Arial" w:cs="Arial" w:eastAsia="Arial" w:hAnsi="Arial"/>
          <w:sz w:val="12"/>
          <w:szCs w:val="12"/>
          <w:color w:val="auto"/>
        </w:rPr>
        <w:t>11:00 a.m. ET</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Dial#:</w:t>
      </w:r>
      <w:r>
        <w:rPr>
          <w:sz w:val="20"/>
          <w:szCs w:val="20"/>
          <w:color w:val="auto"/>
        </w:rPr>
        <w:tab/>
      </w:r>
      <w:r>
        <w:rPr>
          <w:rFonts w:ascii="Arial" w:cs="Arial" w:eastAsia="Arial" w:hAnsi="Arial"/>
          <w:sz w:val="12"/>
          <w:szCs w:val="12"/>
          <w:color w:val="auto"/>
        </w:rPr>
        <w:t>877-407-0789 or 201-689-8562</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Webcast:</w:t>
      </w:r>
      <w:r>
        <w:rPr>
          <w:sz w:val="20"/>
          <w:szCs w:val="20"/>
          <w:color w:val="auto"/>
        </w:rPr>
        <w:tab/>
      </w:r>
      <w:r>
        <w:rPr>
          <w:rFonts w:ascii="Arial" w:cs="Arial" w:eastAsia="Arial" w:hAnsi="Arial"/>
          <w:sz w:val="12"/>
          <w:szCs w:val="12"/>
          <w:color w:val="auto"/>
        </w:rPr>
        <w:t>First Quarter 2026 Webcast Link</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color w:val="auto"/>
          <w:highlight w:val="black"/>
        </w:rPr>
        <w:t xml:space="preserve">Replay: </w:t>
      </w:r>
      <w:r>
        <w:rPr>
          <w:rFonts w:ascii="Arial" w:cs="Arial" w:eastAsia="Arial" w:hAnsi="Arial"/>
          <w:sz w:val="12"/>
          <w:szCs w:val="12"/>
          <w:color w:val="auto"/>
        </w:rPr>
        <w:t>Webcast Archive – Investor Relations page under Events &amp;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2768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6860" cy="5715"/>
                    </a:xfrm>
                    <a:prstGeom prst="rect">
                      <a:avLst/>
                    </a:prstGeom>
                    <a:noFill/>
                  </pic:spPr>
                </pic:pic>
              </a:graphicData>
            </a:graphic>
          </wp:anchor>
        </w:drawing>
      </w:r>
    </w:p>
    <w:p>
      <w:pPr>
        <w:spacing w:after="0" w:line="204"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About Regency Centers Corporation (Nasdaq: REG)</w:t>
      </w:r>
    </w:p>
    <w:p>
      <w:pPr>
        <w:spacing w:after="0" w:line="172" w:lineRule="exact"/>
        <w:rPr>
          <w:sz w:val="20"/>
          <w:szCs w:val="20"/>
          <w:color w:val="auto"/>
        </w:rPr>
      </w:pPr>
    </w:p>
    <w:p>
      <w:pPr>
        <w:ind w:left="8" w:right="20"/>
        <w:spacing w:after="0" w:line="235" w:lineRule="auto"/>
        <w:rPr>
          <w:sz w:val="20"/>
          <w:szCs w:val="20"/>
          <w:color w:val="auto"/>
        </w:rPr>
      </w:pPr>
      <w:r>
        <w:rPr>
          <w:rFonts w:ascii="Arial" w:cs="Arial" w:eastAsia="Arial" w:hAnsi="Arial"/>
          <w:sz w:val="12"/>
          <w:szCs w:val="12"/>
          <w:color w:val="auto"/>
        </w:rPr>
        <w:t>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RegencyCenters.com.</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Reconciliation of Net Income Attributable to Common Shareholders to Nareit FFO, Core Operating Earnings, and Adjusted Funds from Operations – Actual (in thousands, except per share amounts)</w:t>
      </w:r>
    </w:p>
    <w:p>
      <w:pPr>
        <w:sectPr>
          <w:pgSz w:w="11900" w:h="16838" w:orient="portrait"/>
          <w:cols w:equalWidth="0" w:num="1">
            <w:col w:w="11308"/>
          </w:cols>
          <w:pgMar w:left="292" w:top="940" w:right="299" w:bottom="1440" w:gutter="0" w:footer="0" w:header="0"/>
        </w:sectPr>
      </w:pPr>
    </w:p>
    <w:p>
      <w:pPr>
        <w:spacing w:after="0" w:line="154" w:lineRule="exact"/>
        <w:rPr>
          <w:sz w:val="20"/>
          <w:szCs w:val="20"/>
          <w:color w:val="auto"/>
        </w:rPr>
      </w:pPr>
    </w:p>
    <w:p>
      <w:pPr>
        <w:ind w:left="8"/>
        <w:spacing w:after="0"/>
        <w:rPr>
          <w:sz w:val="20"/>
          <w:szCs w:val="20"/>
          <w:color w:val="auto"/>
        </w:rPr>
      </w:pPr>
      <w:r>
        <w:rPr>
          <w:rFonts w:ascii="Arial" w:cs="Arial" w:eastAsia="Arial" w:hAnsi="Arial"/>
          <w:sz w:val="8"/>
          <w:szCs w:val="8"/>
          <w:color w:val="auto"/>
        </w:rPr>
        <w:t>For the Periods Ended March 31, 2026 and 2025</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Net Income Attributable to Common Shareholders to Nareit FFO:</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Net Income Attributable to Common Shareholders</w:t>
      </w:r>
    </w:p>
    <w:p>
      <w:pPr>
        <w:ind w:left="148"/>
        <w:spacing w:after="0" w:line="221" w:lineRule="auto"/>
        <w:rPr>
          <w:sz w:val="20"/>
          <w:szCs w:val="20"/>
          <w:color w:val="auto"/>
        </w:rPr>
      </w:pPr>
      <w:r>
        <w:rPr>
          <w:rFonts w:ascii="Arial" w:cs="Arial" w:eastAsia="Arial" w:hAnsi="Arial"/>
          <w:sz w:val="8"/>
          <w:szCs w:val="8"/>
          <w:color w:val="auto"/>
        </w:rPr>
        <w:t xml:space="preserve">Adjustments to reconcile to Nareit Funds From Operations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288"/>
        <w:spacing w:after="0" w:line="215" w:lineRule="auto"/>
        <w:rPr>
          <w:sz w:val="20"/>
          <w:szCs w:val="20"/>
          <w:color w:val="auto"/>
        </w:rPr>
      </w:pPr>
      <w:r>
        <w:rPr>
          <w:rFonts w:ascii="Arial" w:cs="Arial" w:eastAsia="Arial" w:hAnsi="Arial"/>
          <w:sz w:val="8"/>
          <w:szCs w:val="8"/>
          <w:color w:val="auto"/>
        </w:rPr>
        <w:t>Depreciation and amortization (excluding FF&amp;E)</w:t>
      </w:r>
    </w:p>
    <w:p>
      <w:pPr>
        <w:spacing w:after="0" w:line="8" w:lineRule="exact"/>
        <w:rPr>
          <w:sz w:val="20"/>
          <w:szCs w:val="20"/>
          <w:color w:val="auto"/>
        </w:rPr>
      </w:pPr>
    </w:p>
    <w:p>
      <w:pPr>
        <w:ind w:left="288"/>
        <w:spacing w:after="0"/>
        <w:rPr>
          <w:sz w:val="20"/>
          <w:szCs w:val="20"/>
          <w:color w:val="auto"/>
        </w:rPr>
      </w:pPr>
      <w:r>
        <w:rPr>
          <w:rFonts w:ascii="Arial" w:cs="Arial" w:eastAsia="Arial" w:hAnsi="Arial"/>
          <w:sz w:val="8"/>
          <w:szCs w:val="8"/>
          <w:color w:val="auto"/>
        </w:rPr>
        <w:t>Gain on sale of real estate, net of tax</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Exchangeable operating partnership units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8"/>
          <w:szCs w:val="8"/>
          <w:color w:val="auto"/>
          <w:highlight w:val="black"/>
        </w:rPr>
        <w:t>Nareit FFO</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8"/>
          <w:szCs w:val="8"/>
          <w:color w:val="auto"/>
        </w:rPr>
        <w:t>Nareit FFO per share (diluted)</w:t>
      </w:r>
    </w:p>
    <w:p>
      <w:pPr>
        <w:spacing w:after="0" w:line="7" w:lineRule="exact"/>
        <w:rPr>
          <w:sz w:val="20"/>
          <w:szCs w:val="20"/>
          <w:color w:val="auto"/>
        </w:rPr>
      </w:pPr>
    </w:p>
    <w:p>
      <w:pPr>
        <w:ind w:left="8"/>
        <w:spacing w:after="0"/>
        <w:rPr>
          <w:sz w:val="20"/>
          <w:szCs w:val="20"/>
          <w:color w:val="auto"/>
        </w:rPr>
      </w:pPr>
      <w:r>
        <w:rPr>
          <w:rFonts w:ascii="Arial" w:cs="Arial" w:eastAsia="Arial" w:hAnsi="Arial"/>
          <w:sz w:val="8"/>
          <w:szCs w:val="8"/>
          <w:color w:val="auto"/>
        </w:rPr>
        <w:t>Weighted average shares (diluted)</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Nareit FFO to Core Operating Earnings: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Nareit FFO</w:t>
      </w:r>
    </w:p>
    <w:p>
      <w:pPr>
        <w:ind w:left="148"/>
        <w:spacing w:after="0" w:line="221" w:lineRule="auto"/>
        <w:rPr>
          <w:sz w:val="20"/>
          <w:szCs w:val="20"/>
          <w:color w:val="auto"/>
        </w:rPr>
      </w:pPr>
      <w:r>
        <w:rPr>
          <w:rFonts w:ascii="Arial" w:cs="Arial" w:eastAsia="Arial" w:hAnsi="Arial"/>
          <w:sz w:val="8"/>
          <w:szCs w:val="8"/>
          <w:color w:val="auto"/>
        </w:rPr>
        <w:t xml:space="preserve">Adjustments to reconcile to Core Operating Earnings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148"/>
        <w:spacing w:after="0" w:line="215" w:lineRule="auto"/>
        <w:rPr>
          <w:sz w:val="20"/>
          <w:szCs w:val="20"/>
          <w:color w:val="auto"/>
        </w:rPr>
      </w:pPr>
      <w:r>
        <w:rPr>
          <w:rFonts w:ascii="Arial" w:cs="Arial" w:eastAsia="Arial" w:hAnsi="Arial"/>
          <w:sz w:val="8"/>
          <w:szCs w:val="8"/>
          <w:color w:val="auto"/>
        </w:rPr>
        <w:t>Certain Non-Cash Items</w:t>
      </w:r>
    </w:p>
    <w:p>
      <w:pPr>
        <w:spacing w:after="0" w:line="8" w:lineRule="exact"/>
        <w:rPr>
          <w:sz w:val="20"/>
          <w:szCs w:val="20"/>
          <w:color w:val="auto"/>
        </w:rPr>
      </w:pPr>
    </w:p>
    <w:p>
      <w:pPr>
        <w:ind w:left="288"/>
        <w:spacing w:after="0"/>
        <w:rPr>
          <w:sz w:val="20"/>
          <w:szCs w:val="20"/>
          <w:color w:val="auto"/>
        </w:rPr>
      </w:pPr>
      <w:r>
        <w:rPr>
          <w:rFonts w:ascii="Arial" w:cs="Arial" w:eastAsia="Arial" w:hAnsi="Arial"/>
          <w:sz w:val="8"/>
          <w:szCs w:val="8"/>
          <w:color w:val="auto"/>
        </w:rPr>
        <w:t>Straight-line rent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Uncollectible straight-line rent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Above/below market rent amortization, net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Debt and derivative mark-to-market amortization</w:t>
      </w:r>
    </w:p>
    <w:p>
      <w:pPr>
        <w:spacing w:after="0" w:line="17" w:lineRule="exact"/>
        <w:rPr>
          <w:sz w:val="20"/>
          <w:szCs w:val="20"/>
          <w:color w:val="auto"/>
        </w:rPr>
      </w:pPr>
    </w:p>
    <w:p>
      <w:pPr>
        <w:ind w:left="288"/>
        <w:spacing w:after="0"/>
        <w:rPr>
          <w:sz w:val="20"/>
          <w:szCs w:val="20"/>
          <w:color w:val="auto"/>
        </w:rPr>
      </w:pPr>
      <w:r>
        <w:rPr>
          <w:rFonts w:ascii="Arial" w:cs="Arial" w:eastAsia="Arial" w:hAnsi="Arial"/>
          <w:sz w:val="8"/>
          <w:szCs w:val="8"/>
          <w:color w:val="auto"/>
        </w:rPr>
        <w:t>Core Operating Earnings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8"/>
          <w:szCs w:val="8"/>
          <w:color w:val="auto"/>
        </w:rPr>
        <w:t>Core Operating Earnings per share (diluted)</w:t>
      </w:r>
    </w:p>
    <w:p>
      <w:pPr>
        <w:spacing w:after="0" w:line="7" w:lineRule="exact"/>
        <w:rPr>
          <w:sz w:val="20"/>
          <w:szCs w:val="20"/>
          <w:color w:val="auto"/>
        </w:rPr>
      </w:pPr>
    </w:p>
    <w:p>
      <w:pPr>
        <w:ind w:left="8"/>
        <w:spacing w:after="0"/>
        <w:rPr>
          <w:sz w:val="20"/>
          <w:szCs w:val="20"/>
          <w:color w:val="auto"/>
        </w:rPr>
      </w:pPr>
      <w:r>
        <w:rPr>
          <w:rFonts w:ascii="Arial" w:cs="Arial" w:eastAsia="Arial" w:hAnsi="Arial"/>
          <w:sz w:val="8"/>
          <w:szCs w:val="8"/>
          <w:color w:val="auto"/>
        </w:rPr>
        <w:t>Weighted average shares (diluted)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Core Operating Earnings to Adjusted Funds from Operations: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Core Operating Earnings</w:t>
      </w:r>
    </w:p>
    <w:p>
      <w:pPr>
        <w:ind w:left="68"/>
        <w:spacing w:after="0" w:line="221" w:lineRule="auto"/>
        <w:rPr>
          <w:sz w:val="20"/>
          <w:szCs w:val="20"/>
          <w:color w:val="auto"/>
        </w:rPr>
      </w:pPr>
      <w:r>
        <w:rPr>
          <w:rFonts w:ascii="Arial" w:cs="Arial" w:eastAsia="Arial" w:hAnsi="Arial"/>
          <w:sz w:val="8"/>
          <w:szCs w:val="8"/>
          <w:color w:val="auto"/>
        </w:rPr>
        <w:t xml:space="preserve">Adjustments to reconcile to Adjusted Funds from Operations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148"/>
        <w:spacing w:after="0" w:line="215" w:lineRule="auto"/>
        <w:rPr>
          <w:sz w:val="20"/>
          <w:szCs w:val="20"/>
          <w:color w:val="auto"/>
        </w:rPr>
      </w:pPr>
      <w:r>
        <w:rPr>
          <w:rFonts w:ascii="Arial" w:cs="Arial" w:eastAsia="Arial" w:hAnsi="Arial"/>
          <w:sz w:val="8"/>
          <w:szCs w:val="8"/>
          <w:color w:val="auto"/>
        </w:rPr>
        <w:t>Operating capital expenditures</w:t>
      </w:r>
    </w:p>
    <w:p>
      <w:pPr>
        <w:spacing w:after="0" w:line="8" w:lineRule="exact"/>
        <w:rPr>
          <w:sz w:val="20"/>
          <w:szCs w:val="20"/>
          <w:color w:val="auto"/>
        </w:rPr>
      </w:pPr>
    </w:p>
    <w:p>
      <w:pPr>
        <w:ind w:left="148"/>
        <w:spacing w:after="0"/>
        <w:rPr>
          <w:sz w:val="20"/>
          <w:szCs w:val="20"/>
          <w:color w:val="auto"/>
        </w:rPr>
      </w:pPr>
      <w:r>
        <w:rPr>
          <w:rFonts w:ascii="Arial" w:cs="Arial" w:eastAsia="Arial" w:hAnsi="Arial"/>
          <w:sz w:val="8"/>
          <w:szCs w:val="8"/>
          <w:color w:val="auto"/>
        </w:rPr>
        <w:t>Debt cost and derivative adjustments</w:t>
      </w:r>
    </w:p>
    <w:p>
      <w:pPr>
        <w:spacing w:after="0" w:line="17" w:lineRule="exact"/>
        <w:rPr>
          <w:sz w:val="20"/>
          <w:szCs w:val="20"/>
          <w:color w:val="auto"/>
        </w:rPr>
      </w:pPr>
    </w:p>
    <w:p>
      <w:pPr>
        <w:ind w:left="148"/>
        <w:spacing w:after="0"/>
        <w:rPr>
          <w:sz w:val="20"/>
          <w:szCs w:val="20"/>
          <w:color w:val="auto"/>
        </w:rPr>
      </w:pPr>
      <w:r>
        <w:rPr>
          <w:rFonts w:ascii="Arial" w:cs="Arial" w:eastAsia="Arial" w:hAnsi="Arial"/>
          <w:sz w:val="8"/>
          <w:szCs w:val="8"/>
          <w:color w:val="auto"/>
        </w:rPr>
        <w:t>Stock-based compensation</w:t>
      </w:r>
    </w:p>
    <w:p>
      <w:pPr>
        <w:spacing w:after="0" w:line="35" w:lineRule="exact"/>
        <w:rPr>
          <w:sz w:val="20"/>
          <w:szCs w:val="20"/>
          <w:color w:val="auto"/>
        </w:rPr>
      </w:pPr>
    </w:p>
    <w:p>
      <w:pPr>
        <w:ind w:left="208"/>
        <w:spacing w:after="0"/>
        <w:rPr>
          <w:sz w:val="20"/>
          <w:szCs w:val="20"/>
          <w:color w:val="auto"/>
        </w:rPr>
      </w:pPr>
      <w:r>
        <w:rPr>
          <w:rFonts w:ascii="Arial" w:cs="Arial" w:eastAsia="Arial" w:hAnsi="Arial"/>
          <w:sz w:val="8"/>
          <w:szCs w:val="8"/>
          <w:color w:val="auto"/>
        </w:rPr>
        <w:t>Adjusted Funds from Operations</w:t>
      </w:r>
    </w:p>
    <w:p>
      <w:pPr>
        <w:spacing w:after="0" w:line="7" w:lineRule="exact"/>
        <w:rPr>
          <w:sz w:val="20"/>
          <w:szCs w:val="20"/>
          <w:color w:val="auto"/>
        </w:rPr>
      </w:pPr>
    </w:p>
    <w:p>
      <w:pPr>
        <w:ind w:left="308" w:hanging="308"/>
        <w:spacing w:after="0"/>
        <w:tabs>
          <w:tab w:leader="none" w:pos="308" w:val="left"/>
        </w:tabs>
        <w:numPr>
          <w:ilvl w:val="0"/>
          <w:numId w:val="14"/>
        </w:numPr>
        <w:rPr>
          <w:rFonts w:ascii="Arial" w:cs="Arial" w:eastAsia="Arial" w:hAnsi="Arial"/>
          <w:sz w:val="13"/>
          <w:szCs w:val="13"/>
          <w:color w:val="auto"/>
          <w:vertAlign w:val="superscript"/>
        </w:rPr>
      </w:pPr>
      <w:r>
        <w:rPr>
          <w:rFonts w:ascii="Arial" w:cs="Arial" w:eastAsia="Arial" w:hAnsi="Arial"/>
          <w:sz w:val="9"/>
          <w:szCs w:val="9"/>
          <w:color w:val="auto"/>
        </w:rPr>
        <w:t>Includes Regency's consolidated entities and its share of unconsolidated real estate partnerships, net of share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720280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highlight w:val="black"/>
                <w:w w:val="98"/>
              </w:rPr>
              <w:t>Three Months Ended</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79"/>
        </w:trPr>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860" w:type="dxa"/>
            <w:vAlign w:val="bottom"/>
          </w:tcPr>
          <w:p>
            <w:pPr>
              <w:spacing w:after="0"/>
              <w:rPr>
                <w:sz w:val="6"/>
                <w:szCs w:val="6"/>
                <w:color w:val="auto"/>
              </w:rPr>
            </w:pPr>
          </w:p>
        </w:tc>
      </w:tr>
      <w:tr>
        <w:trPr>
          <w:trHeight w:val="287"/>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125,136</w:t>
            </w:r>
          </w:p>
        </w:tc>
        <w:tc>
          <w:tcPr>
            <w:tcW w:w="4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106,174</w:t>
            </w:r>
          </w:p>
        </w:tc>
      </w:tr>
      <w:tr>
        <w:trPr>
          <w:trHeight w:val="199"/>
        </w:trPr>
        <w:tc>
          <w:tcPr>
            <w:tcW w:w="380" w:type="dxa"/>
            <w:vAlign w:val="bottom"/>
          </w:tcPr>
          <w:p>
            <w:pPr>
              <w:spacing w:after="0"/>
              <w:rPr>
                <w:sz w:val="17"/>
                <w:szCs w:val="17"/>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113,562</w:t>
            </w:r>
          </w:p>
        </w:tc>
        <w:tc>
          <w:tcPr>
            <w:tcW w:w="4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104,034</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(17,047)</w:t>
            </w:r>
          </w:p>
        </w:tc>
        <w:tc>
          <w:tcPr>
            <w:tcW w:w="460" w:type="dxa"/>
            <w:vAlign w:val="bottom"/>
          </w:tcPr>
          <w:p>
            <w:pPr>
              <w:spacing w:after="0"/>
              <w:rPr>
                <w:sz w:val="8"/>
                <w:szCs w:val="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8"/>
                <w:szCs w:val="8"/>
                <w:color w:val="auto"/>
              </w:rPr>
              <w:t>(101)</w:t>
            </w: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2,617</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8"/>
                <w:szCs w:val="8"/>
                <w:color w:val="auto"/>
              </w:rPr>
              <w:t>642</w:t>
            </w: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224,268</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line="89" w:lineRule="exact"/>
              <w:rPr>
                <w:sz w:val="20"/>
                <w:szCs w:val="20"/>
                <w:color w:val="auto"/>
              </w:rPr>
            </w:pPr>
            <w:r>
              <w:rPr>
                <w:rFonts w:ascii="Arial" w:cs="Arial" w:eastAsia="Arial" w:hAnsi="Arial"/>
                <w:sz w:val="8"/>
                <w:szCs w:val="8"/>
                <w:color w:val="auto"/>
              </w:rPr>
              <w:t>210,749</w:t>
            </w:r>
          </w:p>
        </w:tc>
      </w:tr>
      <w:tr>
        <w:trPr>
          <w:trHeight w:val="1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1.20</w:t>
            </w:r>
          </w:p>
        </w:tc>
        <w:tc>
          <w:tcPr>
            <w:tcW w:w="4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1.15</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187,220</w:t>
            </w:r>
          </w:p>
        </w:tc>
        <w:tc>
          <w:tcPr>
            <w:tcW w:w="460" w:type="dxa"/>
            <w:vAlign w:val="bottom"/>
          </w:tcPr>
          <w:p>
            <w:pPr>
              <w:spacing w:after="0"/>
              <w:rPr>
                <w:sz w:val="8"/>
                <w:szCs w:val="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182,910</w:t>
            </w:r>
          </w:p>
        </w:tc>
      </w:tr>
      <w:tr>
        <w:trPr>
          <w:trHeight w:val="3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224,268</w:t>
            </w:r>
          </w:p>
        </w:tc>
        <w:tc>
          <w:tcPr>
            <w:tcW w:w="4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210,749</w:t>
            </w:r>
          </w:p>
        </w:tc>
      </w:tr>
      <w:tr>
        <w:trPr>
          <w:trHeight w:val="298"/>
        </w:trPr>
        <w:tc>
          <w:tcPr>
            <w:tcW w:w="380" w:type="dxa"/>
            <w:vAlign w:val="bottom"/>
          </w:tcPr>
          <w:p>
            <w:pPr>
              <w:spacing w:after="0"/>
              <w:rPr>
                <w:sz w:val="24"/>
                <w:szCs w:val="24"/>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(6,618)</w:t>
            </w:r>
          </w:p>
        </w:tc>
        <w:tc>
          <w:tcPr>
            <w:tcW w:w="4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8"/>
                <w:szCs w:val="8"/>
                <w:color w:val="auto"/>
              </w:rPr>
              <w:t>(6,513)</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2,180</w:t>
            </w:r>
          </w:p>
        </w:tc>
        <w:tc>
          <w:tcPr>
            <w:tcW w:w="460" w:type="dxa"/>
            <w:vAlign w:val="bottom"/>
          </w:tcPr>
          <w:p>
            <w:pPr>
              <w:spacing w:after="0"/>
              <w:rPr>
                <w:sz w:val="8"/>
                <w:szCs w:val="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376</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(5,249)</w:t>
            </w:r>
          </w:p>
        </w:tc>
        <w:tc>
          <w:tcPr>
            <w:tcW w:w="460" w:type="dxa"/>
            <w:vAlign w:val="bottom"/>
          </w:tcPr>
          <w:p>
            <w:pPr>
              <w:spacing w:after="0"/>
              <w:rPr>
                <w:sz w:val="8"/>
                <w:szCs w:val="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8"/>
                <w:szCs w:val="8"/>
                <w:color w:val="auto"/>
              </w:rPr>
              <w:t>(6,461)</w:t>
            </w: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1,942</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8"/>
                <w:szCs w:val="8"/>
                <w:color w:val="auto"/>
              </w:rPr>
              <w:t>1,292</w:t>
            </w: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216,523</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line="89" w:lineRule="exact"/>
              <w:rPr>
                <w:sz w:val="20"/>
                <w:szCs w:val="20"/>
                <w:color w:val="auto"/>
              </w:rPr>
            </w:pPr>
            <w:r>
              <w:rPr>
                <w:rFonts w:ascii="Arial" w:cs="Arial" w:eastAsia="Arial" w:hAnsi="Arial"/>
                <w:sz w:val="8"/>
                <w:szCs w:val="8"/>
                <w:color w:val="auto"/>
              </w:rPr>
              <w:t>199,443</w:t>
            </w:r>
          </w:p>
        </w:tc>
      </w:tr>
      <w:tr>
        <w:trPr>
          <w:trHeight w:val="1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1.16</w:t>
            </w:r>
          </w:p>
        </w:tc>
        <w:tc>
          <w:tcPr>
            <w:tcW w:w="4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1.09</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187,220</w:t>
            </w:r>
          </w:p>
        </w:tc>
        <w:tc>
          <w:tcPr>
            <w:tcW w:w="460" w:type="dxa"/>
            <w:vAlign w:val="bottom"/>
          </w:tcPr>
          <w:p>
            <w:pPr>
              <w:spacing w:after="0"/>
              <w:rPr>
                <w:sz w:val="8"/>
                <w:szCs w:val="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182,910</w:t>
            </w:r>
          </w:p>
        </w:tc>
      </w:tr>
      <w:tr>
        <w:trPr>
          <w:trHeight w:val="497"/>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216,523</w:t>
            </w:r>
          </w:p>
        </w:tc>
        <w:tc>
          <w:tcPr>
            <w:tcW w:w="46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199,443</w:t>
            </w:r>
          </w:p>
        </w:tc>
      </w:tr>
      <w:tr>
        <w:trPr>
          <w:trHeight w:val="199"/>
        </w:trPr>
        <w:tc>
          <w:tcPr>
            <w:tcW w:w="380" w:type="dxa"/>
            <w:vAlign w:val="bottom"/>
          </w:tcPr>
          <w:p>
            <w:pPr>
              <w:spacing w:after="0"/>
              <w:rPr>
                <w:sz w:val="17"/>
                <w:szCs w:val="17"/>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(27,087)</w:t>
            </w:r>
          </w:p>
        </w:tc>
        <w:tc>
          <w:tcPr>
            <w:tcW w:w="4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8"/>
                <w:szCs w:val="8"/>
                <w:color w:val="auto"/>
              </w:rPr>
              <w:t>(23,753)</w:t>
            </w: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2,230</w:t>
            </w:r>
          </w:p>
        </w:tc>
        <w:tc>
          <w:tcPr>
            <w:tcW w:w="460" w:type="dxa"/>
            <w:vAlign w:val="bottom"/>
          </w:tcPr>
          <w:p>
            <w:pPr>
              <w:spacing w:after="0"/>
              <w:rPr>
                <w:sz w:val="8"/>
                <w:szCs w:val="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8"/>
                <w:szCs w:val="8"/>
                <w:color w:val="auto"/>
              </w:rPr>
              <w:t>2,129</w:t>
            </w: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5,868</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8"/>
                <w:szCs w:val="8"/>
                <w:color w:val="auto"/>
              </w:rPr>
              <w:t>5,443</w:t>
            </w: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197,534</w:t>
            </w:r>
          </w:p>
        </w:tc>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right"/>
              <w:ind w:right="120"/>
              <w:spacing w:after="0" w:line="89" w:lineRule="exact"/>
              <w:rPr>
                <w:sz w:val="20"/>
                <w:szCs w:val="20"/>
                <w:color w:val="auto"/>
              </w:rPr>
            </w:pPr>
            <w:r>
              <w:rPr>
                <w:rFonts w:ascii="Arial" w:cs="Arial" w:eastAsia="Arial" w:hAnsi="Arial"/>
                <w:sz w:val="8"/>
                <w:szCs w:val="8"/>
                <w:color w:val="auto"/>
              </w:rPr>
              <w:t>183,262</w:t>
            </w:r>
          </w:p>
        </w:tc>
      </w:tr>
    </w:tbl>
    <w:p>
      <w:pPr>
        <w:sectPr>
          <w:pgSz w:w="11900" w:h="16838" w:orient="portrait"/>
          <w:cols w:equalWidth="0" w:num="2">
            <w:col w:w="6948" w:space="720"/>
            <w:col w:w="3640"/>
          </w:cols>
          <w:pgMar w:left="292" w:top="940" w:right="299" w:bottom="1440" w:gutter="0" w:footer="0" w:header="0"/>
          <w:type w:val="continuous"/>
        </w:sectPr>
      </w:pPr>
    </w:p>
    <w:bookmarkStart w:id="7" w:name="page8"/>
    <w:bookmarkEnd w:id="7"/>
    <w:p>
      <w:pPr>
        <w:ind w:left="8"/>
        <w:spacing w:after="0"/>
        <w:rPr>
          <w:sz w:val="20"/>
          <w:szCs w:val="20"/>
          <w:color w:val="auto"/>
        </w:rPr>
      </w:pPr>
      <w:r>
        <w:rPr>
          <w:rFonts w:ascii="Arial" w:cs="Arial" w:eastAsia="Arial" w:hAnsi="Arial"/>
          <w:sz w:val="12"/>
          <w:szCs w:val="12"/>
          <w:color w:val="auto"/>
        </w:rPr>
        <w:t xml:space="preserve">Reconciliation of Net Income Attributable to Common Shareholders to Pro-Rata Same Property NOI - </w:t>
      </w:r>
      <w:r>
        <w:rPr>
          <w:rFonts w:ascii="Arial" w:cs="Arial" w:eastAsia="Arial" w:hAnsi="Arial"/>
          <w:sz w:val="12"/>
          <w:szCs w:val="12"/>
          <w:color w:val="auto"/>
          <w:highlight w:val="black"/>
        </w:rPr>
        <w:t>Actual (in thousands)</w:t>
      </w:r>
    </w:p>
    <w:p>
      <w:pPr>
        <w:spacing w:after="0" w:line="107" w:lineRule="exact"/>
        <w:rPr>
          <w:sz w:val="20"/>
          <w:szCs w:val="20"/>
          <w:color w:val="auto"/>
        </w:rPr>
      </w:pPr>
    </w:p>
    <w:tbl>
      <w:tblPr>
        <w:tblLayout w:type="fixed"/>
        <w:tblInd w:w="68" w:type="dxa"/>
        <w:tblCellMar>
          <w:top w:w="0" w:type="dxa"/>
          <w:left w:w="0" w:type="dxa"/>
          <w:bottom w:w="0" w:type="dxa"/>
          <w:right w:w="0" w:type="dxa"/>
        </w:tblCellMar>
      </w:tblPr>
      <w:tr>
        <w:trPr>
          <w:trHeight w:val="112"/>
        </w:trPr>
        <w:tc>
          <w:tcPr>
            <w:tcW w:w="6860" w:type="dxa"/>
            <w:vAlign w:val="bottom"/>
          </w:tcPr>
          <w:p>
            <w:pPr>
              <w:spacing w:after="0"/>
              <w:rPr>
                <w:sz w:val="20"/>
                <w:szCs w:val="20"/>
                <w:color w:val="auto"/>
              </w:rPr>
            </w:pPr>
            <w:r>
              <w:rPr>
                <w:rFonts w:ascii="Arial" w:cs="Arial" w:eastAsia="Arial" w:hAnsi="Arial"/>
                <w:sz w:val="8"/>
                <w:szCs w:val="8"/>
                <w:color w:val="auto"/>
              </w:rPr>
              <w:t>For the Periods Ended March 31, 2026 and 2025</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highlight w:val="black"/>
              </w:rPr>
              <w:t>Three Months Ended</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79"/>
        </w:trPr>
        <w:tc>
          <w:tcPr>
            <w:tcW w:w="6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12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20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bottom w:val="single" w:sz="8" w:color="auto"/>
            </w:tcBorders>
          </w:tcPr>
          <w:p>
            <w:pPr>
              <w:jc w:val="center"/>
              <w:spacing w:after="0" w:line="60" w:lineRule="exact"/>
              <w:rPr>
                <w:sz w:val="20"/>
                <w:szCs w:val="20"/>
                <w:color w:val="auto"/>
              </w:rPr>
            </w:pPr>
            <w:r>
              <w:rPr>
                <w:rFonts w:ascii="Arial" w:cs="Arial" w:eastAsia="Arial" w:hAnsi="Arial"/>
                <w:sz w:val="6"/>
                <w:szCs w:val="6"/>
                <w:color w:val="auto"/>
                <w:highlight w:val="black"/>
              </w:rPr>
              <w:t>Change</w:t>
            </w:r>
          </w:p>
        </w:tc>
      </w:tr>
      <w:tr>
        <w:trPr>
          <w:trHeight w:val="233"/>
        </w:trPr>
        <w:tc>
          <w:tcPr>
            <w:tcW w:w="6860" w:type="dxa"/>
            <w:vAlign w:val="bottom"/>
          </w:tcPr>
          <w:p>
            <w:pPr>
              <w:spacing w:after="0"/>
              <w:rPr>
                <w:sz w:val="20"/>
                <w:szCs w:val="20"/>
                <w:color w:val="auto"/>
              </w:rPr>
            </w:pPr>
            <w:r>
              <w:rPr>
                <w:rFonts w:ascii="Arial" w:cs="Arial" w:eastAsia="Arial" w:hAnsi="Arial"/>
                <w:sz w:val="8"/>
                <w:szCs w:val="8"/>
                <w:color w:val="auto"/>
              </w:rPr>
              <w:t>Net income attributable to common shareholders</w:t>
            </w:r>
          </w:p>
        </w:tc>
        <w:tc>
          <w:tcPr>
            <w:tcW w:w="540" w:type="dxa"/>
            <w:vAlign w:val="bottom"/>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125,136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106,174</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99"/>
        </w:trPr>
        <w:tc>
          <w:tcPr>
            <w:tcW w:w="6860" w:type="dxa"/>
            <w:vAlign w:val="bottom"/>
          </w:tcPr>
          <w:p>
            <w:pPr>
              <w:ind w:left="60"/>
              <w:spacing w:after="0"/>
              <w:rPr>
                <w:sz w:val="20"/>
                <w:szCs w:val="20"/>
                <w:color w:val="auto"/>
              </w:rPr>
            </w:pPr>
            <w:r>
              <w:rPr>
                <w:rFonts w:ascii="Arial" w:cs="Arial" w:eastAsia="Arial" w:hAnsi="Arial"/>
                <w:sz w:val="8"/>
                <w:szCs w:val="8"/>
                <w:color w:val="auto"/>
              </w:rPr>
              <w:t>Less:</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Management, transaction, and other fees</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8"/>
                <w:szCs w:val="8"/>
                <w:color w:val="auto"/>
              </w:rPr>
              <w:t>(6,933)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79"/>
              <w:spacing w:after="0"/>
              <w:rPr>
                <w:sz w:val="20"/>
                <w:szCs w:val="20"/>
                <w:color w:val="auto"/>
              </w:rPr>
            </w:pPr>
            <w:r>
              <w:rPr>
                <w:rFonts w:ascii="Arial" w:cs="Arial" w:eastAsia="Arial" w:hAnsi="Arial"/>
                <w:sz w:val="8"/>
                <w:szCs w:val="8"/>
                <w:color w:val="auto"/>
              </w:rPr>
              <w:t>(6,812)</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17"/>
        </w:trPr>
        <w:tc>
          <w:tcPr>
            <w:tcW w:w="6860" w:type="dxa"/>
            <w:vAlign w:val="bottom"/>
          </w:tcPr>
          <w:p>
            <w:pPr>
              <w:ind w:left="240"/>
              <w:spacing w:after="0" w:line="117" w:lineRule="exact"/>
              <w:rPr>
                <w:sz w:val="20"/>
                <w:szCs w:val="20"/>
                <w:color w:val="auto"/>
              </w:rPr>
            </w:pPr>
            <w:r>
              <w:rPr>
                <w:rFonts w:ascii="Arial" w:cs="Arial" w:eastAsia="Arial" w:hAnsi="Arial"/>
                <w:sz w:val="8"/>
                <w:szCs w:val="8"/>
                <w:color w:val="auto"/>
              </w:rPr>
              <w:t xml:space="preserve">Other </w:t>
            </w:r>
            <w:r>
              <w:rPr>
                <w:rFonts w:ascii="Arial" w:cs="Arial" w:eastAsia="Arial" w:hAnsi="Arial"/>
                <w:sz w:val="11"/>
                <w:szCs w:val="11"/>
                <w:color w:val="auto"/>
                <w:vertAlign w:val="superscript"/>
              </w:rPr>
              <w:t>(1)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8"/>
                <w:szCs w:val="8"/>
                <w:color w:val="auto"/>
              </w:rPr>
              <w:t>(11,396)</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79"/>
              <w:spacing w:after="0"/>
              <w:rPr>
                <w:sz w:val="20"/>
                <w:szCs w:val="20"/>
                <w:color w:val="auto"/>
              </w:rPr>
            </w:pPr>
            <w:r>
              <w:rPr>
                <w:rFonts w:ascii="Arial" w:cs="Arial" w:eastAsia="Arial" w:hAnsi="Arial"/>
                <w:sz w:val="8"/>
                <w:szCs w:val="8"/>
                <w:color w:val="auto"/>
              </w:rPr>
              <w:t>(13,689)</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82"/>
        </w:trPr>
        <w:tc>
          <w:tcPr>
            <w:tcW w:w="6860" w:type="dxa"/>
            <w:vAlign w:val="bottom"/>
          </w:tcPr>
          <w:p>
            <w:pPr>
              <w:ind w:left="60"/>
              <w:spacing w:after="0" w:line="83" w:lineRule="exact"/>
              <w:rPr>
                <w:sz w:val="20"/>
                <w:szCs w:val="20"/>
                <w:color w:val="auto"/>
              </w:rPr>
            </w:pPr>
            <w:r>
              <w:rPr>
                <w:rFonts w:ascii="Arial" w:cs="Arial" w:eastAsia="Arial" w:hAnsi="Arial"/>
                <w:sz w:val="8"/>
                <w:szCs w:val="8"/>
                <w:color w:val="auto"/>
              </w:rPr>
              <w:t>Plus:</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Depreciation and amortization</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106,422</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96,774</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General and administrative</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25,606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21,600</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Other operating expense</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1,001</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1,688</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Other expense, net</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44,296</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48,673</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17"/>
        </w:trPr>
        <w:tc>
          <w:tcPr>
            <w:tcW w:w="6860" w:type="dxa"/>
            <w:vAlign w:val="bottom"/>
          </w:tcPr>
          <w:p>
            <w:pPr>
              <w:ind w:left="240"/>
              <w:spacing w:after="0" w:line="117" w:lineRule="exact"/>
              <w:rPr>
                <w:sz w:val="20"/>
                <w:szCs w:val="20"/>
                <w:color w:val="auto"/>
              </w:rPr>
            </w:pPr>
            <w:r>
              <w:rPr>
                <w:rFonts w:ascii="Arial" w:cs="Arial" w:eastAsia="Arial" w:hAnsi="Arial"/>
                <w:sz w:val="8"/>
                <w:szCs w:val="8"/>
                <w:color w:val="auto"/>
              </w:rPr>
              <w:t xml:space="preserve">Equity in income of investments in real estate partnerships excluded from NOI </w:t>
            </w:r>
            <w:r>
              <w:rPr>
                <w:rFonts w:ascii="Arial" w:cs="Arial" w:eastAsia="Arial" w:hAnsi="Arial"/>
                <w:sz w:val="11"/>
                <w:szCs w:val="11"/>
                <w:color w:val="auto"/>
                <w:vertAlign w:val="superscript"/>
              </w:rPr>
              <w:t>(2)</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8"/>
                <w:szCs w:val="8"/>
                <w:color w:val="auto"/>
              </w:rPr>
              <w:t>4,600</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13,451</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82"/>
        </w:trPr>
        <w:tc>
          <w:tcPr>
            <w:tcW w:w="6860" w:type="dxa"/>
            <w:vAlign w:val="bottom"/>
          </w:tcPr>
          <w:p>
            <w:pPr>
              <w:ind w:left="240"/>
              <w:spacing w:after="0" w:line="83" w:lineRule="exact"/>
              <w:rPr>
                <w:sz w:val="20"/>
                <w:szCs w:val="20"/>
                <w:color w:val="auto"/>
              </w:rPr>
            </w:pPr>
            <w:r>
              <w:rPr>
                <w:rFonts w:ascii="Arial" w:cs="Arial" w:eastAsia="Arial" w:hAnsi="Arial"/>
                <w:sz w:val="8"/>
                <w:szCs w:val="8"/>
                <w:color w:val="auto"/>
              </w:rPr>
              <w:t>Net income attributable to noncontrolling interests</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tcPr>
          <w:p>
            <w:pPr>
              <w:jc w:val="right"/>
              <w:ind w:right="439"/>
              <w:spacing w:after="0" w:line="83" w:lineRule="exact"/>
              <w:rPr>
                <w:sz w:val="20"/>
                <w:szCs w:val="20"/>
                <w:color w:val="auto"/>
              </w:rPr>
            </w:pPr>
            <w:r>
              <w:rPr>
                <w:rFonts w:ascii="Arial" w:cs="Arial" w:eastAsia="Arial" w:hAnsi="Arial"/>
                <w:sz w:val="8"/>
                <w:szCs w:val="8"/>
                <w:color w:val="auto"/>
              </w:rPr>
              <w:t>4,249</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ind w:right="119"/>
              <w:spacing w:after="0" w:line="83" w:lineRule="exact"/>
              <w:rPr>
                <w:sz w:val="20"/>
                <w:szCs w:val="20"/>
                <w:color w:val="auto"/>
              </w:rPr>
            </w:pPr>
            <w:r>
              <w:rPr>
                <w:rFonts w:ascii="Arial" w:cs="Arial" w:eastAsia="Arial" w:hAnsi="Arial"/>
                <w:sz w:val="8"/>
                <w:szCs w:val="8"/>
                <w:color w:val="auto"/>
              </w:rPr>
              <w:t>2,266</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00"/>
        </w:trPr>
        <w:tc>
          <w:tcPr>
            <w:tcW w:w="6860" w:type="dxa"/>
            <w:vAlign w:val="bottom"/>
          </w:tcPr>
          <w:p>
            <w:pPr>
              <w:ind w:left="240"/>
              <w:spacing w:after="0"/>
              <w:rPr>
                <w:sz w:val="20"/>
                <w:szCs w:val="20"/>
                <w:color w:val="auto"/>
              </w:rPr>
            </w:pPr>
            <w:r>
              <w:rPr>
                <w:rFonts w:ascii="Arial" w:cs="Arial" w:eastAsia="Arial" w:hAnsi="Arial"/>
                <w:sz w:val="8"/>
                <w:szCs w:val="8"/>
                <w:color w:val="auto"/>
              </w:rPr>
              <w:t>Preferred stock dividends</w:t>
            </w: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8"/>
                <w:szCs w:val="8"/>
                <w:color w:val="auto"/>
              </w:rPr>
              <w:t>3,413</w:t>
            </w: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3,413</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88"/>
        </w:trPr>
        <w:tc>
          <w:tcPr>
            <w:tcW w:w="6860" w:type="dxa"/>
            <w:vAlign w:val="bottom"/>
          </w:tcPr>
          <w:p>
            <w:pPr>
              <w:ind w:left="240"/>
              <w:spacing w:after="0" w:line="89" w:lineRule="exact"/>
              <w:rPr>
                <w:sz w:val="20"/>
                <w:szCs w:val="20"/>
                <w:color w:val="auto"/>
              </w:rPr>
            </w:pPr>
            <w:r>
              <w:rPr>
                <w:rFonts w:ascii="Arial" w:cs="Arial" w:eastAsia="Arial" w:hAnsi="Arial"/>
                <w:sz w:val="8"/>
                <w:szCs w:val="8"/>
                <w:color w:val="auto"/>
              </w:rPr>
              <w:t>NOI</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tcPr>
          <w:p>
            <w:pPr>
              <w:jc w:val="right"/>
              <w:ind w:right="439"/>
              <w:spacing w:after="0" w:line="89" w:lineRule="exact"/>
              <w:rPr>
                <w:sz w:val="20"/>
                <w:szCs w:val="20"/>
                <w:color w:val="auto"/>
              </w:rPr>
            </w:pPr>
            <w:r>
              <w:rPr>
                <w:rFonts w:ascii="Arial" w:cs="Arial" w:eastAsia="Arial" w:hAnsi="Arial"/>
                <w:sz w:val="8"/>
                <w:szCs w:val="8"/>
                <w:color w:val="auto"/>
              </w:rPr>
              <w:t>296,394</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ind w:right="119"/>
              <w:spacing w:after="0" w:line="89" w:lineRule="exact"/>
              <w:rPr>
                <w:sz w:val="20"/>
                <w:szCs w:val="20"/>
                <w:color w:val="auto"/>
              </w:rPr>
            </w:pPr>
            <w:r>
              <w:rPr>
                <w:rFonts w:ascii="Arial" w:cs="Arial" w:eastAsia="Arial" w:hAnsi="Arial"/>
                <w:sz w:val="8"/>
                <w:szCs w:val="8"/>
                <w:color w:val="auto"/>
              </w:rPr>
              <w:t>273,538</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216"/>
        </w:trPr>
        <w:tc>
          <w:tcPr>
            <w:tcW w:w="6860" w:type="dxa"/>
            <w:vAlign w:val="bottom"/>
          </w:tcPr>
          <w:p>
            <w:pPr>
              <w:ind w:left="60"/>
              <w:spacing w:after="0"/>
              <w:rPr>
                <w:sz w:val="20"/>
                <w:szCs w:val="20"/>
                <w:color w:val="auto"/>
              </w:rPr>
            </w:pPr>
            <w:r>
              <w:rPr>
                <w:rFonts w:ascii="Arial" w:cs="Arial" w:eastAsia="Arial" w:hAnsi="Arial"/>
                <w:sz w:val="8"/>
                <w:szCs w:val="8"/>
                <w:color w:val="auto"/>
              </w:rPr>
              <w:t xml:space="preserve">Less non-same property NOI </w:t>
            </w:r>
            <w:r>
              <w:rPr>
                <w:rFonts w:ascii="Arial" w:cs="Arial" w:eastAsia="Arial" w:hAnsi="Arial"/>
                <w:sz w:val="11"/>
                <w:szCs w:val="11"/>
                <w:color w:val="auto"/>
                <w:vertAlign w:val="superscript"/>
              </w:rPr>
              <w:t>(3)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99"/>
              <w:spacing w:after="0"/>
              <w:rPr>
                <w:sz w:val="20"/>
                <w:szCs w:val="20"/>
                <w:color w:val="auto"/>
              </w:rPr>
            </w:pPr>
            <w:r>
              <w:rPr>
                <w:rFonts w:ascii="Arial" w:cs="Arial" w:eastAsia="Arial" w:hAnsi="Arial"/>
                <w:sz w:val="8"/>
                <w:szCs w:val="8"/>
                <w:color w:val="auto"/>
              </w:rPr>
              <w:t>(10,760)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8"/>
                <w:szCs w:val="8"/>
                <w:color w:val="auto"/>
              </w:rPr>
              <w:t>135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90"/>
        </w:trPr>
        <w:tc>
          <w:tcPr>
            <w:tcW w:w="6860" w:type="dxa"/>
            <w:vAlign w:val="bottom"/>
          </w:tcPr>
          <w:p>
            <w:pPr>
              <w:ind w:left="240"/>
              <w:spacing w:after="0" w:line="83" w:lineRule="exact"/>
              <w:rPr>
                <w:sz w:val="20"/>
                <w:szCs w:val="20"/>
                <w:color w:val="auto"/>
              </w:rPr>
            </w:pPr>
            <w:r>
              <w:rPr>
                <w:rFonts w:ascii="Arial" w:cs="Arial" w:eastAsia="Arial" w:hAnsi="Arial"/>
                <w:sz w:val="8"/>
                <w:szCs w:val="8"/>
                <w:color w:val="auto"/>
                <w:highlight w:val="black"/>
              </w:rPr>
              <w:t>Same Property NOI</w:t>
            </w:r>
          </w:p>
        </w:tc>
        <w:tc>
          <w:tcPr>
            <w:tcW w:w="540" w:type="dxa"/>
            <w:vAlign w:val="bottom"/>
            <w:tcBorders>
              <w:bottom w:val="single" w:sz="8" w:color="auto"/>
            </w:tcBorders>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jc w:val="right"/>
              <w:ind w:right="439"/>
              <w:spacing w:after="0" w:line="63" w:lineRule="exact"/>
              <w:rPr>
                <w:sz w:val="20"/>
                <w:szCs w:val="20"/>
                <w:color w:val="auto"/>
              </w:rPr>
            </w:pPr>
            <w:r>
              <w:rPr>
                <w:rFonts w:ascii="Arial" w:cs="Arial" w:eastAsia="Arial" w:hAnsi="Arial"/>
                <w:sz w:val="7"/>
                <w:szCs w:val="7"/>
                <w:color w:val="auto"/>
              </w:rPr>
              <w:t>285,634</w:t>
            </w: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19"/>
              <w:spacing w:after="0" w:line="63" w:lineRule="exact"/>
              <w:rPr>
                <w:sz w:val="20"/>
                <w:szCs w:val="20"/>
                <w:color w:val="auto"/>
              </w:rPr>
            </w:pPr>
            <w:r>
              <w:rPr>
                <w:rFonts w:ascii="Arial" w:cs="Arial" w:eastAsia="Arial" w:hAnsi="Arial"/>
                <w:sz w:val="7"/>
                <w:szCs w:val="7"/>
                <w:color w:val="auto"/>
              </w:rPr>
              <w:t>273,673</w:t>
            </w:r>
          </w:p>
        </w:tc>
        <w:tc>
          <w:tcPr>
            <w:tcW w:w="860" w:type="dxa"/>
            <w:vAlign w:val="bottom"/>
            <w:gridSpan w:val="2"/>
          </w:tcPr>
          <w:p>
            <w:pPr>
              <w:jc w:val="center"/>
              <w:ind w:left="541"/>
              <w:spacing w:after="0" w:line="63" w:lineRule="exact"/>
              <w:rPr>
                <w:sz w:val="20"/>
                <w:szCs w:val="20"/>
                <w:color w:val="auto"/>
              </w:rPr>
            </w:pPr>
            <w:r>
              <w:rPr>
                <w:rFonts w:ascii="Arial" w:cs="Arial" w:eastAsia="Arial" w:hAnsi="Arial"/>
                <w:sz w:val="7"/>
                <w:szCs w:val="7"/>
                <w:color w:val="auto"/>
              </w:rPr>
              <w:t>4.4%</w:t>
            </w:r>
          </w:p>
        </w:tc>
      </w:tr>
      <w:tr>
        <w:trPr>
          <w:trHeight w:val="206"/>
        </w:trPr>
        <w:tc>
          <w:tcPr>
            <w:tcW w:w="6860" w:type="dxa"/>
            <w:vAlign w:val="bottom"/>
          </w:tcPr>
          <w:p>
            <w:pPr>
              <w:ind w:left="240"/>
              <w:spacing w:after="0"/>
              <w:rPr>
                <w:sz w:val="20"/>
                <w:szCs w:val="20"/>
                <w:color w:val="auto"/>
              </w:rPr>
            </w:pPr>
            <w:r>
              <w:rPr>
                <w:rFonts w:ascii="Arial" w:cs="Arial" w:eastAsia="Arial" w:hAnsi="Arial"/>
                <w:sz w:val="8"/>
                <w:szCs w:val="8"/>
                <w:color w:val="auto"/>
              </w:rPr>
              <w:t>Same Property NOI without Redevelopments</w:t>
            </w:r>
          </w:p>
        </w:tc>
        <w:tc>
          <w:tcPr>
            <w:tcW w:w="540" w:type="dxa"/>
            <w:vAlign w:val="bottom"/>
            <w:tcBorders>
              <w:bottom w:val="single" w:sz="8" w:color="auto"/>
            </w:tcBorders>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8"/>
                <w:szCs w:val="8"/>
                <w:color w:val="auto"/>
              </w:rPr>
              <w:t>242,476</w:t>
            </w: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color w:val="auto"/>
              </w:rPr>
              <w:t>235,922</w:t>
            </w:r>
          </w:p>
        </w:tc>
        <w:tc>
          <w:tcPr>
            <w:tcW w:w="860" w:type="dxa"/>
            <w:vAlign w:val="bottom"/>
            <w:gridSpan w:val="2"/>
          </w:tcPr>
          <w:p>
            <w:pPr>
              <w:jc w:val="center"/>
              <w:ind w:left="541"/>
              <w:spacing w:after="0"/>
              <w:rPr>
                <w:sz w:val="20"/>
                <w:szCs w:val="20"/>
                <w:color w:val="auto"/>
              </w:rPr>
            </w:pPr>
            <w:r>
              <w:rPr>
                <w:rFonts w:ascii="Arial" w:cs="Arial" w:eastAsia="Arial" w:hAnsi="Arial"/>
                <w:sz w:val="8"/>
                <w:szCs w:val="8"/>
                <w:color w:val="auto"/>
              </w:rPr>
              <w:t>2.8%</w:t>
            </w:r>
          </w:p>
        </w:tc>
      </w:tr>
      <w:tr>
        <w:trPr>
          <w:trHeight w:val="198"/>
        </w:trPr>
        <w:tc>
          <w:tcPr>
            <w:tcW w:w="6860" w:type="dxa"/>
            <w:vAlign w:val="bottom"/>
          </w:tcPr>
          <w:p>
            <w:pPr>
              <w:ind w:left="240"/>
              <w:spacing w:after="0"/>
              <w:rPr>
                <w:sz w:val="20"/>
                <w:szCs w:val="20"/>
                <w:color w:val="auto"/>
              </w:rPr>
            </w:pPr>
            <w:r>
              <w:rPr>
                <w:rFonts w:ascii="Arial" w:cs="Arial" w:eastAsia="Arial" w:hAnsi="Arial"/>
                <w:sz w:val="8"/>
                <w:szCs w:val="8"/>
                <w:color w:val="auto"/>
                <w:highlight w:val="black"/>
              </w:rPr>
              <w:t>Expense Recovery Ratio</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39"/>
              <w:spacing w:after="0"/>
              <w:rPr>
                <w:sz w:val="20"/>
                <w:szCs w:val="20"/>
                <w:color w:val="auto"/>
              </w:rPr>
            </w:pPr>
            <w:r>
              <w:rPr>
                <w:rFonts w:ascii="Arial" w:cs="Arial" w:eastAsia="Arial" w:hAnsi="Arial"/>
                <w:sz w:val="8"/>
                <w:szCs w:val="8"/>
                <w:color w:val="auto"/>
              </w:rPr>
              <w:t>86.0%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Arial" w:cs="Arial" w:eastAsia="Arial" w:hAnsi="Arial"/>
                <w:sz w:val="8"/>
                <w:szCs w:val="8"/>
                <w:color w:val="auto"/>
              </w:rPr>
              <w:t>84.7%</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9"/>
        </w:trPr>
        <w:tc>
          <w:tcPr>
            <w:tcW w:w="6860" w:type="dxa"/>
            <w:vAlign w:val="bottom"/>
          </w:tcPr>
          <w:p>
            <w:pPr>
              <w:ind w:left="240"/>
              <w:spacing w:after="0"/>
              <w:rPr>
                <w:sz w:val="20"/>
                <w:szCs w:val="20"/>
                <w:color w:val="auto"/>
              </w:rPr>
            </w:pPr>
            <w:r>
              <w:rPr>
                <w:rFonts w:ascii="Arial" w:cs="Arial" w:eastAsia="Arial" w:hAnsi="Arial"/>
                <w:sz w:val="8"/>
                <w:szCs w:val="8"/>
                <w:color w:val="auto"/>
                <w:highlight w:val="black"/>
              </w:rPr>
              <w:t>NOI Margin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39"/>
              <w:spacing w:after="0"/>
              <w:rPr>
                <w:sz w:val="20"/>
                <w:szCs w:val="20"/>
                <w:color w:val="auto"/>
              </w:rPr>
            </w:pPr>
            <w:r>
              <w:rPr>
                <w:rFonts w:ascii="Arial" w:cs="Arial" w:eastAsia="Arial" w:hAnsi="Arial"/>
                <w:sz w:val="8"/>
                <w:szCs w:val="8"/>
                <w:color w:val="auto"/>
              </w:rPr>
              <w:t>68.5%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9"/>
              <w:spacing w:after="0"/>
              <w:rPr>
                <w:sz w:val="20"/>
                <w:szCs w:val="20"/>
                <w:color w:val="auto"/>
              </w:rPr>
            </w:pPr>
            <w:r>
              <w:rPr>
                <w:rFonts w:ascii="Arial" w:cs="Arial" w:eastAsia="Arial" w:hAnsi="Arial"/>
                <w:sz w:val="8"/>
                <w:szCs w:val="8"/>
                <w:color w:val="auto"/>
              </w:rPr>
              <w:t>69.1%</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69" w:lineRule="exact"/>
        <w:rPr>
          <w:sz w:val="20"/>
          <w:szCs w:val="20"/>
          <w:color w:val="auto"/>
        </w:rPr>
      </w:pPr>
    </w:p>
    <w:p>
      <w:pPr>
        <w:ind w:left="308" w:hanging="308"/>
        <w:spacing w:after="0"/>
        <w:tabs>
          <w:tab w:leader="none" w:pos="308" w:val="left"/>
        </w:tabs>
        <w:numPr>
          <w:ilvl w:val="0"/>
          <w:numId w:val="15"/>
        </w:numPr>
        <w:rPr>
          <w:rFonts w:ascii="Arial" w:cs="Arial" w:eastAsia="Arial" w:hAnsi="Arial"/>
          <w:sz w:val="13"/>
          <w:szCs w:val="13"/>
          <w:color w:val="auto"/>
          <w:vertAlign w:val="superscript"/>
        </w:rPr>
      </w:pPr>
      <w:r>
        <w:rPr>
          <w:rFonts w:ascii="Arial" w:cs="Arial" w:eastAsia="Arial" w:hAnsi="Arial"/>
          <w:sz w:val="9"/>
          <w:szCs w:val="9"/>
          <w:color w:val="auto"/>
        </w:rPr>
        <w:t>Includes straight-line rental income and expense, net of reserves, above and below market rent amortization, other fees, and noncontrolling interests.</w:t>
      </w:r>
    </w:p>
    <w:p>
      <w:pPr>
        <w:spacing w:after="0" w:line="59" w:lineRule="exact"/>
        <w:rPr>
          <w:rFonts w:ascii="Arial" w:cs="Arial" w:eastAsia="Arial" w:hAnsi="Arial"/>
          <w:sz w:val="13"/>
          <w:szCs w:val="13"/>
          <w:color w:val="auto"/>
          <w:vertAlign w:val="superscript"/>
        </w:rPr>
      </w:pPr>
    </w:p>
    <w:p>
      <w:pPr>
        <w:ind w:left="308" w:hanging="308"/>
        <w:spacing w:after="0"/>
        <w:tabs>
          <w:tab w:leader="none" w:pos="308" w:val="left"/>
        </w:tabs>
        <w:numPr>
          <w:ilvl w:val="0"/>
          <w:numId w:val="15"/>
        </w:numPr>
        <w:rPr>
          <w:rFonts w:ascii="Arial" w:cs="Arial" w:eastAsia="Arial" w:hAnsi="Arial"/>
          <w:sz w:val="13"/>
          <w:szCs w:val="13"/>
          <w:color w:val="auto"/>
          <w:vertAlign w:val="superscript"/>
        </w:rPr>
      </w:pPr>
      <w:r>
        <w:rPr>
          <w:rFonts w:ascii="Arial" w:cs="Arial" w:eastAsia="Arial" w:hAnsi="Arial"/>
          <w:sz w:val="9"/>
          <w:szCs w:val="9"/>
          <w:color w:val="auto"/>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spacing w:after="0" w:line="66" w:lineRule="exact"/>
        <w:rPr>
          <w:rFonts w:ascii="Arial" w:cs="Arial" w:eastAsia="Arial" w:hAnsi="Arial"/>
          <w:sz w:val="13"/>
          <w:szCs w:val="13"/>
          <w:color w:val="auto"/>
          <w:vertAlign w:val="superscript"/>
        </w:rPr>
      </w:pPr>
    </w:p>
    <w:p>
      <w:pPr>
        <w:ind w:left="308" w:hanging="308"/>
        <w:spacing w:after="0"/>
        <w:tabs>
          <w:tab w:leader="none" w:pos="308" w:val="left"/>
        </w:tabs>
        <w:numPr>
          <w:ilvl w:val="0"/>
          <w:numId w:val="15"/>
        </w:numPr>
        <w:rPr>
          <w:rFonts w:ascii="Arial" w:cs="Arial" w:eastAsia="Arial" w:hAnsi="Arial"/>
          <w:sz w:val="13"/>
          <w:szCs w:val="13"/>
          <w:color w:val="auto"/>
          <w:vertAlign w:val="superscript"/>
        </w:rPr>
      </w:pPr>
      <w:r>
        <w:rPr>
          <w:rFonts w:ascii="Arial" w:cs="Arial" w:eastAsia="Arial" w:hAnsi="Arial"/>
          <w:sz w:val="9"/>
          <w:szCs w:val="9"/>
          <w:color w:val="auto"/>
        </w:rPr>
        <w:t>Includes revenues and expenses attributable to Non-Same Property, Property in Development, termination fees, corporate activities, and noncontrolling interests.</w:t>
      </w:r>
    </w:p>
    <w:p>
      <w:pPr>
        <w:spacing w:after="0" w:line="168" w:lineRule="exact"/>
        <w:rPr>
          <w:sz w:val="20"/>
          <w:szCs w:val="20"/>
          <w:color w:val="auto"/>
        </w:rPr>
      </w:pPr>
    </w:p>
    <w:p>
      <w:pPr>
        <w:ind w:left="8" w:right="40"/>
        <w:spacing w:after="0" w:line="228" w:lineRule="auto"/>
        <w:rPr>
          <w:sz w:val="20"/>
          <w:szCs w:val="20"/>
          <w:color w:val="auto"/>
        </w:rPr>
      </w:pPr>
      <w:r>
        <w:rPr>
          <w:rFonts w:ascii="Arial" w:cs="Arial" w:eastAsia="Arial" w:hAnsi="Arial"/>
          <w:sz w:val="12"/>
          <w:szCs w:val="12"/>
          <w:color w:val="auto"/>
        </w:rPr>
        <w:t>Same Property NOI is a key non-GAAP pro-rata measure used by management in evaluating the operating performance of Regency’s properties. The Company provides a reconciliation of Net Income Attributable to Common Shareholders to Same Property NOI.</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Reported results are preliminary and not final until the filing of the Company’s Form 10-Q with the SEC and, therefore, remain subject to adjustment.</w:t>
      </w:r>
    </w:p>
    <w:p>
      <w:pPr>
        <w:spacing w:after="0" w:line="172" w:lineRule="exact"/>
        <w:rPr>
          <w:sz w:val="20"/>
          <w:szCs w:val="20"/>
          <w:color w:val="auto"/>
        </w:rPr>
      </w:pPr>
    </w:p>
    <w:p>
      <w:pPr>
        <w:ind w:left="8" w:right="40"/>
        <w:spacing w:after="0" w:line="244" w:lineRule="auto"/>
        <w:rPr>
          <w:sz w:val="20"/>
          <w:szCs w:val="20"/>
          <w:color w:val="auto"/>
        </w:rPr>
      </w:pPr>
      <w:r>
        <w:rPr>
          <w:rFonts w:ascii="Arial" w:cs="Arial" w:eastAsia="Arial" w:hAnsi="Arial"/>
          <w:sz w:val="12"/>
          <w:szCs w:val="12"/>
          <w:color w:val="auto"/>
        </w:rPr>
        <w:t>The Company has published additional financial information in its first quarter 2026 supplemental package that may help investors estimate earnings. A copy of the Company’s first quarter 2026 supplemental package will be available on the Company's website at investors.regencycenters.com 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March 31, 2026. Regency may, but assumes no obligation to, update information in the supplemental package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889635</wp:posOffset>
            </wp:positionV>
            <wp:extent cx="720280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68"/>
          </w:cols>
          <w:pgMar w:left="292" w:top="7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color w:val="auto"/>
        </w:rPr>
        <w:t>Non-GAAP Financial Measures</w:t>
      </w:r>
    </w:p>
    <w:p>
      <w:pPr>
        <w:spacing w:after="0" w:line="90" w:lineRule="exact"/>
        <w:rPr>
          <w:sz w:val="20"/>
          <w:szCs w:val="20"/>
          <w:color w:val="auto"/>
        </w:rPr>
      </w:pPr>
    </w:p>
    <w:p>
      <w:pPr>
        <w:ind w:right="260"/>
        <w:spacing w:after="0" w:line="227" w:lineRule="auto"/>
        <w:rPr>
          <w:sz w:val="20"/>
          <w:szCs w:val="20"/>
          <w:color w:val="auto"/>
        </w:rPr>
      </w:pPr>
      <w:r>
        <w:rPr>
          <w:rFonts w:ascii="Arial" w:cs="Arial" w:eastAsia="Arial" w:hAnsi="Arial"/>
          <w:sz w:val="10"/>
          <w:szCs w:val="10"/>
          <w:color w:val="auto"/>
        </w:rPr>
        <w:t>We believe these non-GAAP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0"/>
          <w:szCs w:val="10"/>
          <w:color w:val="auto"/>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0"/>
          <w:szCs w:val="10"/>
          <w:color w:val="auto"/>
        </w:rPr>
        <w:t>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related to real estate, and after adjustments for unconsolidated real estate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spacing w:after="0" w:line="91" w:lineRule="exact"/>
        <w:rPr>
          <w:sz w:val="20"/>
          <w:szCs w:val="20"/>
          <w:color w:val="auto"/>
        </w:rPr>
      </w:pPr>
    </w:p>
    <w:p>
      <w:pPr>
        <w:ind w:right="80"/>
        <w:spacing w:after="0" w:line="233" w:lineRule="auto"/>
        <w:rPr>
          <w:sz w:val="20"/>
          <w:szCs w:val="20"/>
          <w:color w:val="auto"/>
        </w:rPr>
      </w:pPr>
      <w:r>
        <w:rPr>
          <w:rFonts w:ascii="Arial" w:cs="Arial" w:eastAsia="Arial" w:hAnsi="Arial"/>
          <w:sz w:val="10"/>
          <w:szCs w:val="10"/>
          <w:color w:val="auto"/>
        </w:rPr>
        <w:t>Core Operating Earnings is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spacing w:after="0" w:line="90" w:lineRule="exact"/>
        <w:rPr>
          <w:sz w:val="20"/>
          <w:szCs w:val="20"/>
          <w:color w:val="auto"/>
        </w:rPr>
      </w:pPr>
    </w:p>
    <w:p>
      <w:pPr>
        <w:ind w:right="100"/>
        <w:spacing w:after="0" w:line="233" w:lineRule="auto"/>
        <w:rPr>
          <w:sz w:val="20"/>
          <w:szCs w:val="20"/>
          <w:color w:val="auto"/>
        </w:rPr>
      </w:pPr>
      <w:r>
        <w:rPr>
          <w:rFonts w:ascii="Arial" w:cs="Arial" w:eastAsia="Arial" w:hAnsi="Arial"/>
          <w:sz w:val="10"/>
          <w:szCs w:val="10"/>
          <w:color w:val="auto"/>
        </w:rPr>
        <w:t>Adjusted Funds From Operations (“AFFO”) 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Net Operating Income (NOI) 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The Company also provides disclosure of NOI excluding termination fees, which excludes both termination fee income and expenses.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p>
    <w:p>
      <w:pPr>
        <w:spacing w:after="0" w:line="205" w:lineRule="exact"/>
        <w:rPr>
          <w:sz w:val="20"/>
          <w:szCs w:val="20"/>
          <w:color w:val="auto"/>
        </w:rPr>
      </w:pPr>
    </w:p>
    <w:p>
      <w:pPr>
        <w:ind w:right="180"/>
        <w:spacing w:after="0" w:line="238" w:lineRule="auto"/>
        <w:rPr>
          <w:sz w:val="20"/>
          <w:szCs w:val="20"/>
          <w:color w:val="auto"/>
        </w:rPr>
      </w:pPr>
      <w:r>
        <w:rPr>
          <w:rFonts w:ascii="Arial" w:cs="Arial" w:eastAsia="Arial" w:hAnsi="Arial"/>
          <w:sz w:val="10"/>
          <w:szCs w:val="10"/>
          <w:color w:val="auto"/>
          <w:highlight w:val="black"/>
        </w:rPr>
        <w:t xml:space="preserve">Pro-rata information: </w:t>
      </w:r>
      <w:r>
        <w:rPr>
          <w:rFonts w:ascii="Arial" w:cs="Arial" w:eastAsia="Arial" w:hAnsi="Arial"/>
          <w:sz w:val="10"/>
          <w:szCs w:val="10"/>
          <w:color w:val="auto"/>
        </w:rPr>
        <w:t>includes 100% of the Company’s consolidated properties plus its economic share (based on the ownership interest) in the unconsolidated real estate investment partnerships. The Company provides Pro-rata financial</w:t>
      </w:r>
      <w:r>
        <w:rPr>
          <w:rFonts w:ascii="Arial" w:cs="Arial" w:eastAsia="Arial" w:hAnsi="Arial"/>
          <w:sz w:val="10"/>
          <w:szCs w:val="10"/>
          <w:color w:val="auto"/>
          <w:highlight w:val="black"/>
        </w:rPr>
        <w:t xml:space="preserve"> </w:t>
      </w:r>
      <w:r>
        <w:rPr>
          <w:rFonts w:ascii="Arial" w:cs="Arial" w:eastAsia="Arial" w:hAnsi="Arial"/>
          <w:sz w:val="10"/>
          <w:szCs w:val="10"/>
          <w:color w:val="auto"/>
        </w:rPr>
        <w:t>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-305435</wp:posOffset>
            </wp:positionV>
            <wp:extent cx="60261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2615" cy="5715"/>
                    </a:xfrm>
                    <a:prstGeom prst="rect">
                      <a:avLst/>
                    </a:prstGeom>
                    <a:noFill/>
                  </pic:spPr>
                </pic:pic>
              </a:graphicData>
            </a:graphic>
          </wp:anchor>
        </w:drawing>
      </w:r>
    </w:p>
    <w:p>
      <w:pPr>
        <w:spacing w:after="0" w:line="70" w:lineRule="exact"/>
        <w:rPr>
          <w:sz w:val="20"/>
          <w:szCs w:val="20"/>
          <w:color w:val="auto"/>
        </w:rPr>
      </w:pPr>
    </w:p>
    <w:p>
      <w:pPr>
        <w:ind w:right="340"/>
        <w:spacing w:after="0" w:line="236" w:lineRule="auto"/>
        <w:rPr>
          <w:sz w:val="20"/>
          <w:szCs w:val="20"/>
          <w:color w:val="auto"/>
        </w:rPr>
      </w:pPr>
      <w:r>
        <w:rPr>
          <w:rFonts w:ascii="Arial" w:cs="Arial" w:eastAsia="Arial" w:hAnsi="Arial"/>
          <w:sz w:val="10"/>
          <w:szCs w:val="10"/>
          <w:color w:val="auto"/>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280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80"/>
          </w:cols>
          <w:pgMar w:left="300" w:top="869" w:right="319" w:bottom="1440" w:gutter="0" w:footer="0" w:header="0"/>
        </w:sectPr>
      </w:pPr>
    </w:p>
    <w:bookmarkStart w:id="9" w:name="page10"/>
    <w:bookmarkEnd w:id="9"/>
    <w:p>
      <w:pPr>
        <w:spacing w:after="0"/>
        <w:rPr>
          <w:sz w:val="20"/>
          <w:szCs w:val="20"/>
          <w:color w:val="auto"/>
        </w:rPr>
      </w:pPr>
      <w:r>
        <w:rPr>
          <w:rFonts w:ascii="Arial" w:cs="Arial" w:eastAsia="Arial" w:hAnsi="Arial"/>
          <w:sz w:val="10"/>
          <w:szCs w:val="10"/>
          <w:color w:val="auto"/>
        </w:rPr>
        <w:t>The presentation of Pro-rata information has limitations which include, but are not limited to, the following:</w:t>
      </w:r>
    </w:p>
    <w:p>
      <w:pPr>
        <w:spacing w:after="0" w:line="77" w:lineRule="exact"/>
        <w:rPr>
          <w:sz w:val="20"/>
          <w:szCs w:val="20"/>
          <w:color w:val="auto"/>
        </w:rPr>
      </w:pPr>
    </w:p>
    <w:p>
      <w:pPr>
        <w:ind w:left="1020" w:right="160" w:hanging="516"/>
        <w:spacing w:after="0" w:line="239" w:lineRule="auto"/>
        <w:tabs>
          <w:tab w:leader="none" w:pos="1020" w:val="left"/>
        </w:tabs>
        <w:numPr>
          <w:ilvl w:val="0"/>
          <w:numId w:val="16"/>
        </w:numPr>
        <w:rPr>
          <w:rFonts w:ascii="Times New Roman" w:cs="Times New Roman" w:eastAsia="Times New Roman" w:hAnsi="Times New Roman"/>
          <w:sz w:val="10"/>
          <w:szCs w:val="10"/>
          <w:color w:val="auto"/>
        </w:rPr>
      </w:pPr>
      <w:r>
        <w:rPr>
          <w:rFonts w:ascii="Arial" w:cs="Arial" w:eastAsia="Arial" w:hAnsi="Arial"/>
          <w:sz w:val="10"/>
          <w:szCs w:val="10"/>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53" w:lineRule="exact"/>
        <w:rPr>
          <w:rFonts w:ascii="Times New Roman" w:cs="Times New Roman" w:eastAsia="Times New Roman" w:hAnsi="Times New Roman"/>
          <w:sz w:val="10"/>
          <w:szCs w:val="10"/>
          <w:color w:val="auto"/>
        </w:rPr>
      </w:pPr>
    </w:p>
    <w:p>
      <w:pPr>
        <w:ind w:left="1020" w:hanging="516"/>
        <w:spacing w:after="0"/>
        <w:tabs>
          <w:tab w:leader="none" w:pos="1020" w:val="left"/>
        </w:tabs>
        <w:numPr>
          <w:ilvl w:val="0"/>
          <w:numId w:val="16"/>
        </w:numPr>
        <w:rPr>
          <w:rFonts w:ascii="Times New Roman" w:cs="Times New Roman" w:eastAsia="Times New Roman" w:hAnsi="Times New Roman"/>
          <w:sz w:val="10"/>
          <w:szCs w:val="10"/>
          <w:color w:val="auto"/>
        </w:rPr>
      </w:pPr>
      <w:r>
        <w:rPr>
          <w:rFonts w:ascii="Arial" w:cs="Arial" w:eastAsia="Arial" w:hAnsi="Arial"/>
          <w:sz w:val="10"/>
          <w:szCs w:val="10"/>
          <w:color w:val="auto"/>
        </w:rPr>
        <w:t>Other companies in our industry may calculate their Pro-rata interest differently, limiting the comparability of Pro-rata information.</w:t>
      </w:r>
    </w:p>
    <w:p>
      <w:pPr>
        <w:spacing w:after="0" w:line="111" w:lineRule="exact"/>
        <w:rPr>
          <w:sz w:val="20"/>
          <w:szCs w:val="20"/>
          <w:color w:val="auto"/>
        </w:rPr>
      </w:pPr>
    </w:p>
    <w:p>
      <w:pPr>
        <w:ind w:right="140"/>
        <w:spacing w:after="0" w:line="227" w:lineRule="auto"/>
        <w:rPr>
          <w:sz w:val="20"/>
          <w:szCs w:val="20"/>
          <w:color w:val="auto"/>
        </w:rPr>
      </w:pPr>
      <w:r>
        <w:rPr>
          <w:rFonts w:ascii="Arial" w:cs="Arial" w:eastAsia="Arial" w:hAnsi="Arial"/>
          <w:sz w:val="10"/>
          <w:szCs w:val="10"/>
          <w:color w:val="auto"/>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spacing w:after="0" w:line="90" w:lineRule="exact"/>
        <w:rPr>
          <w:sz w:val="20"/>
          <w:szCs w:val="20"/>
          <w:color w:val="auto"/>
        </w:rPr>
      </w:pPr>
    </w:p>
    <w:p>
      <w:pPr>
        <w:ind w:right="40"/>
        <w:spacing w:after="0" w:line="238" w:lineRule="auto"/>
        <w:rPr>
          <w:sz w:val="20"/>
          <w:szCs w:val="20"/>
          <w:color w:val="auto"/>
        </w:rPr>
      </w:pPr>
      <w:r>
        <w:rPr>
          <w:rFonts w:ascii="Arial" w:cs="Arial" w:eastAsia="Arial" w:hAnsi="Arial"/>
          <w:sz w:val="10"/>
          <w:szCs w:val="10"/>
          <w:color w:val="auto"/>
        </w:rPr>
        <w:t>Same Property NOI is a key non-GAAP financial measure commonly used by real estate investment trusts (REITs) to evaluate operating performance. It is calculated on a Pro-rata ownership basis for properties owned and operated for the entirety of both the current and prior comparable reporting periods. 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 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Forward-Looking Statements</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Current Economic and Geopolitical Environments</w:t>
      </w:r>
    </w:p>
    <w:p>
      <w:pPr>
        <w:spacing w:after="0" w:line="90" w:lineRule="exact"/>
        <w:rPr>
          <w:sz w:val="20"/>
          <w:szCs w:val="20"/>
          <w:color w:val="auto"/>
        </w:rPr>
      </w:pPr>
    </w:p>
    <w:p>
      <w:pPr>
        <w:jc w:val="both"/>
        <w:ind w:right="60"/>
        <w:spacing w:after="0" w:line="233" w:lineRule="auto"/>
        <w:rPr>
          <w:sz w:val="20"/>
          <w:szCs w:val="20"/>
          <w:color w:val="auto"/>
        </w:rPr>
      </w:pPr>
      <w:r>
        <w:rPr>
          <w:rFonts w:ascii="Arial" w:cs="Arial" w:eastAsia="Arial" w:hAnsi="Arial"/>
          <w:sz w:val="10"/>
          <w:szCs w:val="10"/>
          <w:color w:val="auto"/>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Pandemics or other Public Health Crises</w:t>
      </w:r>
    </w:p>
    <w:p>
      <w:pPr>
        <w:spacing w:after="0" w:line="90" w:lineRule="exact"/>
        <w:rPr>
          <w:sz w:val="20"/>
          <w:szCs w:val="20"/>
          <w:color w:val="auto"/>
        </w:rPr>
      </w:pPr>
    </w:p>
    <w:p>
      <w:pPr>
        <w:ind w:right="240"/>
        <w:spacing w:after="0" w:line="227" w:lineRule="auto"/>
        <w:rPr>
          <w:sz w:val="20"/>
          <w:szCs w:val="20"/>
          <w:color w:val="auto"/>
        </w:rPr>
      </w:pPr>
      <w:r>
        <w:rPr>
          <w:rFonts w:ascii="Arial" w:cs="Arial" w:eastAsia="Arial" w:hAnsi="Arial"/>
          <w:sz w:val="10"/>
          <w:szCs w:val="10"/>
          <w:color w:val="auto"/>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Operating Retail-Based Shopping Centers</w:t>
      </w:r>
    </w:p>
    <w:p>
      <w:pPr>
        <w:spacing w:after="0" w:line="90" w:lineRule="exact"/>
        <w:rPr>
          <w:sz w:val="20"/>
          <w:szCs w:val="20"/>
          <w:color w:val="auto"/>
        </w:rPr>
      </w:pPr>
    </w:p>
    <w:p>
      <w:pPr>
        <w:ind w:right="20"/>
        <w:spacing w:after="0" w:line="238" w:lineRule="auto"/>
        <w:rPr>
          <w:sz w:val="20"/>
          <w:szCs w:val="20"/>
          <w:color w:val="auto"/>
        </w:rPr>
      </w:pPr>
      <w:r>
        <w:rPr>
          <w:rFonts w:ascii="Arial" w:cs="Arial" w:eastAsia="Arial" w:hAnsi="Arial"/>
          <w:sz w:val="10"/>
          <w:szCs w:val="10"/>
          <w:color w:val="auto"/>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280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832" w:right="299" w:bottom="1440" w:gutter="0" w:footer="0" w:header="0"/>
        </w:sectPr>
      </w:pPr>
    </w:p>
    <w:bookmarkStart w:id="10" w:name="page11"/>
    <w:bookmarkEnd w:id="10"/>
    <w:p>
      <w:pPr>
        <w:spacing w:after="0"/>
        <w:rPr>
          <w:sz w:val="20"/>
          <w:szCs w:val="20"/>
          <w:color w:val="auto"/>
        </w:rPr>
      </w:pPr>
      <w:r>
        <w:rPr>
          <w:rFonts w:ascii="Arial" w:cs="Arial" w:eastAsia="Arial" w:hAnsi="Arial"/>
          <w:sz w:val="10"/>
          <w:szCs w:val="10"/>
          <w:color w:val="auto"/>
        </w:rPr>
        <w:t>Risk Factors Related to Real Estate Investments</w:t>
      </w:r>
    </w:p>
    <w:p>
      <w:pPr>
        <w:spacing w:after="0" w:line="90" w:lineRule="exact"/>
        <w:rPr>
          <w:sz w:val="20"/>
          <w:szCs w:val="20"/>
          <w:color w:val="auto"/>
        </w:rPr>
      </w:pPr>
    </w:p>
    <w:p>
      <w:pPr>
        <w:ind w:right="260"/>
        <w:spacing w:after="0" w:line="233" w:lineRule="auto"/>
        <w:rPr>
          <w:sz w:val="20"/>
          <w:szCs w:val="20"/>
          <w:color w:val="auto"/>
        </w:rPr>
      </w:pPr>
      <w:r>
        <w:rPr>
          <w:rFonts w:ascii="Arial" w:cs="Arial" w:eastAsia="Arial" w:hAnsi="Arial"/>
          <w:sz w:val="10"/>
          <w:szCs w:val="10"/>
          <w:color w:val="auto"/>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Environment Affecting Our Properties</w:t>
      </w:r>
    </w:p>
    <w:p>
      <w:pPr>
        <w:spacing w:after="0" w:line="90" w:lineRule="exact"/>
        <w:rPr>
          <w:sz w:val="20"/>
          <w:szCs w:val="20"/>
          <w:color w:val="auto"/>
        </w:rPr>
      </w:pPr>
    </w:p>
    <w:p>
      <w:pPr>
        <w:ind w:right="120"/>
        <w:spacing w:after="0" w:line="227" w:lineRule="auto"/>
        <w:rPr>
          <w:sz w:val="20"/>
          <w:szCs w:val="20"/>
          <w:color w:val="auto"/>
        </w:rPr>
      </w:pPr>
      <w:r>
        <w:rPr>
          <w:rFonts w:ascii="Arial" w:cs="Arial" w:eastAsia="Arial" w:hAnsi="Arial"/>
          <w:sz w:val="10"/>
          <w:szCs w:val="10"/>
          <w:color w:val="auto"/>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Corporate Matters</w:t>
      </w:r>
    </w:p>
    <w:p>
      <w:pPr>
        <w:spacing w:after="0" w:line="90" w:lineRule="exact"/>
        <w:rPr>
          <w:sz w:val="20"/>
          <w:szCs w:val="20"/>
          <w:color w:val="auto"/>
        </w:rPr>
      </w:pPr>
    </w:p>
    <w:p>
      <w:pPr>
        <w:ind w:right="80"/>
        <w:spacing w:after="0" w:line="227" w:lineRule="auto"/>
        <w:rPr>
          <w:sz w:val="20"/>
          <w:szCs w:val="20"/>
          <w:color w:val="auto"/>
        </w:rPr>
      </w:pPr>
      <w:r>
        <w:rPr>
          <w:rFonts w:ascii="Arial" w:cs="Arial" w:eastAsia="Arial" w:hAnsi="Arial"/>
          <w:sz w:val="10"/>
          <w:szCs w:val="10"/>
          <w:color w:val="auto"/>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Our Partnerships and Joint Ventures</w:t>
      </w:r>
    </w:p>
    <w:p>
      <w:pPr>
        <w:spacing w:after="0" w:line="90" w:lineRule="exact"/>
        <w:rPr>
          <w:sz w:val="20"/>
          <w:szCs w:val="20"/>
          <w:color w:val="auto"/>
        </w:rPr>
      </w:pPr>
    </w:p>
    <w:p>
      <w:pPr>
        <w:ind w:right="240"/>
        <w:spacing w:after="0" w:line="227" w:lineRule="auto"/>
        <w:rPr>
          <w:sz w:val="20"/>
          <w:szCs w:val="20"/>
          <w:color w:val="auto"/>
        </w:rPr>
      </w:pPr>
      <w:r>
        <w:rPr>
          <w:rFonts w:ascii="Arial" w:cs="Arial" w:eastAsia="Arial" w:hAnsi="Arial"/>
          <w:sz w:val="10"/>
          <w:szCs w:val="10"/>
          <w:color w:val="auto"/>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Funding Strategies and Capital Structure</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0"/>
          <w:szCs w:val="10"/>
          <w:color w:val="auto"/>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Information Management and Technology</w:t>
      </w:r>
    </w:p>
    <w:p>
      <w:pPr>
        <w:spacing w:after="0" w:line="90" w:lineRule="exact"/>
        <w:rPr>
          <w:sz w:val="20"/>
          <w:szCs w:val="20"/>
          <w:color w:val="auto"/>
        </w:rPr>
      </w:pPr>
    </w:p>
    <w:p>
      <w:pPr>
        <w:jc w:val="both"/>
        <w:ind w:right="360"/>
        <w:spacing w:after="0" w:line="236" w:lineRule="auto"/>
        <w:rPr>
          <w:sz w:val="20"/>
          <w:szCs w:val="20"/>
          <w:color w:val="auto"/>
        </w:rPr>
      </w:pPr>
      <w:r>
        <w:rPr>
          <w:rFonts w:ascii="Arial" w:cs="Arial" w:eastAsia="Arial" w:hAnsi="Arial"/>
          <w:sz w:val="10"/>
          <w:szCs w:val="10"/>
          <w:color w:val="auto"/>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Taxes and the Parent Company’s Qualification as a REIT</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0"/>
          <w:szCs w:val="10"/>
          <w:color w:val="auto"/>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Company’s Stock</w:t>
      </w:r>
    </w:p>
    <w:p>
      <w:pPr>
        <w:spacing w:after="0" w:line="90" w:lineRule="exact"/>
        <w:rPr>
          <w:sz w:val="20"/>
          <w:szCs w:val="20"/>
          <w:color w:val="auto"/>
        </w:rPr>
      </w:pPr>
    </w:p>
    <w:p>
      <w:pPr>
        <w:ind w:right="120"/>
        <w:spacing w:after="0" w:line="233" w:lineRule="auto"/>
        <w:rPr>
          <w:sz w:val="20"/>
          <w:szCs w:val="20"/>
          <w:color w:val="auto"/>
        </w:rPr>
      </w:pPr>
      <w:r>
        <w:rPr>
          <w:rFonts w:ascii="Arial" w:cs="Arial" w:eastAsia="Arial" w:hAnsi="Arial"/>
          <w:sz w:val="10"/>
          <w:szCs w:val="10"/>
          <w:color w:val="auto"/>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280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832" w:right="299" w:bottom="1440" w:gutter="0" w:footer="0" w:header="0"/>
        </w:sectPr>
      </w:pPr>
    </w:p>
    <w:bookmarkStart w:id="11" w:name="page12"/>
    <w:bookmarkEnd w:id="11"/>
    <w:p>
      <w:pPr>
        <w:ind w:left="9480"/>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271780</wp:posOffset>
            </wp:positionV>
            <wp:extent cx="7202805" cy="5427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2805" cy="5427345"/>
                    </a:xfrm>
                    <a:prstGeom prst="rect">
                      <a:avLst/>
                    </a:prstGeom>
                    <a:noFill/>
                  </pic:spPr>
                </pic:pic>
              </a:graphicData>
            </a:graphic>
          </wp:anchor>
        </w:drawing>
      </w:r>
    </w:p>
    <w:p>
      <w:pPr>
        <w:sectPr>
          <w:pgSz w:w="11900" w:h="16838" w:orient="portrait"/>
          <w:cols w:equalWidth="0" w:num="1">
            <w:col w:w="10160"/>
          </w:cols>
          <w:pgMar w:left="1440" w:top="557"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0" w:type="dxa"/>
            <w:vAlign w:val="bottom"/>
            <w:gridSpan w:val="4"/>
          </w:tcPr>
          <w:p>
            <w:pPr>
              <w:jc w:val="center"/>
              <w:ind w:right="4340"/>
              <w:spacing w:after="0"/>
              <w:rPr>
                <w:sz w:val="20"/>
                <w:szCs w:val="20"/>
                <w:color w:val="auto"/>
              </w:rPr>
            </w:pPr>
            <w:r>
              <w:rPr>
                <w:rFonts w:ascii="Arial" w:cs="Arial" w:eastAsia="Arial" w:hAnsi="Arial"/>
                <w:sz w:val="12"/>
                <w:szCs w:val="12"/>
                <w:color w:val="auto"/>
                <w:highlight w:val="black"/>
                <w:w w:val="99"/>
              </w:rPr>
              <w:t>Table of Contents</w:t>
            </w:r>
          </w:p>
        </w:tc>
      </w:tr>
      <w:tr>
        <w:trPr>
          <w:trHeight w:val="145"/>
        </w:trPr>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000" w:type="dxa"/>
            <w:vAlign w:val="bottom"/>
            <w:gridSpan w:val="4"/>
          </w:tcPr>
          <w:p>
            <w:pPr>
              <w:jc w:val="center"/>
              <w:ind w:right="4360"/>
              <w:spacing w:after="0"/>
              <w:rPr>
                <w:sz w:val="20"/>
                <w:szCs w:val="20"/>
                <w:color w:val="auto"/>
              </w:rPr>
            </w:pPr>
            <w:r>
              <w:rPr>
                <w:rFonts w:ascii="Arial" w:cs="Arial" w:eastAsia="Arial" w:hAnsi="Arial"/>
                <w:sz w:val="12"/>
                <w:szCs w:val="12"/>
                <w:color w:val="auto"/>
              </w:rPr>
              <w:t>March 31, 2026</w:t>
            </w:r>
          </w:p>
        </w:tc>
      </w:tr>
      <w:tr>
        <w:trPr>
          <w:trHeight w:val="204"/>
        </w:trPr>
        <w:tc>
          <w:tcPr>
            <w:tcW w:w="4320" w:type="dxa"/>
            <w:vAlign w:val="bottom"/>
            <w:gridSpan w:val="7"/>
          </w:tcPr>
          <w:p>
            <w:pPr>
              <w:spacing w:after="0"/>
              <w:rPr>
                <w:sz w:val="20"/>
                <w:szCs w:val="20"/>
                <w:color w:val="auto"/>
              </w:rPr>
            </w:pPr>
            <w:r>
              <w:rPr>
                <w:rFonts w:ascii="Arial" w:cs="Arial" w:eastAsia="Arial" w:hAnsi="Arial"/>
                <w:sz w:val="10"/>
                <w:szCs w:val="10"/>
                <w:color w:val="auto"/>
              </w:rPr>
              <w:t>Safe Harbor Language</w:t>
            </w: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0000FF"/>
              </w:rPr>
              <w:t>i</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Earnings Press Release</w:t>
            </w:r>
          </w:p>
        </w:tc>
        <w:tc>
          <w:tcPr>
            <w:tcW w:w="6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0"/>
                <w:szCs w:val="10"/>
                <w:color w:val="0000FF"/>
              </w:rPr>
              <w:t>ii</w:t>
            </w:r>
          </w:p>
        </w:tc>
      </w:tr>
      <w:tr>
        <w:trPr>
          <w:trHeight w:val="196"/>
        </w:trPr>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0"/>
                <w:szCs w:val="10"/>
                <w:color w:val="auto"/>
                <w:highlight w:val="black"/>
              </w:rPr>
              <w:t>Summary Information:</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320" w:type="dxa"/>
            <w:vAlign w:val="bottom"/>
            <w:gridSpan w:val="7"/>
          </w:tcPr>
          <w:p>
            <w:pPr>
              <w:spacing w:after="0"/>
              <w:rPr>
                <w:sz w:val="20"/>
                <w:szCs w:val="20"/>
                <w:color w:val="auto"/>
              </w:rPr>
            </w:pPr>
            <w:r>
              <w:rPr>
                <w:rFonts w:ascii="Arial" w:cs="Arial" w:eastAsia="Arial" w:hAnsi="Arial"/>
                <w:sz w:val="10"/>
                <w:szCs w:val="10"/>
                <w:color w:val="auto"/>
              </w:rPr>
              <w:t>Financial Results Summary</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1</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Real Estate Portfolio Summary</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2</w:t>
            </w:r>
          </w:p>
        </w:tc>
      </w:tr>
      <w:tr>
        <w:trPr>
          <w:trHeight w:val="196"/>
        </w:trPr>
        <w:tc>
          <w:tcPr>
            <w:tcW w:w="98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highlight w:val="black"/>
              </w:rPr>
              <w:t>Financial Information:</w:t>
            </w:r>
          </w:p>
        </w:tc>
        <w:tc>
          <w:tcPr>
            <w:tcW w:w="12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320" w:type="dxa"/>
            <w:vAlign w:val="bottom"/>
            <w:gridSpan w:val="7"/>
          </w:tcPr>
          <w:p>
            <w:pPr>
              <w:spacing w:after="0"/>
              <w:rPr>
                <w:sz w:val="20"/>
                <w:szCs w:val="20"/>
                <w:color w:val="auto"/>
              </w:rPr>
            </w:pPr>
            <w:r>
              <w:rPr>
                <w:rFonts w:ascii="Arial" w:cs="Arial" w:eastAsia="Arial" w:hAnsi="Arial"/>
                <w:sz w:val="10"/>
                <w:szCs w:val="10"/>
                <w:color w:val="auto"/>
              </w:rPr>
              <w:t>Consolidated Balance Sheets</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3</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Supplemental Details of Assets and Liabilities (Real Estate Partnerships Only)</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4</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Consolidated Statements of Operations</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5</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Supplemental Details of Operations (Consolidated Only)</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6</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Supplemental Details of Operations (Real Estate Partnerships Only)</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7</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Supplemental Details of Same Property NOI</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8</w:t>
            </w:r>
          </w:p>
        </w:tc>
      </w:tr>
      <w:tr>
        <w:trPr>
          <w:trHeight w:val="208"/>
        </w:trPr>
        <w:tc>
          <w:tcPr>
            <w:tcW w:w="4320" w:type="dxa"/>
            <w:vAlign w:val="bottom"/>
            <w:gridSpan w:val="7"/>
          </w:tcPr>
          <w:p>
            <w:pPr>
              <w:spacing w:after="0"/>
              <w:rPr>
                <w:sz w:val="20"/>
                <w:szCs w:val="20"/>
                <w:color w:val="auto"/>
              </w:rPr>
            </w:pPr>
            <w:r>
              <w:rPr>
                <w:rFonts w:ascii="Arial" w:cs="Arial" w:eastAsia="Arial" w:hAnsi="Arial"/>
                <w:sz w:val="10"/>
                <w:szCs w:val="10"/>
                <w:color w:val="auto"/>
              </w:rPr>
              <w:t>Reconciliations of Non-GAAP Financial Measures</w:t>
            </w:r>
          </w:p>
        </w:tc>
        <w:tc>
          <w:tcPr>
            <w:tcW w:w="7000" w:type="dxa"/>
            <w:vAlign w:val="bottom"/>
            <w:gridSpan w:val="4"/>
          </w:tcPr>
          <w:p>
            <w:pPr>
              <w:jc w:val="right"/>
              <w:ind w:right="20"/>
              <w:spacing w:after="0"/>
              <w:rPr>
                <w:sz w:val="20"/>
                <w:szCs w:val="20"/>
                <w:color w:val="auto"/>
              </w:rPr>
            </w:pPr>
            <w:r>
              <w:rPr>
                <w:rFonts w:ascii="Arial" w:cs="Arial" w:eastAsia="Arial" w:hAnsi="Arial"/>
                <w:sz w:val="10"/>
                <w:szCs w:val="10"/>
                <w:color w:val="0000FF"/>
              </w:rPr>
              <w:t>9</w:t>
            </w:r>
          </w:p>
        </w:tc>
      </w:tr>
      <w:tr>
        <w:trPr>
          <w:trHeight w:val="196"/>
        </w:trPr>
        <w:tc>
          <w:tcPr>
            <w:tcW w:w="4320" w:type="dxa"/>
            <w:vAlign w:val="bottom"/>
            <w:gridSpan w:val="7"/>
          </w:tcPr>
          <w:p>
            <w:pPr>
              <w:spacing w:after="0"/>
              <w:rPr>
                <w:sz w:val="20"/>
                <w:szCs w:val="20"/>
                <w:color w:val="auto"/>
              </w:rPr>
            </w:pPr>
            <w:r>
              <w:rPr>
                <w:rFonts w:ascii="Arial" w:cs="Arial" w:eastAsia="Arial" w:hAnsi="Arial"/>
                <w:sz w:val="10"/>
                <w:szCs w:val="10"/>
                <w:color w:val="auto"/>
              </w:rPr>
              <w:t>Capital Expenditures and Additional Disclosures</w:t>
            </w:r>
          </w:p>
        </w:tc>
        <w:tc>
          <w:tcPr>
            <w:tcW w:w="6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10</w:t>
            </w:r>
          </w:p>
        </w:tc>
        <w:tc>
          <w:tcPr>
            <w:tcW w:w="20" w:type="dxa"/>
            <w:vAlign w:val="bottom"/>
          </w:tcPr>
          <w:p>
            <w:pPr>
              <w:spacing w:after="0"/>
              <w:rPr>
                <w:sz w:val="17"/>
                <w:szCs w:val="17"/>
                <w:color w:val="auto"/>
              </w:rPr>
            </w:pPr>
          </w:p>
        </w:tc>
      </w:tr>
      <w:tr>
        <w:trPr>
          <w:trHeight w:val="188"/>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highlight w:val="black"/>
              </w:rPr>
              <w:t>Debt Information:</w:t>
            </w:r>
          </w:p>
        </w:tc>
        <w:tc>
          <w:tcPr>
            <w:tcW w:w="300" w:type="dxa"/>
            <w:vAlign w:val="bottom"/>
            <w:gridSpan w:val="3"/>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Summary of Consolidated Debt</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11</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Details of Consolidated Debt</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12</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Summary of Unsecured Debt Covenants and Leverage Ratios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13</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Summary of Unconsolidated Debt</w:t>
            </w:r>
          </w:p>
        </w:tc>
        <w:tc>
          <w:tcPr>
            <w:tcW w:w="68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14</w:t>
            </w:r>
          </w:p>
        </w:tc>
        <w:tc>
          <w:tcPr>
            <w:tcW w:w="20" w:type="dxa"/>
            <w:vAlign w:val="bottom"/>
          </w:tcPr>
          <w:p>
            <w:pPr>
              <w:spacing w:after="0"/>
              <w:rPr>
                <w:sz w:val="16"/>
                <w:szCs w:val="16"/>
                <w:color w:val="auto"/>
              </w:rPr>
            </w:pPr>
          </w:p>
        </w:tc>
      </w:tr>
      <w:tr>
        <w:trPr>
          <w:trHeight w:val="188"/>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highlight w:val="black"/>
                <w:w w:val="98"/>
              </w:rPr>
              <w:t>Investments:</w:t>
            </w:r>
          </w:p>
        </w:tc>
        <w:tc>
          <w:tcPr>
            <w:tcW w:w="520" w:type="dxa"/>
            <w:vAlign w:val="bottom"/>
            <w:gridSpan w:val="4"/>
          </w:tcPr>
          <w:p>
            <w:pPr>
              <w:spacing w:after="0"/>
              <w:rPr>
                <w:sz w:val="16"/>
                <w:szCs w:val="16"/>
                <w:color w:val="auto"/>
              </w:rPr>
            </w:pP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Unconsolidated Real Estate Partnerships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15</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Property Transactions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16</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Summary of Developments and Redevelopments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17</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Summary of In-Process Developments and Redevelopments</w:t>
            </w:r>
          </w:p>
        </w:tc>
        <w:tc>
          <w:tcPr>
            <w:tcW w:w="68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18</w:t>
            </w:r>
          </w:p>
        </w:tc>
        <w:tc>
          <w:tcPr>
            <w:tcW w:w="20" w:type="dxa"/>
            <w:vAlign w:val="bottom"/>
          </w:tcPr>
          <w:p>
            <w:pPr>
              <w:spacing w:after="0"/>
              <w:rPr>
                <w:sz w:val="16"/>
                <w:szCs w:val="16"/>
                <w:color w:val="auto"/>
              </w:rPr>
            </w:pPr>
          </w:p>
        </w:tc>
      </w:tr>
      <w:tr>
        <w:trPr>
          <w:trHeight w:val="188"/>
        </w:trPr>
        <w:tc>
          <w:tcPr>
            <w:tcW w:w="1100" w:type="dxa"/>
            <w:vAlign w:val="bottom"/>
            <w:tcBorders>
              <w:bottom w:val="single" w:sz="8" w:color="auto"/>
            </w:tcBorders>
            <w:gridSpan w:val="5"/>
          </w:tcPr>
          <w:p>
            <w:pPr>
              <w:spacing w:after="0"/>
              <w:rPr>
                <w:sz w:val="20"/>
                <w:szCs w:val="20"/>
                <w:color w:val="auto"/>
              </w:rPr>
            </w:pPr>
            <w:r>
              <w:rPr>
                <w:rFonts w:ascii="Arial" w:cs="Arial" w:eastAsia="Arial" w:hAnsi="Arial"/>
                <w:sz w:val="10"/>
                <w:szCs w:val="10"/>
                <w:color w:val="auto"/>
              </w:rPr>
              <w:t>Real Estate Information:</w:t>
            </w:r>
          </w:p>
        </w:tc>
        <w:tc>
          <w:tcPr>
            <w:tcW w:w="14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Leasing Statistics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19</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New Lease Net Effective Rent and Leases Signed Not Yet Commenced</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20</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Annual Base Rent by State</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21</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Annual Base Rent by CBSA</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22</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Annual Base Rent by Tenant Category</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23</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Significant Tenant Rents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24</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Tenant Lease Expirations</w:t>
            </w:r>
          </w:p>
        </w:tc>
        <w:tc>
          <w:tcPr>
            <w:tcW w:w="68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25</w:t>
            </w:r>
          </w:p>
        </w:tc>
        <w:tc>
          <w:tcPr>
            <w:tcW w:w="20" w:type="dxa"/>
            <w:vAlign w:val="bottom"/>
          </w:tcPr>
          <w:p>
            <w:pPr>
              <w:spacing w:after="0"/>
              <w:rPr>
                <w:sz w:val="16"/>
                <w:szCs w:val="16"/>
                <w:color w:val="auto"/>
              </w:rPr>
            </w:pPr>
          </w:p>
        </w:tc>
      </w:tr>
      <w:tr>
        <w:trPr>
          <w:trHeight w:val="188"/>
        </w:trPr>
        <w:tc>
          <w:tcPr>
            <w:tcW w:w="2560" w:type="dxa"/>
            <w:vAlign w:val="bottom"/>
            <w:tcBorders>
              <w:bottom w:val="single" w:sz="8" w:color="auto"/>
            </w:tcBorders>
            <w:gridSpan w:val="6"/>
          </w:tcPr>
          <w:p>
            <w:pPr>
              <w:spacing w:after="0"/>
              <w:rPr>
                <w:sz w:val="20"/>
                <w:szCs w:val="20"/>
                <w:color w:val="auto"/>
              </w:rPr>
            </w:pPr>
            <w:r>
              <w:rPr>
                <w:rFonts w:ascii="Arial" w:cs="Arial" w:eastAsia="Arial" w:hAnsi="Arial"/>
                <w:sz w:val="10"/>
                <w:szCs w:val="10"/>
                <w:color w:val="auto"/>
              </w:rPr>
              <w:t>Additional Disclosures and Forward-Looking Information:</w:t>
            </w:r>
          </w:p>
        </w:tc>
        <w:tc>
          <w:tcPr>
            <w:tcW w:w="17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Components of NAV</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26</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Earnings Guidance</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27</w:t>
            </w:r>
          </w:p>
        </w:tc>
      </w:tr>
      <w:tr>
        <w:trPr>
          <w:trHeight w:val="188"/>
        </w:trPr>
        <w:tc>
          <w:tcPr>
            <w:tcW w:w="4320" w:type="dxa"/>
            <w:vAlign w:val="bottom"/>
            <w:gridSpan w:val="7"/>
          </w:tcPr>
          <w:p>
            <w:pPr>
              <w:spacing w:after="0"/>
              <w:rPr>
                <w:sz w:val="20"/>
                <w:szCs w:val="20"/>
                <w:color w:val="auto"/>
              </w:rPr>
            </w:pPr>
            <w:r>
              <w:rPr>
                <w:rFonts w:ascii="Arial" w:cs="Arial" w:eastAsia="Arial" w:hAnsi="Arial"/>
                <w:sz w:val="10"/>
                <w:szCs w:val="10"/>
                <w:color w:val="auto"/>
              </w:rPr>
              <w:t>Glossary of Terms</w:t>
            </w:r>
          </w:p>
        </w:tc>
        <w:tc>
          <w:tcPr>
            <w:tcW w:w="6860" w:type="dxa"/>
            <w:vAlign w:val="bottom"/>
          </w:tcPr>
          <w:p>
            <w:pPr>
              <w:spacing w:after="0"/>
              <w:rPr>
                <w:sz w:val="16"/>
                <w:szCs w:val="16"/>
                <w:color w:val="auto"/>
              </w:rPr>
            </w:pPr>
          </w:p>
        </w:tc>
        <w:tc>
          <w:tcPr>
            <w:tcW w:w="14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0"/>
                <w:szCs w:val="10"/>
                <w:color w:val="0000FF"/>
                <w:w w:val="89"/>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7157720</wp:posOffset>
            </wp:positionH>
            <wp:positionV relativeFrom="paragraph">
              <wp:posOffset>-4629150</wp:posOffset>
            </wp:positionV>
            <wp:extent cx="146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 cy="5715"/>
                    </a:xfrm>
                    <a:prstGeom prst="rect">
                      <a:avLst/>
                    </a:prstGeom>
                    <a:noFill/>
                  </pic:spPr>
                </pic:pic>
              </a:graphicData>
            </a:graphic>
          </wp:anchor>
        </w:drawing>
        <w:drawing>
          <wp:anchor simplePos="0" relativeHeight="251657728" behindDoc="1" locked="0" layoutInCell="0" allowOverlap="1">
            <wp:simplePos x="0" y="0"/>
            <wp:positionH relativeFrom="column">
              <wp:posOffset>7143115</wp:posOffset>
            </wp:positionH>
            <wp:positionV relativeFrom="paragraph">
              <wp:posOffset>-4497070</wp:posOffset>
            </wp:positionV>
            <wp:extent cx="2984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845"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-4233545</wp:posOffset>
            </wp:positionV>
            <wp:extent cx="355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-4101465</wp:posOffset>
            </wp:positionV>
            <wp:extent cx="355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-3837305</wp:posOffset>
            </wp:positionV>
            <wp:extent cx="355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-3705225</wp:posOffset>
            </wp:positionV>
            <wp:extent cx="355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-3573145</wp:posOffset>
            </wp:positionV>
            <wp:extent cx="355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-3441065</wp:posOffset>
            </wp:positionV>
            <wp:extent cx="355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-3308985</wp:posOffset>
            </wp:positionV>
            <wp:extent cx="355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-3176905</wp:posOffset>
            </wp:positionV>
            <wp:extent cx="355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-3044825</wp:posOffset>
            </wp:positionV>
            <wp:extent cx="355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60" cy="571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8"/>
          <w:szCs w:val="8"/>
          <w:color w:val="auto"/>
        </w:rPr>
        <w:t>Note: Portfolio Summary Report now located within Selected Supplemental Pages excel posted on the Company's website at investors.regency.com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309245</wp:posOffset>
            </wp:positionV>
            <wp:extent cx="720280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color w:val="auto"/>
          <w:highlight w:val="black"/>
        </w:rPr>
        <w:drawing>
          <wp:anchor simplePos="0" relativeHeight="251657728" behindDoc="1" locked="0" layoutInCell="0" allowOverlap="1">
            <wp:simplePos x="0" y="0"/>
            <wp:positionH relativeFrom="page">
              <wp:posOffset>3468370</wp:posOffset>
            </wp:positionH>
            <wp:positionV relativeFrom="page">
              <wp:posOffset>462280</wp:posOffset>
            </wp:positionV>
            <wp:extent cx="69723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7230" cy="102870"/>
                    </a:xfrm>
                    <a:prstGeom prst="rect">
                      <a:avLst/>
                    </a:prstGeom>
                    <a:noFill/>
                  </pic:spPr>
                </pic:pic>
              </a:graphicData>
            </a:graphic>
          </wp:anchor>
        </w:drawing>
        <w:t xml:space="preserve">Safe </w:t>
      </w:r>
      <w:r>
        <w:rPr>
          <w:rFonts w:ascii="Arial" w:cs="Arial" w:eastAsia="Arial" w:hAnsi="Arial"/>
          <w:sz w:val="12"/>
          <w:szCs w:val="12"/>
          <w:color w:val="auto"/>
        </w:rPr>
        <w:t>Harbor Language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March 31, 2026</w:t>
      </w:r>
    </w:p>
    <w:p>
      <w:pPr>
        <w:spacing w:after="0" w:line="98" w:lineRule="exact"/>
        <w:rPr>
          <w:sz w:val="20"/>
          <w:szCs w:val="20"/>
          <w:color w:val="auto"/>
        </w:rPr>
      </w:pPr>
    </w:p>
    <w:p>
      <w:pPr>
        <w:spacing w:after="0"/>
        <w:rPr>
          <w:sz w:val="20"/>
          <w:szCs w:val="20"/>
          <w:color w:val="auto"/>
        </w:rPr>
      </w:pPr>
      <w:r>
        <w:rPr>
          <w:rFonts w:ascii="Arial" w:cs="Arial" w:eastAsia="Arial" w:hAnsi="Arial"/>
          <w:sz w:val="8"/>
          <w:szCs w:val="8"/>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3055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555" cy="5715"/>
                    </a:xfrm>
                    <a:prstGeom prst="rect">
                      <a:avLst/>
                    </a:prstGeom>
                    <a:noFill/>
                  </pic:spPr>
                </pic:pic>
              </a:graphicData>
            </a:graphic>
          </wp:anchor>
        </w:drawing>
      </w:r>
    </w:p>
    <w:p>
      <w:pPr>
        <w:spacing w:after="0" w:line="3" w:lineRule="exact"/>
        <w:rPr>
          <w:sz w:val="20"/>
          <w:szCs w:val="20"/>
          <w:color w:val="auto"/>
        </w:rPr>
      </w:pPr>
    </w:p>
    <w:p>
      <w:pPr>
        <w:ind w:right="20"/>
        <w:spacing w:after="0" w:line="359" w:lineRule="auto"/>
        <w:rPr>
          <w:sz w:val="20"/>
          <w:szCs w:val="20"/>
          <w:color w:val="auto"/>
        </w:rPr>
      </w:pPr>
      <w:r>
        <w:rPr>
          <w:rFonts w:ascii="Arial" w:cs="Arial" w:eastAsia="Arial" w:hAnsi="Arial"/>
          <w:sz w:val="6"/>
          <w:szCs w:val="6"/>
          <w:color w:val="auto"/>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w:t>
      </w:r>
    </w:p>
    <w:p>
      <w:pPr>
        <w:spacing w:after="0" w:line="103" w:lineRule="exact"/>
        <w:rPr>
          <w:sz w:val="20"/>
          <w:szCs w:val="20"/>
          <w:color w:val="auto"/>
        </w:rPr>
      </w:pPr>
    </w:p>
    <w:p>
      <w:pPr>
        <w:ind w:right="20"/>
        <w:spacing w:after="0" w:line="358" w:lineRule="auto"/>
        <w:rPr>
          <w:sz w:val="20"/>
          <w:szCs w:val="20"/>
          <w:color w:val="auto"/>
        </w:rPr>
      </w:pPr>
      <w:r>
        <w:rPr>
          <w:rFonts w:ascii="Arial" w:cs="Arial" w:eastAsia="Arial" w:hAnsi="Arial"/>
          <w:sz w:val="6"/>
          <w:szCs w:val="6"/>
          <w:color w:val="auto"/>
        </w:rPr>
        <w:t>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spacing w:after="0" w:line="74"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the Current Economic and Geopolitical Environment</w:t>
      </w:r>
    </w:p>
    <w:p>
      <w:pPr>
        <w:spacing w:after="0" w:line="23" w:lineRule="exact"/>
        <w:rPr>
          <w:sz w:val="20"/>
          <w:szCs w:val="20"/>
          <w:color w:val="auto"/>
        </w:rPr>
      </w:pPr>
    </w:p>
    <w:p>
      <w:pPr>
        <w:ind w:right="80"/>
        <w:spacing w:after="0" w:line="229" w:lineRule="auto"/>
        <w:rPr>
          <w:sz w:val="20"/>
          <w:szCs w:val="20"/>
          <w:color w:val="auto"/>
        </w:rPr>
      </w:pPr>
      <w:r>
        <w:rPr>
          <w:rFonts w:ascii="Arial" w:cs="Arial" w:eastAsia="Arial" w:hAnsi="Arial"/>
          <w:sz w:val="8"/>
          <w:szCs w:val="8"/>
          <w:color w:val="auto"/>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Pandemics or other Public Health Crises</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color w:val="auto"/>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Operating Retail-Based Shopping Centers</w:t>
      </w:r>
    </w:p>
    <w:p>
      <w:pPr>
        <w:spacing w:after="0" w:line="23" w:lineRule="exact"/>
        <w:rPr>
          <w:sz w:val="20"/>
          <w:szCs w:val="20"/>
          <w:color w:val="auto"/>
        </w:rPr>
      </w:pPr>
    </w:p>
    <w:p>
      <w:pPr>
        <w:ind w:right="40"/>
        <w:spacing w:after="0" w:line="245" w:lineRule="auto"/>
        <w:rPr>
          <w:sz w:val="20"/>
          <w:szCs w:val="20"/>
          <w:color w:val="auto"/>
        </w:rPr>
      </w:pPr>
      <w:r>
        <w:rPr>
          <w:rFonts w:ascii="Arial" w:cs="Arial" w:eastAsia="Arial" w:hAnsi="Arial"/>
          <w:sz w:val="8"/>
          <w:szCs w:val="8"/>
          <w:color w:val="auto"/>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r>
    </w:p>
    <w:p>
      <w:pPr>
        <w:spacing w:after="0" w:line="106"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Real Estate Investments</w:t>
      </w:r>
    </w:p>
    <w:p>
      <w:pPr>
        <w:spacing w:after="0" w:line="23" w:lineRule="exact"/>
        <w:rPr>
          <w:sz w:val="20"/>
          <w:szCs w:val="20"/>
          <w:color w:val="auto"/>
        </w:rPr>
      </w:pPr>
    </w:p>
    <w:p>
      <w:pPr>
        <w:ind w:right="60"/>
        <w:spacing w:after="0" w:line="229" w:lineRule="auto"/>
        <w:rPr>
          <w:sz w:val="20"/>
          <w:szCs w:val="20"/>
          <w:color w:val="auto"/>
        </w:rPr>
      </w:pPr>
      <w:r>
        <w:rPr>
          <w:rFonts w:ascii="Arial" w:cs="Arial" w:eastAsia="Arial" w:hAnsi="Arial"/>
          <w:sz w:val="8"/>
          <w:szCs w:val="8"/>
          <w:color w:val="auto"/>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the Environment Affecting Our Properties</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color w:val="auto"/>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Corporate Matters</w:t>
      </w:r>
    </w:p>
    <w:p>
      <w:pPr>
        <w:spacing w:after="0" w:line="23" w:lineRule="exact"/>
        <w:rPr>
          <w:sz w:val="20"/>
          <w:szCs w:val="20"/>
          <w:color w:val="auto"/>
        </w:rPr>
      </w:pPr>
    </w:p>
    <w:p>
      <w:pPr>
        <w:ind w:right="20"/>
        <w:spacing w:after="0" w:line="229" w:lineRule="auto"/>
        <w:rPr>
          <w:sz w:val="20"/>
          <w:szCs w:val="20"/>
          <w:color w:val="auto"/>
        </w:rPr>
      </w:pPr>
      <w:r>
        <w:rPr>
          <w:rFonts w:ascii="Arial" w:cs="Arial" w:eastAsia="Arial" w:hAnsi="Arial"/>
          <w:sz w:val="8"/>
          <w:szCs w:val="8"/>
          <w:color w:val="auto"/>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Our Partnerships and Joint Ventures</w:t>
      </w:r>
    </w:p>
    <w:p>
      <w:pPr>
        <w:spacing w:after="0" w:line="23" w:lineRule="exact"/>
        <w:rPr>
          <w:sz w:val="20"/>
          <w:szCs w:val="20"/>
          <w:color w:val="auto"/>
        </w:rPr>
      </w:pPr>
    </w:p>
    <w:p>
      <w:pPr>
        <w:ind w:right="160"/>
        <w:spacing w:after="0" w:line="229" w:lineRule="auto"/>
        <w:rPr>
          <w:sz w:val="20"/>
          <w:szCs w:val="20"/>
          <w:color w:val="auto"/>
        </w:rPr>
      </w:pPr>
      <w:r>
        <w:rPr>
          <w:rFonts w:ascii="Arial" w:cs="Arial" w:eastAsia="Arial" w:hAnsi="Arial"/>
          <w:sz w:val="8"/>
          <w:szCs w:val="8"/>
          <w:color w:val="auto"/>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Funding Strategies and Capital Structure</w:t>
      </w:r>
    </w:p>
    <w:p>
      <w:pPr>
        <w:spacing w:after="0" w:line="23" w:lineRule="exact"/>
        <w:rPr>
          <w:sz w:val="20"/>
          <w:szCs w:val="20"/>
          <w:color w:val="auto"/>
        </w:rPr>
      </w:pPr>
    </w:p>
    <w:p>
      <w:pPr>
        <w:ind w:right="20"/>
        <w:spacing w:after="0" w:line="239" w:lineRule="auto"/>
        <w:rPr>
          <w:sz w:val="20"/>
          <w:szCs w:val="20"/>
          <w:color w:val="auto"/>
        </w:rPr>
      </w:pPr>
      <w:r>
        <w:rPr>
          <w:rFonts w:ascii="Arial" w:cs="Arial" w:eastAsia="Arial" w:hAnsi="Arial"/>
          <w:sz w:val="8"/>
          <w:szCs w:val="8"/>
          <w:color w:val="auto"/>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Hedging activity may expose us to risks, including the risks that a counterparty will not perform and that the hedge will not yield the economic benefits we anticipate, which may adversely affect us.</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Information Management and Technology</w:t>
      </w:r>
    </w:p>
    <w:p>
      <w:pPr>
        <w:spacing w:after="0" w:line="23" w:lineRule="exact"/>
        <w:rPr>
          <w:sz w:val="20"/>
          <w:szCs w:val="20"/>
          <w:color w:val="auto"/>
        </w:rPr>
      </w:pPr>
    </w:p>
    <w:p>
      <w:pPr>
        <w:spacing w:after="0" w:line="239" w:lineRule="auto"/>
        <w:rPr>
          <w:sz w:val="20"/>
          <w:szCs w:val="20"/>
          <w:color w:val="auto"/>
        </w:rPr>
      </w:pPr>
      <w:r>
        <w:rPr>
          <w:rFonts w:ascii="Arial" w:cs="Arial" w:eastAsia="Arial" w:hAnsi="Arial"/>
          <w:sz w:val="8"/>
          <w:szCs w:val="8"/>
          <w:color w:val="auto"/>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Taxes and the Parent Company’s Qualification as a REIT</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color w:val="auto"/>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color w:val="auto"/>
        </w:rPr>
        <w:t>Complying with REIT requirements may limit our ability to hedge effectively and may cause us to incur tax liabilities. Partnership tax audit rules could have a material adverse effect.</w:t>
      </w:r>
    </w:p>
    <w:p>
      <w:pPr>
        <w:spacing w:after="0" w:line="107" w:lineRule="exact"/>
        <w:rPr>
          <w:sz w:val="20"/>
          <w:szCs w:val="20"/>
          <w:color w:val="auto"/>
        </w:rPr>
      </w:pPr>
    </w:p>
    <w:p>
      <w:pPr>
        <w:spacing w:after="0"/>
        <w:rPr>
          <w:sz w:val="20"/>
          <w:szCs w:val="20"/>
          <w:color w:val="auto"/>
        </w:rPr>
      </w:pPr>
      <w:r>
        <w:rPr>
          <w:rFonts w:ascii="Arial" w:cs="Arial" w:eastAsia="Arial" w:hAnsi="Arial"/>
          <w:sz w:val="8"/>
          <w:szCs w:val="8"/>
          <w:color w:val="auto"/>
        </w:rPr>
        <w:t>Risk Factors Related to the Company’s Common Stock</w:t>
      </w:r>
    </w:p>
    <w:p>
      <w:pPr>
        <w:spacing w:after="0" w:line="23" w:lineRule="exact"/>
        <w:rPr>
          <w:sz w:val="20"/>
          <w:szCs w:val="20"/>
          <w:color w:val="auto"/>
        </w:rPr>
      </w:pPr>
    </w:p>
    <w:p>
      <w:pPr>
        <w:jc w:val="both"/>
        <w:ind w:right="180"/>
        <w:spacing w:after="0" w:line="239" w:lineRule="auto"/>
        <w:rPr>
          <w:sz w:val="20"/>
          <w:szCs w:val="20"/>
          <w:color w:val="auto"/>
        </w:rPr>
      </w:pPr>
      <w:r>
        <w:rPr>
          <w:rFonts w:ascii="Arial" w:cs="Arial" w:eastAsia="Arial" w:hAnsi="Arial"/>
          <w:sz w:val="8"/>
          <w:szCs w:val="8"/>
          <w:color w:val="auto"/>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1270</wp:posOffset>
            </wp:positionV>
            <wp:extent cx="287020" cy="154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06"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321310</wp:posOffset>
            </wp:positionV>
            <wp:extent cx="720280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color w:val="auto"/>
          <w:shd w:val="clear" w:color="auto" w:fill="3A3430"/>
        </w:rPr>
        <w:drawing>
          <wp:anchor simplePos="0" relativeHeight="251657728" behindDoc="1" locked="0" layoutInCell="0" allowOverlap="1">
            <wp:simplePos x="0" y="0"/>
            <wp:positionH relativeFrom="page">
              <wp:posOffset>185420</wp:posOffset>
            </wp:positionH>
            <wp:positionV relativeFrom="page">
              <wp:posOffset>553720</wp:posOffset>
            </wp:positionV>
            <wp:extent cx="970280" cy="3790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970280" cy="379095"/>
                    </a:xfrm>
                    <a:prstGeom prst="rect">
                      <a:avLst/>
                    </a:prstGeom>
                    <a:noFill/>
                  </pic:spPr>
                </pic:pic>
              </a:graphicData>
            </a:graphic>
          </wp:anchor>
        </w:drawing>
        <w:t>NEWS RELEASE</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For immediate release</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Kathryn McKie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904 598 7348</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color w:val="3A3430"/>
        </w:rPr>
        <w:t>KathrynMcKie@regencycenters.com</w:t>
      </w:r>
    </w:p>
    <w:p>
      <w:pPr>
        <w:spacing w:after="0" w:line="151" w:lineRule="exact"/>
        <w:rPr>
          <w:sz w:val="20"/>
          <w:szCs w:val="20"/>
          <w:color w:val="auto"/>
        </w:rPr>
      </w:pPr>
    </w:p>
    <w:p>
      <w:pPr>
        <w:jc w:val="center"/>
        <w:ind w:right="32"/>
        <w:spacing w:after="0"/>
        <w:rPr>
          <w:sz w:val="20"/>
          <w:szCs w:val="20"/>
          <w:color w:val="auto"/>
        </w:rPr>
      </w:pPr>
      <w:r>
        <w:rPr>
          <w:rFonts w:ascii="Arial" w:cs="Arial" w:eastAsia="Arial" w:hAnsi="Arial"/>
          <w:sz w:val="12"/>
          <w:szCs w:val="12"/>
          <w:color w:val="auto"/>
        </w:rPr>
        <w:t>Regency Centers Reports First Quarter 2026 Results</w:t>
      </w:r>
    </w:p>
    <w:p>
      <w:pPr>
        <w:spacing w:after="0" w:line="172" w:lineRule="exact"/>
        <w:rPr>
          <w:sz w:val="20"/>
          <w:szCs w:val="20"/>
          <w:color w:val="auto"/>
        </w:rPr>
      </w:pPr>
    </w:p>
    <w:p>
      <w:pPr>
        <w:ind w:left="8" w:right="520"/>
        <w:spacing w:after="0" w:line="235" w:lineRule="auto"/>
        <w:rPr>
          <w:sz w:val="20"/>
          <w:szCs w:val="20"/>
          <w:color w:val="auto"/>
        </w:rPr>
      </w:pPr>
      <w:r>
        <w:rPr>
          <w:rFonts w:ascii="Arial" w:cs="Arial" w:eastAsia="Arial" w:hAnsi="Arial"/>
          <w:sz w:val="12"/>
          <w:szCs w:val="12"/>
          <w:color w:val="auto"/>
          <w:highlight w:val="black"/>
        </w:rPr>
        <w:t xml:space="preserve">JACKSONVILLE, Fla. </w:t>
      </w:r>
      <w:r>
        <w:rPr>
          <w:rFonts w:ascii="Arial" w:cs="Arial" w:eastAsia="Arial" w:hAnsi="Arial"/>
          <w:sz w:val="12"/>
          <w:szCs w:val="12"/>
          <w:color w:val="auto"/>
        </w:rPr>
        <w:t>(April 29, 2026) – Regency Centers Corporation (“Regency Centers,” “Regency” or the “Company”) (Nasdaq: REG) today reported financial and operating results for the period ended</w:t>
      </w:r>
      <w:r>
        <w:rPr>
          <w:rFonts w:ascii="Arial" w:cs="Arial" w:eastAsia="Arial" w:hAnsi="Arial"/>
          <w:sz w:val="12"/>
          <w:szCs w:val="12"/>
          <w:color w:val="auto"/>
          <w:highlight w:val="black"/>
        </w:rPr>
        <w:t xml:space="preserve"> </w:t>
      </w:r>
      <w:r>
        <w:rPr>
          <w:rFonts w:ascii="Arial" w:cs="Arial" w:eastAsia="Arial" w:hAnsi="Arial"/>
          <w:sz w:val="12"/>
          <w:szCs w:val="12"/>
          <w:color w:val="auto"/>
        </w:rPr>
        <w:t>March 31, 2026, and provided updated 2026 earnings guidance. For the three months ended March 31, 2026 and 2025, Net Income Attributable to Common Shareholders was $0.68 and $0.58, respectively, per diluted share.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First Quarter 2026 Highlights</w:t>
      </w:r>
    </w:p>
    <w:p>
      <w:pPr>
        <w:spacing w:after="0" w:line="54" w:lineRule="exact"/>
        <w:rPr>
          <w:sz w:val="20"/>
          <w:szCs w:val="20"/>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Reported Nareit Funds From Operations ("FFO") of $1.20 per diluted share and Core Operating Earnings of $1.16 per diluted share</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Increased Same Property Net Operating Income ("NOI") year-over-year by 4.4%</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Same Property percent leased ended the quarter at 96.6%, flat year-over-year, and Same Property percent commenced ended the quarter at 94.3%, up 90 basis points year-over-year</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Same Property anchor percent leased ended the quarter at 98.2%, and Same Property shop percent leased ended the quarter at 94.1%</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Executed 1.5 million square feet of comparable new and renewal leases during the quarter at blended rent spreads of 12.1% on a cash basis and 24.3% on a straight-lined basis</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Started $73 million of redevelopment projects and completed $42 million of ground-up development and redevelopment projects</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in-process development and redevelopment projects had estimated net project costs of $635 million at a blended estimated yield of 9%</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The Company's operating partnership, Regency Centers, L.P., priced a public offering of $450 million of senior unsecured notes due 2033 at a coupon of 4.50%</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Pro-rata net debt and preferred stock to TTM operating EBITDAre at March 31, 2026 was 5.2x</w:t>
      </w:r>
    </w:p>
    <w:p>
      <w:pPr>
        <w:spacing w:after="0" w:line="87" w:lineRule="exact"/>
        <w:rPr>
          <w:rFonts w:ascii="Times New Roman" w:cs="Times New Roman" w:eastAsia="Times New Roman" w:hAnsi="Times New Roman"/>
          <w:sz w:val="12"/>
          <w:szCs w:val="12"/>
          <w:color w:val="auto"/>
        </w:rPr>
      </w:pPr>
    </w:p>
    <w:p>
      <w:pPr>
        <w:ind w:left="368" w:hanging="368"/>
        <w:spacing w:after="0"/>
        <w:tabs>
          <w:tab w:leader="none" w:pos="368" w:val="left"/>
        </w:tabs>
        <w:numPr>
          <w:ilvl w:val="0"/>
          <w:numId w:val="17"/>
        </w:numPr>
        <w:rPr>
          <w:rFonts w:ascii="Times New Roman" w:cs="Times New Roman" w:eastAsia="Times New Roman" w:hAnsi="Times New Roman"/>
          <w:sz w:val="12"/>
          <w:szCs w:val="12"/>
          <w:color w:val="auto"/>
        </w:rPr>
      </w:pPr>
      <w:r>
        <w:rPr>
          <w:rFonts w:ascii="Arial" w:cs="Arial" w:eastAsia="Arial" w:hAnsi="Arial"/>
          <w:sz w:val="12"/>
          <w:szCs w:val="12"/>
          <w:color w:val="auto"/>
        </w:rPr>
        <w:t>Reaffirmed 2026 earnings guidance for Nareit FFO, Core Operating Earnings, and Same Property NOI growth</w:t>
      </w:r>
    </w:p>
    <w:p>
      <w:pPr>
        <w:spacing w:after="0" w:line="350" w:lineRule="exact"/>
        <w:rPr>
          <w:sz w:val="20"/>
          <w:szCs w:val="20"/>
          <w:color w:val="auto"/>
        </w:rPr>
      </w:pPr>
    </w:p>
    <w:p>
      <w:pPr>
        <w:ind w:left="8" w:right="200"/>
        <w:spacing w:after="0" w:line="235" w:lineRule="auto"/>
        <w:rPr>
          <w:sz w:val="20"/>
          <w:szCs w:val="20"/>
          <w:color w:val="auto"/>
        </w:rPr>
      </w:pPr>
      <w:r>
        <w:rPr>
          <w:rFonts w:ascii="Arial" w:cs="Arial" w:eastAsia="Arial" w:hAnsi="Arial"/>
          <w:sz w:val="12"/>
          <w:szCs w:val="12"/>
          <w:color w:val="auto"/>
        </w:rPr>
        <w:t>“We delivered an outstanding start to the year, driven by strong Same Property NOI growth, continued robust tenant demand, and meaningful momentum across our investments platform,” said Lisa Palmer, President and Chief Executive Officer. “Our differentiated growth strategy, anchored by high-quality trade areas, a leading development platform, a strong balance sheet and our exceptional team, continues to position Regency to deliver durable and consistent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94615</wp:posOffset>
            </wp:positionV>
            <wp:extent cx="287020" cy="154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52" w:lineRule="exact"/>
        <w:rPr>
          <w:sz w:val="20"/>
          <w:szCs w:val="20"/>
          <w:color w:val="auto"/>
        </w:rPr>
      </w:pPr>
    </w:p>
    <w:p>
      <w:pPr>
        <w:ind w:left="10168"/>
        <w:spacing w:after="0"/>
        <w:tabs>
          <w:tab w:leader="none" w:pos="1122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321310</wp:posOffset>
            </wp:positionV>
            <wp:extent cx="720280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883" w:right="299" w:bottom="1440" w:gutter="0" w:footer="0" w:header="0"/>
        </w:sectPr>
      </w:pPr>
    </w:p>
    <w:bookmarkStart w:id="15" w:name="page16"/>
    <w:bookmarkEnd w:id="15"/>
    <w:p>
      <w:pPr>
        <w:ind w:left="20"/>
        <w:spacing w:after="0"/>
        <w:rPr>
          <w:sz w:val="20"/>
          <w:szCs w:val="20"/>
          <w:color w:val="auto"/>
        </w:rPr>
      </w:pPr>
      <w:r>
        <w:rPr>
          <w:rFonts w:ascii="Arial" w:cs="Arial" w:eastAsia="Arial" w:hAnsi="Arial"/>
          <w:sz w:val="12"/>
          <w:szCs w:val="12"/>
          <w:color w:val="auto"/>
          <w:highlight w:val="black"/>
        </w:rPr>
        <w:t>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Net Income Attributable to Common Shareholders</w:t>
      </w:r>
    </w:p>
    <w:p>
      <w:pPr>
        <w:spacing w:after="0" w:line="85" w:lineRule="exact"/>
        <w:rPr>
          <w:sz w:val="20"/>
          <w:szCs w:val="20"/>
          <w:color w:val="auto"/>
        </w:rPr>
      </w:pPr>
    </w:p>
    <w:p>
      <w:pPr>
        <w:ind w:left="1040" w:right="500" w:hanging="516"/>
        <w:spacing w:after="0"/>
        <w:tabs>
          <w:tab w:leader="none" w:pos="1040" w:val="left"/>
        </w:tabs>
        <w:numPr>
          <w:ilvl w:val="0"/>
          <w:numId w:val="18"/>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Net Income Attributable to Common Shareholders was $125.1 million, or $0.68 per diluted share, compared to Net Income Attributable to Common Shareholders of $106.2 million, or $0.58 per diluted share, for the same period in 2025.</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Nareit FFO</w:t>
      </w:r>
    </w:p>
    <w:p>
      <w:pPr>
        <w:spacing w:after="0" w:line="54" w:lineRule="exact"/>
        <w:rPr>
          <w:sz w:val="20"/>
          <w:szCs w:val="20"/>
          <w:color w:val="auto"/>
        </w:rPr>
      </w:pPr>
    </w:p>
    <w:p>
      <w:pPr>
        <w:ind w:left="1040" w:hanging="516"/>
        <w:spacing w:after="0"/>
        <w:tabs>
          <w:tab w:leader="none" w:pos="1040" w:val="left"/>
        </w:tabs>
        <w:numPr>
          <w:ilvl w:val="0"/>
          <w:numId w:val="19"/>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Nareit FFO was $224.3 million, or $1.20 per diluted share, compared to $210.7 million, or $1.15 per diluted share, for the same period in 2025.</w:t>
      </w:r>
    </w:p>
    <w:p>
      <w:pPr>
        <w:spacing w:after="0" w:line="372" w:lineRule="exact"/>
        <w:rPr>
          <w:sz w:val="20"/>
          <w:szCs w:val="20"/>
          <w:color w:val="auto"/>
        </w:rPr>
      </w:pPr>
    </w:p>
    <w:p>
      <w:pPr>
        <w:ind w:left="1040" w:right="320" w:hanging="516"/>
        <w:spacing w:after="0"/>
        <w:tabs>
          <w:tab w:leader="none" w:pos="1040" w:val="left"/>
        </w:tabs>
        <w:numPr>
          <w:ilvl w:val="0"/>
          <w:numId w:val="20"/>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Core Operating Earnings was $216.5 million, or $1.16 per diluted share, compared to $199.4 million, or $1.09 per diluted share, for the same period in 2025.</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2"/>
          <w:szCs w:val="12"/>
          <w:color w:val="auto"/>
          <w:highlight w:val="black"/>
        </w:rPr>
        <w:t>Portfolio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NOI</w:t>
      </w:r>
    </w:p>
    <w:p>
      <w:pPr>
        <w:spacing w:after="0" w:line="54" w:lineRule="exact"/>
        <w:rPr>
          <w:sz w:val="20"/>
          <w:szCs w:val="20"/>
          <w:color w:val="auto"/>
        </w:rPr>
      </w:pPr>
    </w:p>
    <w:p>
      <w:pPr>
        <w:ind w:left="1040" w:hanging="516"/>
        <w:spacing w:after="0"/>
        <w:tabs>
          <w:tab w:leader="none" w:pos="1040"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First quarter 2026 Same Property NOI increased by 4.4% compared to the same period in 2025.</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Same Property base rent growth contributed 3.6% to Same Property NOI growth in the first quarter of 2026.</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First quarter 2026 NOI increased by 8.4% compared to the same period in 2025.</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Occupancy</w:t>
      </w:r>
    </w:p>
    <w:p>
      <w:pPr>
        <w:spacing w:after="0" w:line="54" w:lineRule="exact"/>
        <w:rPr>
          <w:sz w:val="20"/>
          <w:szCs w:val="20"/>
          <w:color w:val="auto"/>
        </w:rPr>
      </w:pPr>
    </w:p>
    <w:p>
      <w:pPr>
        <w:ind w:left="1040" w:hanging="516"/>
        <w:spacing w:after="0"/>
        <w:tabs>
          <w:tab w:leader="none" w:pos="1040" w:val="left"/>
        </w:tabs>
        <w:numPr>
          <w:ilvl w:val="0"/>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Same Property portfolio was 96.6% leased, an increase of 10 basis points sequentially, and flat compared to March 31, 2025.</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Same Property anchor percent leased, which includes spaces greater than or equal to 10,000 square feet, was 98.2%.</w:t>
      </w:r>
    </w:p>
    <w:p>
      <w:pPr>
        <w:spacing w:after="0" w:line="68"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1"/>
          <w:szCs w:val="11"/>
          <w:color w:val="auto"/>
        </w:rPr>
        <w:t>Same Property shop percent leased, which includes spaces less than 10,000 square feet, was 94.1%.</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22"/>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Same Property portfolio was 94.3% commenced, an increase of 20 basis points sequentially and an increase of 90 basis points compared to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Leasing Activity</w:t>
      </w:r>
    </w:p>
    <w:p>
      <w:pPr>
        <w:spacing w:after="0" w:line="85" w:lineRule="exact"/>
        <w:rPr>
          <w:sz w:val="20"/>
          <w:szCs w:val="20"/>
          <w:color w:val="auto"/>
        </w:rPr>
      </w:pPr>
    </w:p>
    <w:p>
      <w:pPr>
        <w:ind w:left="1040" w:right="100" w:hanging="516"/>
        <w:spacing w:after="0"/>
        <w:tabs>
          <w:tab w:leader="none" w:pos="1040" w:val="left"/>
        </w:tabs>
        <w:numPr>
          <w:ilvl w:val="0"/>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During the three months ended March 31, 2026, Regency executed approximately 1.5 million square feet of comparable new and renewal leases at a blended cash rent spread of +12.1% and a blended straight-lined rent spread of +24.3%.</w:t>
      </w:r>
    </w:p>
    <w:p>
      <w:pPr>
        <w:spacing w:after="0" w:line="85" w:lineRule="exact"/>
        <w:rPr>
          <w:rFonts w:ascii="Times New Roman" w:cs="Times New Roman" w:eastAsia="Times New Roman" w:hAnsi="Times New Roman"/>
          <w:sz w:val="12"/>
          <w:szCs w:val="12"/>
          <w:color w:val="auto"/>
        </w:rPr>
      </w:pPr>
    </w:p>
    <w:p>
      <w:pPr>
        <w:ind w:left="1040" w:right="40" w:hanging="516"/>
        <w:spacing w:after="0"/>
        <w:tabs>
          <w:tab w:leader="none" w:pos="1040" w:val="left"/>
        </w:tabs>
        <w:numPr>
          <w:ilvl w:val="0"/>
          <w:numId w:val="23"/>
        </w:numPr>
        <w:rPr>
          <w:rFonts w:ascii="Times New Roman" w:cs="Times New Roman" w:eastAsia="Times New Roman" w:hAnsi="Times New Roman"/>
          <w:sz w:val="12"/>
          <w:szCs w:val="12"/>
          <w:color w:val="auto"/>
        </w:rPr>
      </w:pPr>
      <w:r>
        <w:rPr>
          <w:rFonts w:ascii="Arial" w:cs="Arial" w:eastAsia="Arial" w:hAnsi="Arial"/>
          <w:sz w:val="12"/>
          <w:szCs w:val="12"/>
          <w:color w:val="auto"/>
        </w:rPr>
        <w:t>During the twelve months ended March 31, 2026, Regency executed approximately 6.9 million square feet of comparable new and renewal leases at a blended cash rent spread of +11.7% and a blended straight-lined rent spread of +22.7%.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 Allocation and Balance Sheet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Developments and Redevelopments</w:t>
      </w:r>
    </w:p>
    <w:p>
      <w:pPr>
        <w:spacing w:after="0" w:line="54" w:lineRule="exact"/>
        <w:rPr>
          <w:sz w:val="20"/>
          <w:szCs w:val="20"/>
          <w:color w:val="auto"/>
        </w:rPr>
      </w:pPr>
    </w:p>
    <w:p>
      <w:pPr>
        <w:ind w:left="1040" w:hanging="516"/>
        <w:spacing w:after="0"/>
        <w:tabs>
          <w:tab w:leader="none" w:pos="104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the Company started redevelopment projects with estimated net project costs of approximately $73 million, at the Company's share.</w:t>
      </w:r>
    </w:p>
    <w:p>
      <w:pPr>
        <w:spacing w:after="0" w:line="76"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2"/>
          <w:szCs w:val="12"/>
          <w:color w:val="auto"/>
        </w:rPr>
        <w:t>First quarter starts included Crystal Brook Corner, a $59 million redevelopment project on Long Island in New York.</w:t>
      </w:r>
    </w:p>
    <w:p>
      <w:pPr>
        <w:spacing w:after="0" w:line="68"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24"/>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March 31, 2026, the Company completed approximately $42 million of ground up development and redevelopment projects.</w:t>
      </w:r>
    </w:p>
    <w:p>
      <w:pPr>
        <w:spacing w:after="0" w:line="87"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t>
      </w:r>
      <w:r>
        <w:rPr>
          <w:rFonts w:ascii="Arial" w:cs="Arial" w:eastAsia="Arial" w:hAnsi="Arial"/>
          <w:sz w:val="11"/>
          <w:szCs w:val="11"/>
          <w:color w:val="auto"/>
        </w:rPr>
        <w:t>First quarter completions included Oakley Shops at Laurel Fields, a 78K square foot Safeway-anchored ground-up development project in California's Bay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11430</wp:posOffset>
            </wp:positionV>
            <wp:extent cx="287020" cy="154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2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202805"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20"/>
          </w:cols>
          <w:pgMar w:left="280" w:top="804" w:right="299" w:bottom="1440" w:gutter="0" w:footer="0" w:header="0"/>
        </w:sectPr>
      </w:pPr>
    </w:p>
    <w:bookmarkStart w:id="16" w:name="page17"/>
    <w:bookmarkEnd w:id="16"/>
    <w:p>
      <w:pPr>
        <w:ind w:left="1040" w:hanging="516"/>
        <w:spacing w:after="0"/>
        <w:tabs>
          <w:tab w:leader="none" w:pos="1040" w:val="left"/>
        </w:tabs>
        <w:numPr>
          <w:ilvl w:val="0"/>
          <w:numId w:val="25"/>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in-process development and redevelopment projects had estimated net project costs of $635 million at the Company’s share, 46% of which had been incurred.</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Property Transactions</w:t>
      </w:r>
    </w:p>
    <w:p>
      <w:pPr>
        <w:spacing w:after="0" w:line="54" w:lineRule="exact"/>
        <w:rPr>
          <w:sz w:val="20"/>
          <w:szCs w:val="20"/>
          <w:color w:val="auto"/>
        </w:rPr>
      </w:pPr>
    </w:p>
    <w:p>
      <w:pPr>
        <w:ind w:left="1040" w:hanging="516"/>
        <w:spacing w:after="0"/>
        <w:tabs>
          <w:tab w:leader="none" w:pos="1040" w:val="left"/>
        </w:tabs>
        <w:numPr>
          <w:ilvl w:val="0"/>
          <w:numId w:val="26"/>
        </w:numPr>
        <w:rPr>
          <w:rFonts w:ascii="Times New Roman" w:cs="Times New Roman" w:eastAsia="Times New Roman" w:hAnsi="Times New Roman"/>
          <w:sz w:val="12"/>
          <w:szCs w:val="12"/>
          <w:color w:val="auto"/>
        </w:rPr>
      </w:pPr>
      <w:r>
        <w:rPr>
          <w:rFonts w:ascii="Arial" w:cs="Arial" w:eastAsia="Arial" w:hAnsi="Arial"/>
          <w:sz w:val="12"/>
          <w:szCs w:val="12"/>
          <w:color w:val="auto"/>
        </w:rPr>
        <w:t>Effective January 1, 2026, the Company acquired its partner's 60% interest in Haddon Commons in Westmont, NJ for approximately $6 million, and now owns 100% of the asset.</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Balance Sheet</w:t>
      </w:r>
    </w:p>
    <w:p>
      <w:pPr>
        <w:spacing w:after="0" w:line="85" w:lineRule="exact"/>
        <w:rPr>
          <w:sz w:val="20"/>
          <w:szCs w:val="20"/>
          <w:color w:val="auto"/>
        </w:rPr>
      </w:pPr>
    </w:p>
    <w:p>
      <w:pPr>
        <w:jc w:val="both"/>
        <w:ind w:left="1040" w:right="160" w:hanging="516"/>
        <w:spacing w:after="0" w:line="246" w:lineRule="auto"/>
        <w:tabs>
          <w:tab w:leader="none" w:pos="104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On February 4, 2026, Regency’s Board of Directors authorized a refreshed share repurchase program, which authorizes the repurchase by Regency of up to $500 million of its common stock. The program will remain in place until February 28, 2029 unless earlier modified, extended or terminated in the discretion of the Board. The timing and price of share repurchases, if any, will be dependent upon market conditions and other factors.</w:t>
      </w:r>
    </w:p>
    <w:p>
      <w:pPr>
        <w:spacing w:after="0" w:line="50"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 had approximately $1.5 billion of available capacity under its revolving credit facility.</w:t>
      </w:r>
    </w:p>
    <w:p>
      <w:pPr>
        <w:spacing w:after="0" w:line="87" w:lineRule="exact"/>
        <w:rPr>
          <w:rFonts w:ascii="Times New Roman" w:cs="Times New Roman" w:eastAsia="Times New Roman" w:hAnsi="Times New Roman"/>
          <w:sz w:val="12"/>
          <w:szCs w:val="12"/>
          <w:color w:val="auto"/>
        </w:rPr>
      </w:pPr>
    </w:p>
    <w:p>
      <w:pPr>
        <w:ind w:left="1040" w:hanging="516"/>
        <w:spacing w:after="0"/>
        <w:tabs>
          <w:tab w:leader="none" w:pos="104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As of March 31, 2026, Regency’s pro-rata net debt and preferred stock to TTM operating EBITDAre was 5.2x.</w:t>
      </w:r>
    </w:p>
    <w:p>
      <w:pPr>
        <w:spacing w:after="0" w:line="118" w:lineRule="exact"/>
        <w:rPr>
          <w:rFonts w:ascii="Times New Roman" w:cs="Times New Roman" w:eastAsia="Times New Roman" w:hAnsi="Times New Roman"/>
          <w:sz w:val="12"/>
          <w:szCs w:val="12"/>
          <w:color w:val="auto"/>
        </w:rPr>
      </w:pPr>
    </w:p>
    <w:p>
      <w:pPr>
        <w:ind w:left="1040" w:right="140" w:hanging="516"/>
        <w:spacing w:after="0"/>
        <w:tabs>
          <w:tab w:leader="none" w:pos="1040" w:val="left"/>
        </w:tabs>
        <w:numPr>
          <w:ilvl w:val="0"/>
          <w:numId w:val="27"/>
        </w:numPr>
        <w:rPr>
          <w:rFonts w:ascii="Times New Roman" w:cs="Times New Roman" w:eastAsia="Times New Roman" w:hAnsi="Times New Roman"/>
          <w:sz w:val="12"/>
          <w:szCs w:val="12"/>
          <w:color w:val="auto"/>
        </w:rPr>
      </w:pPr>
      <w:r>
        <w:rPr>
          <w:rFonts w:ascii="Arial" w:cs="Arial" w:eastAsia="Arial" w:hAnsi="Arial"/>
          <w:sz w:val="12"/>
          <w:szCs w:val="12"/>
          <w:color w:val="auto"/>
        </w:rPr>
        <w:t>As previously disclosed, on February 18, 2026, the Company’s operating partnership, Regency Centers, L.P., priced a public offering of $450 million of senior unsecured notes due 2033 with a coupon of 4.50%.</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2"/>
          <w:szCs w:val="12"/>
          <w:color w:val="auto"/>
          <w:highlight w:val="black"/>
        </w:rPr>
        <w:t>2026 Guidance</w:t>
      </w:r>
    </w:p>
    <w:p>
      <w:pPr>
        <w:spacing w:after="0" w:line="99" w:lineRule="exact"/>
        <w:rPr>
          <w:sz w:val="20"/>
          <w:szCs w:val="20"/>
          <w:color w:val="auto"/>
        </w:rPr>
      </w:pPr>
    </w:p>
    <w:p>
      <w:pPr>
        <w:ind w:left="20" w:right="300"/>
        <w:spacing w:after="0" w:line="228" w:lineRule="auto"/>
        <w:rPr>
          <w:sz w:val="20"/>
          <w:szCs w:val="20"/>
          <w:color w:val="auto"/>
        </w:rPr>
      </w:pPr>
      <w:r>
        <w:rPr>
          <w:rFonts w:ascii="Arial" w:cs="Arial" w:eastAsia="Arial" w:hAnsi="Arial"/>
          <w:sz w:val="12"/>
          <w:szCs w:val="12"/>
          <w:color w:val="auto"/>
        </w:rPr>
        <w:t>Regency Centers is providing updated 2026 Guidance, as summarized in the table below. Please refer to the Company’s first quarter 2026 "Earnings Presentation" and "Quarterly Supplemental Disclosure" for additional detail. All materials are posted on the Company’s website at investors.regencycenters.com.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92075</wp:posOffset>
            </wp:positionV>
            <wp:extent cx="31115" cy="186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92075</wp:posOffset>
            </wp:positionV>
            <wp:extent cx="1161415" cy="186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580" w:type="dxa"/>
            <w:vAlign w:val="bottom"/>
            <w:vMerge w:val="restart"/>
          </w:tcPr>
          <w:p>
            <w:pPr>
              <w:spacing w:after="0"/>
              <w:rPr>
                <w:sz w:val="20"/>
                <w:szCs w:val="20"/>
                <w:color w:val="auto"/>
              </w:rPr>
            </w:pPr>
            <w:r>
              <w:rPr>
                <w:rFonts w:ascii="Arial" w:cs="Arial" w:eastAsia="Arial" w:hAnsi="Arial"/>
                <w:sz w:val="11"/>
                <w:szCs w:val="11"/>
                <w:color w:val="auto"/>
              </w:rPr>
              <w:t xml:space="preserve">Full Year 2026 Guidance </w:t>
            </w:r>
            <w:r>
              <w:rPr>
                <w:rFonts w:ascii="Arial" w:cs="Arial" w:eastAsia="Arial" w:hAnsi="Arial"/>
                <w:sz w:val="8"/>
                <w:szCs w:val="8"/>
                <w:color w:val="auto"/>
              </w:rPr>
              <w:t>(in thousands, except per share data)</w:t>
            </w:r>
          </w:p>
        </w:tc>
        <w:tc>
          <w:tcPr>
            <w:tcW w:w="3120" w:type="dxa"/>
            <w:vAlign w:val="bottom"/>
            <w:vMerge w:val="restart"/>
          </w:tcPr>
          <w:p>
            <w:pPr>
              <w:ind w:left="1960"/>
              <w:spacing w:after="0"/>
              <w:rPr>
                <w:sz w:val="20"/>
                <w:szCs w:val="20"/>
                <w:color w:val="auto"/>
              </w:rPr>
            </w:pPr>
            <w:r>
              <w:rPr>
                <w:rFonts w:ascii="Arial" w:cs="Arial" w:eastAsia="Arial" w:hAnsi="Arial"/>
                <w:sz w:val="9"/>
                <w:szCs w:val="9"/>
                <w:color w:val="auto"/>
                <w:highlight w:val="black"/>
              </w:rPr>
              <w:t>YTD Actual</w:t>
            </w:r>
          </w:p>
        </w:tc>
        <w:tc>
          <w:tcPr>
            <w:tcW w:w="1800" w:type="dxa"/>
            <w:vAlign w:val="bottom"/>
            <w:tcBorders>
              <w:right w:val="single" w:sz="8" w:color="808080"/>
            </w:tcBorders>
            <w:shd w:val="clear" w:color="auto" w:fill="808080"/>
          </w:tcPr>
          <w:p>
            <w:pPr>
              <w:jc w:val="center"/>
              <w:spacing w:after="0"/>
              <w:rPr>
                <w:sz w:val="20"/>
                <w:szCs w:val="20"/>
                <w:color w:val="auto"/>
              </w:rPr>
            </w:pPr>
            <w:r>
              <w:rPr>
                <w:rFonts w:ascii="Arial" w:cs="Arial" w:eastAsia="Arial" w:hAnsi="Arial"/>
                <w:sz w:val="9"/>
                <w:szCs w:val="9"/>
                <w:color w:val="auto"/>
                <w:highlight w:val="white"/>
              </w:rPr>
              <w:t>Current</w:t>
            </w:r>
          </w:p>
        </w:tc>
        <w:tc>
          <w:tcPr>
            <w:tcW w:w="1800" w:type="dxa"/>
            <w:vAlign w:val="bottom"/>
          </w:tcPr>
          <w:p>
            <w:pPr>
              <w:jc w:val="center"/>
              <w:spacing w:after="0"/>
              <w:rPr>
                <w:sz w:val="20"/>
                <w:szCs w:val="20"/>
                <w:color w:val="auto"/>
              </w:rPr>
            </w:pPr>
            <w:r>
              <w:rPr>
                <w:rFonts w:ascii="Arial" w:cs="Arial" w:eastAsia="Arial" w:hAnsi="Arial"/>
                <w:sz w:val="9"/>
                <w:szCs w:val="9"/>
                <w:color w:val="auto"/>
                <w:highlight w:val="black"/>
              </w:rPr>
              <w:t>Prior</w:t>
            </w:r>
          </w:p>
        </w:tc>
        <w:tc>
          <w:tcPr>
            <w:tcW w:w="0" w:type="dxa"/>
            <w:vAlign w:val="bottom"/>
          </w:tcPr>
          <w:p>
            <w:pPr>
              <w:spacing w:after="0"/>
              <w:rPr>
                <w:sz w:val="1"/>
                <w:szCs w:val="1"/>
                <w:color w:val="auto"/>
              </w:rPr>
            </w:pPr>
          </w:p>
        </w:tc>
      </w:tr>
      <w:tr>
        <w:trPr>
          <w:trHeight w:val="57"/>
        </w:trPr>
        <w:tc>
          <w:tcPr>
            <w:tcW w:w="458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1800" w:type="dxa"/>
            <w:vAlign w:val="bottom"/>
            <w:tcBorders>
              <w:right w:val="single" w:sz="8" w:color="808080"/>
            </w:tcBorders>
            <w:vMerge w:val="restart"/>
            <w:shd w:val="clear" w:color="auto" w:fill="808080"/>
          </w:tcPr>
          <w:p>
            <w:pPr>
              <w:jc w:val="center"/>
              <w:spacing w:after="0" w:line="96" w:lineRule="exact"/>
              <w:rPr>
                <w:sz w:val="20"/>
                <w:szCs w:val="20"/>
                <w:color w:val="auto"/>
              </w:rPr>
            </w:pPr>
            <w:r>
              <w:rPr>
                <w:rFonts w:ascii="Arial" w:cs="Arial" w:eastAsia="Arial" w:hAnsi="Arial"/>
                <w:sz w:val="9"/>
                <w:szCs w:val="9"/>
                <w:color w:val="auto"/>
                <w:highlight w:val="white"/>
              </w:rPr>
              <w:t>2026 Guidance</w:t>
            </w:r>
          </w:p>
        </w:tc>
        <w:tc>
          <w:tcPr>
            <w:tcW w:w="1800" w:type="dxa"/>
            <w:vAlign w:val="bottom"/>
            <w:vMerge w:val="restart"/>
          </w:tcPr>
          <w:p>
            <w:pPr>
              <w:jc w:val="center"/>
              <w:spacing w:after="0" w:line="96" w:lineRule="exact"/>
              <w:rPr>
                <w:sz w:val="20"/>
                <w:szCs w:val="20"/>
                <w:color w:val="auto"/>
              </w:rPr>
            </w:pPr>
            <w:r>
              <w:rPr>
                <w:rFonts w:ascii="Arial" w:cs="Arial" w:eastAsia="Arial" w:hAnsi="Arial"/>
                <w:sz w:val="9"/>
                <w:szCs w:val="9"/>
                <w:color w:val="auto"/>
                <w:highlight w:val="black"/>
              </w:rPr>
              <w:t>2026 Guidance</w:t>
            </w:r>
          </w:p>
        </w:tc>
        <w:tc>
          <w:tcPr>
            <w:tcW w:w="0" w:type="dxa"/>
            <w:vAlign w:val="bottom"/>
          </w:tcPr>
          <w:p>
            <w:pPr>
              <w:spacing w:after="0"/>
              <w:rPr>
                <w:sz w:val="1"/>
                <w:szCs w:val="1"/>
                <w:color w:val="auto"/>
              </w:rPr>
            </w:pPr>
          </w:p>
        </w:tc>
      </w:tr>
      <w:tr>
        <w:trPr>
          <w:trHeight w:val="59"/>
        </w:trPr>
        <w:tc>
          <w:tcPr>
            <w:tcW w:w="4580" w:type="dxa"/>
            <w:vAlign w:val="bottom"/>
            <w:tcBorders>
              <w:bottom w:val="single" w:sz="8" w:color="BFBFBF"/>
            </w:tcBorders>
          </w:tcPr>
          <w:p>
            <w:pPr>
              <w:spacing w:after="0"/>
              <w:rPr>
                <w:sz w:val="5"/>
                <w:szCs w:val="5"/>
                <w:color w:val="auto"/>
              </w:rPr>
            </w:pPr>
          </w:p>
        </w:tc>
        <w:tc>
          <w:tcPr>
            <w:tcW w:w="3120" w:type="dxa"/>
            <w:vAlign w:val="bottom"/>
            <w:tcBorders>
              <w:bottom w:val="single" w:sz="8" w:color="BFBFBF"/>
            </w:tcBorders>
          </w:tcPr>
          <w:p>
            <w:pPr>
              <w:spacing w:after="0"/>
              <w:rPr>
                <w:sz w:val="5"/>
                <w:szCs w:val="5"/>
                <w:color w:val="auto"/>
              </w:rPr>
            </w:pPr>
          </w:p>
        </w:tc>
        <w:tc>
          <w:tcPr>
            <w:tcW w:w="1800" w:type="dxa"/>
            <w:vAlign w:val="bottom"/>
            <w:tcBorders>
              <w:bottom w:val="single" w:sz="8" w:color="BFBFBF"/>
              <w:right w:val="single" w:sz="8" w:color="808080"/>
            </w:tcBorders>
            <w:vMerge w:val="continue"/>
            <w:shd w:val="clear" w:color="auto" w:fill="808080"/>
          </w:tcPr>
          <w:p>
            <w:pPr>
              <w:spacing w:after="0"/>
              <w:rPr>
                <w:sz w:val="5"/>
                <w:szCs w:val="5"/>
                <w:color w:val="auto"/>
              </w:rPr>
            </w:pPr>
          </w:p>
        </w:tc>
        <w:tc>
          <w:tcPr>
            <w:tcW w:w="1800" w:type="dxa"/>
            <w:vAlign w:val="bottom"/>
            <w:tcBorders>
              <w:bottom w:val="single" w:sz="8" w:color="BFBFB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Net Income Attributable to Common Shareholders per diluted share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$0.68</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$2.45 - $2.49</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$2.35 - $2.39</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Nareit Funds From Operations (“Nareit FFO”) per diluted share</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w w:val="99"/>
              </w:rPr>
              <w:t>$1.20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$4.83 - $4.87</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$4.83 - $4.87</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line="134" w:lineRule="exact"/>
              <w:rPr>
                <w:sz w:val="20"/>
                <w:szCs w:val="20"/>
                <w:color w:val="auto"/>
              </w:rPr>
            </w:pPr>
            <w:r>
              <w:rPr>
                <w:rFonts w:ascii="Arial" w:cs="Arial" w:eastAsia="Arial" w:hAnsi="Arial"/>
                <w:sz w:val="8"/>
                <w:szCs w:val="8"/>
                <w:color w:val="auto"/>
              </w:rPr>
              <w:t>Core Operating Earnings per diluted share</w:t>
            </w:r>
            <w:r>
              <w:rPr>
                <w:rFonts w:ascii="Arial" w:cs="Arial" w:eastAsia="Arial" w:hAnsi="Arial"/>
                <w:sz w:val="12"/>
                <w:szCs w:val="12"/>
                <w:color w:val="auto"/>
                <w:vertAlign w:val="superscript"/>
              </w:rPr>
              <w:t>(1)</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$1.16</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Same property NOI growth</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rPr>
              <w:t>4.4%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+3.25% to +3.75%</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+3.25% to +3.75%</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Non-cash revenues</w:t>
            </w:r>
            <w:r>
              <w:rPr>
                <w:rFonts w:ascii="Arial" w:cs="Arial" w:eastAsia="Arial" w:hAnsi="Arial"/>
                <w:sz w:val="11"/>
                <w:szCs w:val="11"/>
                <w:color w:val="auto"/>
                <w:vertAlign w:val="superscript"/>
              </w:rPr>
              <w:t>(2)</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$9,693</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+/-$51,000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 $51,000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G&amp;A expense, net</w:t>
            </w:r>
            <w:r>
              <w:rPr>
                <w:rFonts w:ascii="Arial" w:cs="Arial" w:eastAsia="Arial" w:hAnsi="Arial"/>
                <w:sz w:val="11"/>
                <w:szCs w:val="11"/>
                <w:color w:val="auto"/>
                <w:vertAlign w:val="superscript"/>
              </w:rPr>
              <w:t>(3)</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$24,894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$96,000-$100,000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$96,000-$100,000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Interest expense, net and Preferred stock dividends</w:t>
            </w:r>
            <w:r>
              <w:rPr>
                <w:rFonts w:ascii="Arial" w:cs="Arial" w:eastAsia="Arial" w:hAnsi="Arial"/>
                <w:sz w:val="11"/>
                <w:szCs w:val="11"/>
                <w:color w:val="auto"/>
                <w:vertAlign w:val="superscript"/>
              </w:rPr>
              <w:t>(4)</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$60,962</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Management, transaction and other fees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$6,652</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+/-$27,000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+/-$27,000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Development and Redevelopment spend</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$100,700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+/-$350,000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+/-$325,000</w:t>
            </w:r>
          </w:p>
        </w:tc>
        <w:tc>
          <w:tcPr>
            <w:tcW w:w="0" w:type="dxa"/>
            <w:vAlign w:val="bottom"/>
          </w:tcPr>
          <w:p>
            <w:pPr>
              <w:spacing w:after="0"/>
              <w:rPr>
                <w:sz w:val="1"/>
                <w:szCs w:val="1"/>
                <w:color w:val="auto"/>
              </w:rPr>
            </w:pPr>
          </w:p>
        </w:tc>
      </w:tr>
      <w:tr>
        <w:trPr>
          <w:trHeight w:val="133"/>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Acquisitions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$6,300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highlight w:val="black"/>
              </w:rPr>
              <w:t>+/-$25,000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00"/>
        </w:trPr>
        <w:tc>
          <w:tcPr>
            <w:tcW w:w="4580" w:type="dxa"/>
            <w:vAlign w:val="bottom"/>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right w:val="single" w:sz="8" w:color="808080"/>
            </w:tcBorders>
          </w:tcPr>
          <w:p>
            <w:pPr>
              <w:jc w:val="center"/>
              <w:ind w:left="1238"/>
              <w:spacing w:after="0"/>
              <w:rPr>
                <w:sz w:val="20"/>
                <w:szCs w:val="20"/>
                <w:color w:val="auto"/>
              </w:rPr>
            </w:pPr>
            <w:r>
              <w:rPr>
                <w:rFonts w:ascii="Arial" w:cs="Arial" w:eastAsia="Arial" w:hAnsi="Arial"/>
                <w:sz w:val="8"/>
                <w:szCs w:val="8"/>
                <w:color w:val="auto"/>
              </w:rPr>
              <w:t>7.3%</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8"/>
                <w:szCs w:val="8"/>
                <w:color w:val="auto"/>
                <w:highlight w:val="black"/>
              </w:rPr>
              <w:t>+/- 5.9%</w:t>
            </w:r>
          </w:p>
        </w:tc>
        <w:tc>
          <w:tcPr>
            <w:tcW w:w="1800" w:type="dxa"/>
            <w:vAlign w:val="bottom"/>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580" w:type="dxa"/>
            <w:vAlign w:val="bottom"/>
            <w:shd w:val="clear" w:color="auto" w:fill="F2F2F2"/>
          </w:tcPr>
          <w:p>
            <w:pPr>
              <w:spacing w:after="0"/>
              <w:rPr>
                <w:sz w:val="20"/>
                <w:szCs w:val="20"/>
                <w:color w:val="auto"/>
              </w:rPr>
            </w:pPr>
            <w:r>
              <w:rPr>
                <w:rFonts w:ascii="Arial" w:cs="Arial" w:eastAsia="Arial" w:hAnsi="Arial"/>
                <w:sz w:val="8"/>
                <w:szCs w:val="8"/>
                <w:color w:val="auto"/>
              </w:rPr>
              <w:t>Dispositions</w:t>
            </w:r>
          </w:p>
        </w:tc>
        <w:tc>
          <w:tcPr>
            <w:tcW w:w="3120" w:type="dxa"/>
            <w:vAlign w:val="bottom"/>
            <w:tcBorders>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89"/>
              </w:rPr>
              <w:t>$0</w:t>
            </w:r>
          </w:p>
        </w:tc>
        <w:tc>
          <w:tcPr>
            <w:tcW w:w="1800" w:type="dxa"/>
            <w:vAlign w:val="bottom"/>
            <w:tcBorders>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1800" w:type="dxa"/>
            <w:vAlign w:val="bottom"/>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25"/>
        </w:trPr>
        <w:tc>
          <w:tcPr>
            <w:tcW w:w="45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4580" w:type="dxa"/>
            <w:vAlign w:val="bottom"/>
            <w:shd w:val="clear" w:color="auto" w:fill="BFBFBF"/>
          </w:tcPr>
          <w:p>
            <w:pPr>
              <w:spacing w:after="0" w:line="20" w:lineRule="exact"/>
              <w:rPr>
                <w:sz w:val="1"/>
                <w:szCs w:val="1"/>
                <w:color w:val="auto"/>
              </w:rPr>
            </w:pPr>
          </w:p>
        </w:tc>
        <w:tc>
          <w:tcPr>
            <w:tcW w:w="312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4881880</wp:posOffset>
            </wp:positionH>
            <wp:positionV relativeFrom="paragraph">
              <wp:posOffset>-1436370</wp:posOffset>
            </wp:positionV>
            <wp:extent cx="311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-1436370</wp:posOffset>
            </wp:positionV>
            <wp:extent cx="311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-1310005</wp:posOffset>
            </wp:positionV>
            <wp:extent cx="311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-1310005</wp:posOffset>
            </wp:positionV>
            <wp:extent cx="311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-1183640</wp:posOffset>
            </wp:positionV>
            <wp:extent cx="311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-1183640</wp:posOffset>
            </wp:positionV>
            <wp:extent cx="31115"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-1057275</wp:posOffset>
            </wp:positionV>
            <wp:extent cx="31115"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-1057275</wp:posOffset>
            </wp:positionV>
            <wp:extent cx="311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-930910</wp:posOffset>
            </wp:positionV>
            <wp:extent cx="311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-930910</wp:posOffset>
            </wp:positionV>
            <wp:extent cx="311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-804545</wp:posOffset>
            </wp:positionV>
            <wp:extent cx="311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-804545</wp:posOffset>
            </wp:positionV>
            <wp:extent cx="31115"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-678180</wp:posOffset>
            </wp:positionV>
            <wp:extent cx="311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-678180</wp:posOffset>
            </wp:positionV>
            <wp:extent cx="311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-551815</wp:posOffset>
            </wp:positionV>
            <wp:extent cx="31115"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-551815</wp:posOffset>
            </wp:positionV>
            <wp:extent cx="311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-425450</wp:posOffset>
            </wp:positionV>
            <wp:extent cx="3111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-425450</wp:posOffset>
            </wp:positionV>
            <wp:extent cx="311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-236220</wp:posOffset>
            </wp:positionV>
            <wp:extent cx="311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-236220</wp:posOffset>
            </wp:positionV>
            <wp:extent cx="311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-46355</wp:posOffset>
            </wp:positionV>
            <wp:extent cx="3111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-46355</wp:posOffset>
            </wp:positionV>
            <wp:extent cx="31115"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-354330</wp:posOffset>
            </wp:positionV>
            <wp:extent cx="149860" cy="132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9860" cy="132715"/>
                    </a:xfrm>
                    <a:prstGeom prst="rect">
                      <a:avLst/>
                    </a:prstGeom>
                    <a:noFill/>
                  </pic:spPr>
                </pic:pic>
              </a:graphicData>
            </a:graphic>
          </wp:anchor>
        </w:drawing>
      </w:r>
    </w:p>
    <w:p>
      <w:pPr>
        <w:spacing w:after="0" w:line="150" w:lineRule="exact"/>
        <w:rPr>
          <w:sz w:val="20"/>
          <w:szCs w:val="20"/>
          <w:color w:val="auto"/>
        </w:rPr>
      </w:pPr>
    </w:p>
    <w:p>
      <w:pPr>
        <w:ind w:right="420"/>
        <w:spacing w:after="0"/>
        <w:rPr>
          <w:sz w:val="20"/>
          <w:szCs w:val="20"/>
          <w:color w:val="auto"/>
        </w:rPr>
      </w:pPr>
      <w:r>
        <w:rPr>
          <w:rFonts w:ascii="Arial" w:cs="Arial" w:eastAsia="Arial" w:hAnsi="Arial"/>
          <w:sz w:val="8"/>
          <w:szCs w:val="8"/>
          <w:color w:val="auto"/>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spacing w:after="0" w:line="179" w:lineRule="exact"/>
        <w:rPr>
          <w:sz w:val="20"/>
          <w:szCs w:val="20"/>
          <w:color w:val="auto"/>
        </w:rPr>
      </w:pPr>
    </w:p>
    <w:p>
      <w:pPr>
        <w:ind w:left="300" w:right="220" w:hanging="291"/>
        <w:spacing w:after="0" w:line="199" w:lineRule="auto"/>
        <w:tabs>
          <w:tab w:leader="none" w:pos="30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spacing w:after="0" w:line="9" w:lineRule="exact"/>
        <w:rPr>
          <w:rFonts w:ascii="Arial" w:cs="Arial" w:eastAsia="Arial" w:hAnsi="Arial"/>
          <w:sz w:val="11"/>
          <w:szCs w:val="11"/>
          <w:color w:val="auto"/>
          <w:vertAlign w:val="superscript"/>
        </w:rPr>
      </w:pPr>
    </w:p>
    <w:p>
      <w:pPr>
        <w:ind w:left="300" w:hanging="291"/>
        <w:spacing w:after="0"/>
        <w:tabs>
          <w:tab w:leader="none" w:pos="30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Includes above and below market rent amortization and straight-line rents, and excludes debt and derivative mark to market amortization.</w:t>
      </w:r>
    </w:p>
    <w:p>
      <w:pPr>
        <w:spacing w:after="0" w:line="50" w:lineRule="exact"/>
        <w:rPr>
          <w:rFonts w:ascii="Arial" w:cs="Arial" w:eastAsia="Arial" w:hAnsi="Arial"/>
          <w:sz w:val="11"/>
          <w:szCs w:val="11"/>
          <w:color w:val="auto"/>
          <w:vertAlign w:val="superscript"/>
        </w:rPr>
      </w:pPr>
    </w:p>
    <w:p>
      <w:pPr>
        <w:ind w:left="300" w:hanging="291"/>
        <w:spacing w:after="0" w:line="198" w:lineRule="auto"/>
        <w:tabs>
          <w:tab w:leader="none" w:pos="300" w:val="left"/>
        </w:tabs>
        <w:numPr>
          <w:ilvl w:val="0"/>
          <w:numId w:val="28"/>
        </w:numPr>
        <w:rPr>
          <w:rFonts w:ascii="Arial" w:cs="Arial" w:eastAsia="Arial" w:hAnsi="Arial"/>
          <w:sz w:val="9"/>
          <w:szCs w:val="9"/>
          <w:color w:val="auto"/>
          <w:vertAlign w:val="superscript"/>
        </w:rPr>
      </w:pPr>
      <w:r>
        <w:rPr>
          <w:rFonts w:ascii="Arial" w:cs="Arial" w:eastAsia="Arial" w:hAnsi="Arial"/>
          <w:sz w:val="7"/>
          <w:szCs w:val="7"/>
          <w:color w:val="auto"/>
        </w:rPr>
        <w:t>Represents 'General &amp; administrative, net' before gains or losses on deferred compensation plan, as reported on supplemental pages 6 and 7 and calculated on a pro -rata basis.</w:t>
      </w:r>
    </w:p>
    <w:p>
      <w:pPr>
        <w:spacing w:after="0" w:line="50" w:lineRule="exact"/>
        <w:rPr>
          <w:rFonts w:ascii="Arial" w:cs="Arial" w:eastAsia="Arial" w:hAnsi="Arial"/>
          <w:sz w:val="9"/>
          <w:szCs w:val="9"/>
          <w:color w:val="auto"/>
          <w:vertAlign w:val="superscript"/>
        </w:rPr>
      </w:pPr>
    </w:p>
    <w:p>
      <w:pPr>
        <w:ind w:left="300" w:hanging="291"/>
        <w:spacing w:after="0" w:line="198" w:lineRule="auto"/>
        <w:tabs>
          <w:tab w:leader="none" w:pos="300" w:val="left"/>
        </w:tabs>
        <w:numPr>
          <w:ilvl w:val="0"/>
          <w:numId w:val="28"/>
        </w:numPr>
        <w:rPr>
          <w:rFonts w:ascii="Arial" w:cs="Arial" w:eastAsia="Arial" w:hAnsi="Arial"/>
          <w:sz w:val="9"/>
          <w:szCs w:val="9"/>
          <w:color w:val="auto"/>
          <w:vertAlign w:val="superscript"/>
        </w:rPr>
      </w:pPr>
      <w:r>
        <w:rPr>
          <w:rFonts w:ascii="Arial" w:cs="Arial" w:eastAsia="Arial" w:hAnsi="Arial"/>
          <w:sz w:val="7"/>
          <w:szCs w:val="7"/>
          <w:color w:val="auto"/>
        </w:rPr>
        <w:t>Includes debt and derivative mark to market amortization, and is net of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115570</wp:posOffset>
            </wp:positionV>
            <wp:extent cx="287020" cy="154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85" w:lineRule="exact"/>
        <w:rPr>
          <w:sz w:val="20"/>
          <w:szCs w:val="20"/>
          <w:color w:val="auto"/>
        </w:rPr>
      </w:pPr>
    </w:p>
    <w:p>
      <w:pPr>
        <w:ind w:left="10140"/>
        <w:spacing w:after="0"/>
        <w:tabs>
          <w:tab w:leader="none" w:pos="1120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720280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20"/>
          </w:cols>
          <w:pgMar w:left="280" w:top="779" w:right="299" w:bottom="1440" w:gutter="0" w:footer="0" w:header="0"/>
        </w:sectPr>
      </w:pPr>
    </w:p>
    <w:bookmarkStart w:id="17" w:name="page18"/>
    <w:bookmarkEnd w:id="17"/>
    <w:p>
      <w:pPr>
        <w:ind w:left="8"/>
        <w:spacing w:after="0"/>
        <w:rPr>
          <w:sz w:val="20"/>
          <w:szCs w:val="20"/>
          <w:color w:val="auto"/>
        </w:rPr>
      </w:pPr>
      <w:r>
        <w:rPr>
          <w:rFonts w:ascii="Arial" w:cs="Arial" w:eastAsia="Arial" w:hAnsi="Arial"/>
          <w:sz w:val="12"/>
          <w:szCs w:val="12"/>
          <w:color w:val="auto"/>
        </w:rPr>
        <w:t>Conference Call Information</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discuss Regency’s first quarter results and provide further business updates, management will host a conference call on Thursday, April 30 at 11:00 a.m. ET. Dial-in and webcast information is below.</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color w:val="auto"/>
        </w:rPr>
        <w:t>First Quarter 2026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48145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81455" cy="5715"/>
                    </a:xfrm>
                    <a:prstGeom prst="rect">
                      <a:avLst/>
                    </a:prstGeom>
                    <a:noFill/>
                  </pic:spPr>
                </pic:pic>
              </a:graphicData>
            </a:graphic>
          </wp:anchor>
        </w:drawing>
      </w:r>
    </w:p>
    <w:p>
      <w:pPr>
        <w:spacing w:after="0" w:line="2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Thursday, April 30, 2026</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Time:</w:t>
      </w:r>
      <w:r>
        <w:rPr>
          <w:sz w:val="20"/>
          <w:szCs w:val="20"/>
          <w:color w:val="auto"/>
        </w:rPr>
        <w:tab/>
      </w:r>
      <w:r>
        <w:rPr>
          <w:rFonts w:ascii="Arial" w:cs="Arial" w:eastAsia="Arial" w:hAnsi="Arial"/>
          <w:sz w:val="12"/>
          <w:szCs w:val="12"/>
          <w:color w:val="auto"/>
        </w:rPr>
        <w:t>11:00 a.m. ET</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Dial#:</w:t>
      </w:r>
      <w:r>
        <w:rPr>
          <w:sz w:val="20"/>
          <w:szCs w:val="20"/>
          <w:color w:val="auto"/>
        </w:rPr>
        <w:tab/>
      </w:r>
      <w:r>
        <w:rPr>
          <w:rFonts w:ascii="Arial" w:cs="Arial" w:eastAsia="Arial" w:hAnsi="Arial"/>
          <w:sz w:val="12"/>
          <w:szCs w:val="12"/>
          <w:color w:val="auto"/>
        </w:rPr>
        <w:t>877-407-0789 or 201-689-8562</w:t>
      </w:r>
    </w:p>
    <w:p>
      <w:pPr>
        <w:spacing w:after="0" w:line="43" w:lineRule="exact"/>
        <w:rPr>
          <w:sz w:val="20"/>
          <w:szCs w:val="20"/>
          <w:color w:val="auto"/>
        </w:rPr>
      </w:pPr>
    </w:p>
    <w:p>
      <w:pPr>
        <w:ind w:left="8"/>
        <w:spacing w:after="0"/>
        <w:tabs>
          <w:tab w:leader="none" w:pos="1107" w:val="left"/>
        </w:tabs>
        <w:rPr>
          <w:sz w:val="20"/>
          <w:szCs w:val="20"/>
          <w:color w:val="auto"/>
        </w:rPr>
      </w:pPr>
      <w:r>
        <w:rPr>
          <w:rFonts w:ascii="Arial" w:cs="Arial" w:eastAsia="Arial" w:hAnsi="Arial"/>
          <w:sz w:val="12"/>
          <w:szCs w:val="12"/>
          <w:color w:val="auto"/>
        </w:rPr>
        <w:t>Webcast:</w:t>
      </w:r>
      <w:r>
        <w:rPr>
          <w:sz w:val="20"/>
          <w:szCs w:val="20"/>
          <w:color w:val="auto"/>
        </w:rPr>
        <w:tab/>
      </w:r>
      <w:r>
        <w:rPr>
          <w:rFonts w:ascii="Arial" w:cs="Arial" w:eastAsia="Arial" w:hAnsi="Arial"/>
          <w:sz w:val="12"/>
          <w:szCs w:val="12"/>
          <w:color w:val="auto"/>
        </w:rPr>
        <w:t>First Quarter 2026 Webcast Link</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2"/>
          <w:szCs w:val="12"/>
          <w:color w:val="auto"/>
          <w:highlight w:val="black"/>
        </w:rPr>
        <w:t xml:space="preserve">Replay: </w:t>
      </w:r>
      <w:r>
        <w:rPr>
          <w:rFonts w:ascii="Arial" w:cs="Arial" w:eastAsia="Arial" w:hAnsi="Arial"/>
          <w:sz w:val="12"/>
          <w:szCs w:val="12"/>
          <w:color w:val="auto"/>
        </w:rPr>
        <w:t>Webcast Archive – Investor Relations page under Events &amp;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27686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6860" cy="5715"/>
                    </a:xfrm>
                    <a:prstGeom prst="rect">
                      <a:avLst/>
                    </a:prstGeom>
                    <a:noFill/>
                  </pic:spPr>
                </pic:pic>
              </a:graphicData>
            </a:graphic>
          </wp:anchor>
        </w:drawing>
      </w:r>
    </w:p>
    <w:p>
      <w:pPr>
        <w:spacing w:after="0" w:line="204"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About Regency Centers Corporation (Nasdaq: REG)</w:t>
      </w:r>
    </w:p>
    <w:p>
      <w:pPr>
        <w:spacing w:after="0" w:line="172" w:lineRule="exact"/>
        <w:rPr>
          <w:sz w:val="20"/>
          <w:szCs w:val="20"/>
          <w:color w:val="auto"/>
        </w:rPr>
      </w:pPr>
    </w:p>
    <w:p>
      <w:pPr>
        <w:ind w:left="8" w:right="20"/>
        <w:spacing w:after="0" w:line="235" w:lineRule="auto"/>
        <w:rPr>
          <w:sz w:val="20"/>
          <w:szCs w:val="20"/>
          <w:color w:val="auto"/>
        </w:rPr>
      </w:pPr>
      <w:r>
        <w:rPr>
          <w:rFonts w:ascii="Arial" w:cs="Arial" w:eastAsia="Arial" w:hAnsi="Arial"/>
          <w:sz w:val="12"/>
          <w:szCs w:val="12"/>
          <w:color w:val="auto"/>
        </w:rPr>
        <w:t>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 For more information, please visit RegencyCenters.com.</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Reconciliation of Net Income Attributable to Common Shareholders to Nareit FFO, Core Operating Earnings, and Adjusted Funds from Operations – Actual (in thousands, except per share amounts)</w:t>
      </w:r>
    </w:p>
    <w:p>
      <w:pPr>
        <w:sectPr>
          <w:pgSz w:w="11900" w:h="16838" w:orient="portrait"/>
          <w:cols w:equalWidth="0" w:num="1">
            <w:col w:w="11308"/>
          </w:cols>
          <w:pgMar w:left="292" w:top="768" w:right="299" w:bottom="1440" w:gutter="0" w:footer="0" w:header="0"/>
        </w:sectPr>
      </w:pPr>
    </w:p>
    <w:p>
      <w:pPr>
        <w:spacing w:after="0" w:line="154" w:lineRule="exact"/>
        <w:rPr>
          <w:sz w:val="20"/>
          <w:szCs w:val="20"/>
          <w:color w:val="auto"/>
        </w:rPr>
      </w:pPr>
    </w:p>
    <w:p>
      <w:pPr>
        <w:ind w:left="8"/>
        <w:spacing w:after="0"/>
        <w:rPr>
          <w:sz w:val="20"/>
          <w:szCs w:val="20"/>
          <w:color w:val="auto"/>
        </w:rPr>
      </w:pPr>
      <w:r>
        <w:rPr>
          <w:rFonts w:ascii="Arial" w:cs="Arial" w:eastAsia="Arial" w:hAnsi="Arial"/>
          <w:sz w:val="8"/>
          <w:szCs w:val="8"/>
          <w:color w:val="auto"/>
        </w:rPr>
        <w:t>For the Periods Ended March 31, 2026 and 2025</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Net Income Attributable to Common Shareholders to Nareit FFO:</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Net Income Attributable to Common Shareholders</w:t>
      </w:r>
    </w:p>
    <w:p>
      <w:pPr>
        <w:ind w:left="148"/>
        <w:spacing w:after="0" w:line="221" w:lineRule="auto"/>
        <w:rPr>
          <w:sz w:val="20"/>
          <w:szCs w:val="20"/>
          <w:color w:val="auto"/>
        </w:rPr>
      </w:pPr>
      <w:r>
        <w:rPr>
          <w:rFonts w:ascii="Arial" w:cs="Arial" w:eastAsia="Arial" w:hAnsi="Arial"/>
          <w:sz w:val="8"/>
          <w:szCs w:val="8"/>
          <w:color w:val="auto"/>
        </w:rPr>
        <w:t xml:space="preserve">Adjustments to reconcile to Nareit Funds From Operations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288"/>
        <w:spacing w:after="0" w:line="215" w:lineRule="auto"/>
        <w:rPr>
          <w:sz w:val="20"/>
          <w:szCs w:val="20"/>
          <w:color w:val="auto"/>
        </w:rPr>
      </w:pPr>
      <w:r>
        <w:rPr>
          <w:rFonts w:ascii="Arial" w:cs="Arial" w:eastAsia="Arial" w:hAnsi="Arial"/>
          <w:sz w:val="8"/>
          <w:szCs w:val="8"/>
          <w:color w:val="auto"/>
        </w:rPr>
        <w:t>Depreciation and amortization (excluding FF&amp;E)</w:t>
      </w:r>
    </w:p>
    <w:p>
      <w:pPr>
        <w:spacing w:after="0" w:line="8" w:lineRule="exact"/>
        <w:rPr>
          <w:sz w:val="20"/>
          <w:szCs w:val="20"/>
          <w:color w:val="auto"/>
        </w:rPr>
      </w:pPr>
    </w:p>
    <w:p>
      <w:pPr>
        <w:ind w:left="288"/>
        <w:spacing w:after="0"/>
        <w:rPr>
          <w:sz w:val="20"/>
          <w:szCs w:val="20"/>
          <w:color w:val="auto"/>
        </w:rPr>
      </w:pPr>
      <w:r>
        <w:rPr>
          <w:rFonts w:ascii="Arial" w:cs="Arial" w:eastAsia="Arial" w:hAnsi="Arial"/>
          <w:sz w:val="8"/>
          <w:szCs w:val="8"/>
          <w:color w:val="auto"/>
        </w:rPr>
        <w:t>Gain on sale of real estate, net of tax</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Exchangeable operating partnership units</w:t>
      </w:r>
    </w:p>
    <w:p>
      <w:pPr>
        <w:spacing w:after="0" w:line="17" w:lineRule="exact"/>
        <w:rPr>
          <w:sz w:val="20"/>
          <w:szCs w:val="20"/>
          <w:color w:val="auto"/>
        </w:rPr>
      </w:pPr>
    </w:p>
    <w:p>
      <w:pPr>
        <w:ind w:left="208"/>
        <w:spacing w:after="0"/>
        <w:rPr>
          <w:sz w:val="20"/>
          <w:szCs w:val="20"/>
          <w:color w:val="auto"/>
        </w:rPr>
      </w:pPr>
      <w:r>
        <w:rPr>
          <w:rFonts w:ascii="Arial" w:cs="Arial" w:eastAsia="Arial" w:hAnsi="Arial"/>
          <w:sz w:val="8"/>
          <w:szCs w:val="8"/>
          <w:color w:val="auto"/>
          <w:highlight w:val="black"/>
        </w:rPr>
        <w:t>Nareit FFO</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8"/>
          <w:szCs w:val="8"/>
          <w:color w:val="auto"/>
        </w:rPr>
        <w:t>Nareit FFO per share (diluted)</w:t>
      </w:r>
    </w:p>
    <w:p>
      <w:pPr>
        <w:spacing w:after="0" w:line="7" w:lineRule="exact"/>
        <w:rPr>
          <w:sz w:val="20"/>
          <w:szCs w:val="20"/>
          <w:color w:val="auto"/>
        </w:rPr>
      </w:pPr>
    </w:p>
    <w:p>
      <w:pPr>
        <w:ind w:left="8"/>
        <w:spacing w:after="0"/>
        <w:rPr>
          <w:sz w:val="20"/>
          <w:szCs w:val="20"/>
          <w:color w:val="auto"/>
        </w:rPr>
      </w:pPr>
      <w:r>
        <w:rPr>
          <w:rFonts w:ascii="Arial" w:cs="Arial" w:eastAsia="Arial" w:hAnsi="Arial"/>
          <w:sz w:val="8"/>
          <w:szCs w:val="8"/>
          <w:color w:val="auto"/>
        </w:rPr>
        <w:t>Weighted average shares (diluted)</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Nareit FFO to Core Operating Earnings: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Nareit FFO</w:t>
      </w:r>
    </w:p>
    <w:p>
      <w:pPr>
        <w:ind w:left="148"/>
        <w:spacing w:after="0" w:line="221" w:lineRule="auto"/>
        <w:rPr>
          <w:sz w:val="20"/>
          <w:szCs w:val="20"/>
          <w:color w:val="auto"/>
        </w:rPr>
      </w:pPr>
      <w:r>
        <w:rPr>
          <w:rFonts w:ascii="Arial" w:cs="Arial" w:eastAsia="Arial" w:hAnsi="Arial"/>
          <w:sz w:val="8"/>
          <w:szCs w:val="8"/>
          <w:color w:val="auto"/>
        </w:rPr>
        <w:t xml:space="preserve">Adjustments to reconcile to Core Operating Earnings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148"/>
        <w:spacing w:after="0" w:line="215" w:lineRule="auto"/>
        <w:rPr>
          <w:sz w:val="20"/>
          <w:szCs w:val="20"/>
          <w:color w:val="auto"/>
        </w:rPr>
      </w:pPr>
      <w:r>
        <w:rPr>
          <w:rFonts w:ascii="Arial" w:cs="Arial" w:eastAsia="Arial" w:hAnsi="Arial"/>
          <w:sz w:val="8"/>
          <w:szCs w:val="8"/>
          <w:color w:val="auto"/>
        </w:rPr>
        <w:t>Certain Non-Cash Items</w:t>
      </w:r>
    </w:p>
    <w:p>
      <w:pPr>
        <w:spacing w:after="0" w:line="8" w:lineRule="exact"/>
        <w:rPr>
          <w:sz w:val="20"/>
          <w:szCs w:val="20"/>
          <w:color w:val="auto"/>
        </w:rPr>
      </w:pPr>
    </w:p>
    <w:p>
      <w:pPr>
        <w:ind w:left="288"/>
        <w:spacing w:after="0"/>
        <w:rPr>
          <w:sz w:val="20"/>
          <w:szCs w:val="20"/>
          <w:color w:val="auto"/>
        </w:rPr>
      </w:pPr>
      <w:r>
        <w:rPr>
          <w:rFonts w:ascii="Arial" w:cs="Arial" w:eastAsia="Arial" w:hAnsi="Arial"/>
          <w:sz w:val="8"/>
          <w:szCs w:val="8"/>
          <w:color w:val="auto"/>
        </w:rPr>
        <w:t>Straight-line rent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Uncollectible straight-line rent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Above/below market rent amortization, net</w:t>
      </w:r>
    </w:p>
    <w:p>
      <w:pPr>
        <w:spacing w:after="0" w:line="7" w:lineRule="exact"/>
        <w:rPr>
          <w:sz w:val="20"/>
          <w:szCs w:val="20"/>
          <w:color w:val="auto"/>
        </w:rPr>
      </w:pPr>
    </w:p>
    <w:p>
      <w:pPr>
        <w:ind w:left="288"/>
        <w:spacing w:after="0"/>
        <w:rPr>
          <w:sz w:val="20"/>
          <w:szCs w:val="20"/>
          <w:color w:val="auto"/>
        </w:rPr>
      </w:pPr>
      <w:r>
        <w:rPr>
          <w:rFonts w:ascii="Arial" w:cs="Arial" w:eastAsia="Arial" w:hAnsi="Arial"/>
          <w:sz w:val="8"/>
          <w:szCs w:val="8"/>
          <w:color w:val="auto"/>
        </w:rPr>
        <w:t>Debt and derivative mark-to-market amortization</w:t>
      </w:r>
    </w:p>
    <w:p>
      <w:pPr>
        <w:spacing w:after="0" w:line="17" w:lineRule="exact"/>
        <w:rPr>
          <w:sz w:val="20"/>
          <w:szCs w:val="20"/>
          <w:color w:val="auto"/>
        </w:rPr>
      </w:pPr>
    </w:p>
    <w:p>
      <w:pPr>
        <w:ind w:left="288"/>
        <w:spacing w:after="0"/>
        <w:rPr>
          <w:sz w:val="20"/>
          <w:szCs w:val="20"/>
          <w:color w:val="auto"/>
        </w:rPr>
      </w:pPr>
      <w:r>
        <w:rPr>
          <w:rFonts w:ascii="Arial" w:cs="Arial" w:eastAsia="Arial" w:hAnsi="Arial"/>
          <w:sz w:val="8"/>
          <w:szCs w:val="8"/>
          <w:color w:val="auto"/>
        </w:rPr>
        <w:t>Core Operating Earnings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8"/>
          <w:szCs w:val="8"/>
          <w:color w:val="auto"/>
        </w:rPr>
        <w:t>Core Operating Earnings per share (diluted)</w:t>
      </w:r>
    </w:p>
    <w:p>
      <w:pPr>
        <w:spacing w:after="0" w:line="7" w:lineRule="exact"/>
        <w:rPr>
          <w:sz w:val="20"/>
          <w:szCs w:val="20"/>
          <w:color w:val="auto"/>
        </w:rPr>
      </w:pPr>
    </w:p>
    <w:p>
      <w:pPr>
        <w:ind w:left="8"/>
        <w:spacing w:after="0"/>
        <w:rPr>
          <w:sz w:val="20"/>
          <w:szCs w:val="20"/>
          <w:color w:val="auto"/>
        </w:rPr>
      </w:pPr>
      <w:r>
        <w:rPr>
          <w:rFonts w:ascii="Arial" w:cs="Arial" w:eastAsia="Arial" w:hAnsi="Arial"/>
          <w:sz w:val="8"/>
          <w:szCs w:val="8"/>
          <w:color w:val="auto"/>
        </w:rPr>
        <w:t>Weighted average shares (diluted)</w:t>
      </w:r>
    </w:p>
    <w:p>
      <w:pPr>
        <w:spacing w:after="0" w:line="206" w:lineRule="exact"/>
        <w:rPr>
          <w:sz w:val="20"/>
          <w:szCs w:val="20"/>
          <w:color w:val="auto"/>
        </w:rPr>
      </w:pPr>
    </w:p>
    <w:p>
      <w:pPr>
        <w:ind w:left="8"/>
        <w:spacing w:after="0"/>
        <w:rPr>
          <w:sz w:val="20"/>
          <w:szCs w:val="20"/>
          <w:color w:val="auto"/>
        </w:rPr>
      </w:pPr>
      <w:r>
        <w:rPr>
          <w:rFonts w:ascii="Arial" w:cs="Arial" w:eastAsia="Arial" w:hAnsi="Arial"/>
          <w:sz w:val="8"/>
          <w:szCs w:val="8"/>
          <w:color w:val="auto"/>
        </w:rPr>
        <w:t>Reconciliation of Core Operating Earnings to Adjusted Funds from Operations:</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8"/>
          <w:szCs w:val="8"/>
          <w:color w:val="auto"/>
        </w:rPr>
        <w:t>Core Operating Earnings</w:t>
      </w:r>
    </w:p>
    <w:p>
      <w:pPr>
        <w:ind w:left="68"/>
        <w:spacing w:after="0" w:line="221" w:lineRule="auto"/>
        <w:rPr>
          <w:sz w:val="20"/>
          <w:szCs w:val="20"/>
          <w:color w:val="auto"/>
        </w:rPr>
      </w:pPr>
      <w:r>
        <w:rPr>
          <w:rFonts w:ascii="Arial" w:cs="Arial" w:eastAsia="Arial" w:hAnsi="Arial"/>
          <w:sz w:val="8"/>
          <w:szCs w:val="8"/>
          <w:color w:val="auto"/>
        </w:rPr>
        <w:t xml:space="preserve">Adjustments to reconcile to Adjusted Funds from Operations </w:t>
      </w:r>
      <w:r>
        <w:rPr>
          <w:rFonts w:ascii="Arial" w:cs="Arial" w:eastAsia="Arial" w:hAnsi="Arial"/>
          <w:sz w:val="11"/>
          <w:szCs w:val="11"/>
          <w:color w:val="auto"/>
          <w:vertAlign w:val="superscript"/>
        </w:rPr>
        <w:t>(1)</w:t>
      </w:r>
      <w:r>
        <w:rPr>
          <w:rFonts w:ascii="Arial" w:cs="Arial" w:eastAsia="Arial" w:hAnsi="Arial"/>
          <w:sz w:val="8"/>
          <w:szCs w:val="8"/>
          <w:color w:val="auto"/>
        </w:rPr>
        <w:t>:</w:t>
      </w:r>
    </w:p>
    <w:p>
      <w:pPr>
        <w:ind w:left="148"/>
        <w:spacing w:after="0" w:line="215" w:lineRule="auto"/>
        <w:rPr>
          <w:sz w:val="20"/>
          <w:szCs w:val="20"/>
          <w:color w:val="auto"/>
        </w:rPr>
      </w:pPr>
      <w:r>
        <w:rPr>
          <w:rFonts w:ascii="Arial" w:cs="Arial" w:eastAsia="Arial" w:hAnsi="Arial"/>
          <w:sz w:val="8"/>
          <w:szCs w:val="8"/>
          <w:color w:val="auto"/>
        </w:rPr>
        <w:t>Operating capital expenditures</w:t>
      </w:r>
    </w:p>
    <w:p>
      <w:pPr>
        <w:spacing w:after="0" w:line="8" w:lineRule="exact"/>
        <w:rPr>
          <w:sz w:val="20"/>
          <w:szCs w:val="20"/>
          <w:color w:val="auto"/>
        </w:rPr>
      </w:pPr>
    </w:p>
    <w:p>
      <w:pPr>
        <w:ind w:left="148"/>
        <w:spacing w:after="0"/>
        <w:rPr>
          <w:sz w:val="20"/>
          <w:szCs w:val="20"/>
          <w:color w:val="auto"/>
        </w:rPr>
      </w:pPr>
      <w:r>
        <w:rPr>
          <w:rFonts w:ascii="Arial" w:cs="Arial" w:eastAsia="Arial" w:hAnsi="Arial"/>
          <w:sz w:val="8"/>
          <w:szCs w:val="8"/>
          <w:color w:val="auto"/>
        </w:rPr>
        <w:t>Debt cost and derivative adjustments</w:t>
      </w:r>
    </w:p>
    <w:p>
      <w:pPr>
        <w:spacing w:after="0" w:line="17" w:lineRule="exact"/>
        <w:rPr>
          <w:sz w:val="20"/>
          <w:szCs w:val="20"/>
          <w:color w:val="auto"/>
        </w:rPr>
      </w:pPr>
    </w:p>
    <w:p>
      <w:pPr>
        <w:ind w:left="148"/>
        <w:spacing w:after="0"/>
        <w:rPr>
          <w:sz w:val="20"/>
          <w:szCs w:val="20"/>
          <w:color w:val="auto"/>
        </w:rPr>
      </w:pPr>
      <w:r>
        <w:rPr>
          <w:rFonts w:ascii="Arial" w:cs="Arial" w:eastAsia="Arial" w:hAnsi="Arial"/>
          <w:sz w:val="8"/>
          <w:szCs w:val="8"/>
          <w:color w:val="auto"/>
        </w:rPr>
        <w:t>Stock-based compensation</w:t>
      </w:r>
    </w:p>
    <w:p>
      <w:pPr>
        <w:spacing w:after="0" w:line="35" w:lineRule="exact"/>
        <w:rPr>
          <w:sz w:val="20"/>
          <w:szCs w:val="20"/>
          <w:color w:val="auto"/>
        </w:rPr>
      </w:pPr>
    </w:p>
    <w:p>
      <w:pPr>
        <w:ind w:left="208"/>
        <w:spacing w:after="0"/>
        <w:rPr>
          <w:sz w:val="20"/>
          <w:szCs w:val="20"/>
          <w:color w:val="auto"/>
        </w:rPr>
      </w:pPr>
      <w:r>
        <w:rPr>
          <w:rFonts w:ascii="Arial" w:cs="Arial" w:eastAsia="Arial" w:hAnsi="Arial"/>
          <w:sz w:val="8"/>
          <w:szCs w:val="8"/>
          <w:color w:val="auto"/>
        </w:rPr>
        <w:t>Adjusted Funds from Operations</w:t>
      </w:r>
    </w:p>
    <w:p>
      <w:pPr>
        <w:spacing w:after="0" w:line="7" w:lineRule="exact"/>
        <w:rPr>
          <w:sz w:val="20"/>
          <w:szCs w:val="20"/>
          <w:color w:val="auto"/>
        </w:rPr>
      </w:pPr>
    </w:p>
    <w:p>
      <w:pPr>
        <w:ind w:left="308" w:hanging="308"/>
        <w:spacing w:after="0"/>
        <w:tabs>
          <w:tab w:leader="none" w:pos="308" w:val="left"/>
        </w:tabs>
        <w:numPr>
          <w:ilvl w:val="0"/>
          <w:numId w:val="29"/>
        </w:numPr>
        <w:rPr>
          <w:rFonts w:ascii="Arial" w:cs="Arial" w:eastAsia="Arial" w:hAnsi="Arial"/>
          <w:sz w:val="13"/>
          <w:szCs w:val="13"/>
          <w:color w:val="auto"/>
          <w:vertAlign w:val="superscript"/>
        </w:rPr>
      </w:pPr>
      <w:r>
        <w:rPr>
          <w:rFonts w:ascii="Arial" w:cs="Arial" w:eastAsia="Arial" w:hAnsi="Arial"/>
          <w:sz w:val="9"/>
          <w:szCs w:val="9"/>
          <w:color w:val="auto"/>
        </w:rPr>
        <w:t>Includes Regency's consolidated entities and its share of unconsolidated real estate partnerships, net of share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720280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3106420</wp:posOffset>
            </wp:positionH>
            <wp:positionV relativeFrom="paragraph">
              <wp:posOffset>-635</wp:posOffset>
            </wp:positionV>
            <wp:extent cx="287020" cy="154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2"/>
        </w:trPr>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highlight w:val="black"/>
                <w:w w:val="98"/>
              </w:rPr>
              <w:t>Three Months Ended</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79"/>
        </w:trPr>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87"/>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125,136</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106,174</w:t>
            </w:r>
          </w:p>
        </w:tc>
        <w:tc>
          <w:tcPr>
            <w:tcW w:w="80" w:type="dxa"/>
            <w:vAlign w:val="bottom"/>
          </w:tcPr>
          <w:p>
            <w:pPr>
              <w:spacing w:after="0"/>
              <w:rPr>
                <w:sz w:val="24"/>
                <w:szCs w:val="24"/>
                <w:color w:val="auto"/>
              </w:rPr>
            </w:pPr>
          </w:p>
        </w:tc>
      </w:tr>
      <w:tr>
        <w:trPr>
          <w:trHeight w:val="199"/>
        </w:trPr>
        <w:tc>
          <w:tcPr>
            <w:tcW w:w="380" w:type="dxa"/>
            <w:vAlign w:val="bottom"/>
          </w:tcPr>
          <w:p>
            <w:pPr>
              <w:spacing w:after="0"/>
              <w:rPr>
                <w:sz w:val="17"/>
                <w:szCs w:val="17"/>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113,562</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104,034</w:t>
            </w:r>
          </w:p>
        </w:tc>
        <w:tc>
          <w:tcPr>
            <w:tcW w:w="80" w:type="dxa"/>
            <w:vAlign w:val="bottom"/>
          </w:tcPr>
          <w:p>
            <w:pPr>
              <w:spacing w:after="0"/>
              <w:rPr>
                <w:sz w:val="17"/>
                <w:szCs w:val="17"/>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(17,047)</w:t>
            </w:r>
          </w:p>
        </w:tc>
        <w:tc>
          <w:tcPr>
            <w:tcW w:w="1420" w:type="dxa"/>
            <w:vAlign w:val="bottom"/>
            <w:gridSpan w:val="3"/>
          </w:tcPr>
          <w:p>
            <w:pPr>
              <w:jc w:val="right"/>
              <w:spacing w:after="0"/>
              <w:rPr>
                <w:sz w:val="20"/>
                <w:szCs w:val="20"/>
                <w:color w:val="auto"/>
              </w:rPr>
            </w:pPr>
            <w:r>
              <w:rPr>
                <w:rFonts w:ascii="Arial" w:cs="Arial" w:eastAsia="Arial" w:hAnsi="Arial"/>
                <w:sz w:val="8"/>
                <w:szCs w:val="8"/>
                <w:color w:val="auto"/>
              </w:rPr>
              <w:t>(101)</w:t>
            </w:r>
          </w:p>
        </w:tc>
        <w:tc>
          <w:tcPr>
            <w:tcW w:w="80" w:type="dxa"/>
            <w:vAlign w:val="bottom"/>
          </w:tcPr>
          <w:p>
            <w:pPr>
              <w:spacing w:after="0"/>
              <w:rPr>
                <w:sz w:val="8"/>
                <w:szCs w:val="8"/>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2,617</w:t>
            </w: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8"/>
                <w:szCs w:val="8"/>
                <w:color w:val="auto"/>
              </w:rPr>
              <w:t>642</w:t>
            </w:r>
          </w:p>
        </w:tc>
        <w:tc>
          <w:tcPr>
            <w:tcW w:w="80" w:type="dxa"/>
            <w:vAlign w:val="bottom"/>
            <w:tcBorders>
              <w:bottom w:val="single" w:sz="8" w:color="auto"/>
            </w:tcBorders>
          </w:tcPr>
          <w:p>
            <w:pPr>
              <w:spacing w:after="0"/>
              <w:rPr>
                <w:sz w:val="8"/>
                <w:szCs w:val="8"/>
                <w:color w:val="auto"/>
              </w:rPr>
            </w:pP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224,268</w:t>
            </w:r>
          </w:p>
        </w:tc>
        <w:tc>
          <w:tcPr>
            <w:tcW w:w="1420" w:type="dxa"/>
            <w:vAlign w:val="bottom"/>
            <w:tcBorders>
              <w:bottom w:val="single" w:sz="8" w:color="auto"/>
            </w:tcBorders>
            <w:gridSpan w:val="3"/>
          </w:tcPr>
          <w:p>
            <w:pPr>
              <w:jc w:val="right"/>
              <w:ind w:right="40"/>
              <w:spacing w:after="0" w:line="89" w:lineRule="exact"/>
              <w:rPr>
                <w:sz w:val="20"/>
                <w:szCs w:val="20"/>
                <w:color w:val="auto"/>
              </w:rPr>
            </w:pPr>
            <w:r>
              <w:rPr>
                <w:rFonts w:ascii="Arial" w:cs="Arial" w:eastAsia="Arial" w:hAnsi="Arial"/>
                <w:sz w:val="8"/>
                <w:szCs w:val="8"/>
                <w:color w:val="auto"/>
              </w:rPr>
              <w:t>210,749</w:t>
            </w:r>
          </w:p>
        </w:tc>
        <w:tc>
          <w:tcPr>
            <w:tcW w:w="80" w:type="dxa"/>
            <w:vAlign w:val="bottom"/>
            <w:tcBorders>
              <w:bottom w:val="single" w:sz="8" w:color="auto"/>
            </w:tcBorders>
          </w:tcPr>
          <w:p>
            <w:pPr>
              <w:spacing w:after="0"/>
              <w:rPr>
                <w:sz w:val="8"/>
                <w:szCs w:val="8"/>
                <w:color w:val="auto"/>
              </w:rPr>
            </w:pPr>
          </w:p>
        </w:tc>
      </w:tr>
      <w:tr>
        <w:trPr>
          <w:trHeight w:val="1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1.20</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1.15</w:t>
            </w:r>
          </w:p>
        </w:tc>
        <w:tc>
          <w:tcPr>
            <w:tcW w:w="80" w:type="dxa"/>
            <w:vAlign w:val="bottom"/>
          </w:tcPr>
          <w:p>
            <w:pPr>
              <w:spacing w:after="0"/>
              <w:rPr>
                <w:sz w:val="17"/>
                <w:szCs w:val="17"/>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187,220</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182,910</w:t>
            </w:r>
          </w:p>
        </w:tc>
        <w:tc>
          <w:tcPr>
            <w:tcW w:w="80" w:type="dxa"/>
            <w:vAlign w:val="bottom"/>
          </w:tcPr>
          <w:p>
            <w:pPr>
              <w:spacing w:after="0"/>
              <w:rPr>
                <w:sz w:val="8"/>
                <w:szCs w:val="8"/>
                <w:color w:val="auto"/>
              </w:rPr>
            </w:pPr>
          </w:p>
        </w:tc>
      </w:tr>
      <w:tr>
        <w:trPr>
          <w:trHeight w:val="3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224,268</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210,749</w:t>
            </w:r>
          </w:p>
        </w:tc>
        <w:tc>
          <w:tcPr>
            <w:tcW w:w="80" w:type="dxa"/>
            <w:vAlign w:val="bottom"/>
          </w:tcPr>
          <w:p>
            <w:pPr>
              <w:spacing w:after="0"/>
              <w:rPr>
                <w:sz w:val="24"/>
                <w:szCs w:val="24"/>
                <w:color w:val="auto"/>
              </w:rPr>
            </w:pPr>
          </w:p>
        </w:tc>
      </w:tr>
      <w:tr>
        <w:trPr>
          <w:trHeight w:val="298"/>
        </w:trPr>
        <w:tc>
          <w:tcPr>
            <w:tcW w:w="380" w:type="dxa"/>
            <w:vAlign w:val="bottom"/>
          </w:tcPr>
          <w:p>
            <w:pPr>
              <w:spacing w:after="0"/>
              <w:rPr>
                <w:sz w:val="24"/>
                <w:szCs w:val="24"/>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(6,618)</w:t>
            </w:r>
          </w:p>
        </w:tc>
        <w:tc>
          <w:tcPr>
            <w:tcW w:w="1420" w:type="dxa"/>
            <w:vAlign w:val="bottom"/>
            <w:gridSpan w:val="3"/>
          </w:tcPr>
          <w:p>
            <w:pPr>
              <w:jc w:val="right"/>
              <w:spacing w:after="0"/>
              <w:rPr>
                <w:sz w:val="20"/>
                <w:szCs w:val="20"/>
                <w:color w:val="auto"/>
              </w:rPr>
            </w:pPr>
            <w:r>
              <w:rPr>
                <w:rFonts w:ascii="Arial" w:cs="Arial" w:eastAsia="Arial" w:hAnsi="Arial"/>
                <w:sz w:val="8"/>
                <w:szCs w:val="8"/>
                <w:color w:val="auto"/>
              </w:rPr>
              <w:t>(6,513)</w:t>
            </w:r>
          </w:p>
        </w:tc>
        <w:tc>
          <w:tcPr>
            <w:tcW w:w="80" w:type="dxa"/>
            <w:vAlign w:val="bottom"/>
          </w:tcPr>
          <w:p>
            <w:pPr>
              <w:spacing w:after="0"/>
              <w:rPr>
                <w:sz w:val="24"/>
                <w:szCs w:val="24"/>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2,180</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376</w:t>
            </w:r>
          </w:p>
        </w:tc>
        <w:tc>
          <w:tcPr>
            <w:tcW w:w="80" w:type="dxa"/>
            <w:vAlign w:val="bottom"/>
          </w:tcPr>
          <w:p>
            <w:pPr>
              <w:spacing w:after="0"/>
              <w:rPr>
                <w:sz w:val="8"/>
                <w:szCs w:val="8"/>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(5,249)</w:t>
            </w:r>
          </w:p>
        </w:tc>
        <w:tc>
          <w:tcPr>
            <w:tcW w:w="1420" w:type="dxa"/>
            <w:vAlign w:val="bottom"/>
            <w:gridSpan w:val="3"/>
          </w:tcPr>
          <w:p>
            <w:pPr>
              <w:jc w:val="right"/>
              <w:spacing w:after="0"/>
              <w:rPr>
                <w:sz w:val="20"/>
                <w:szCs w:val="20"/>
                <w:color w:val="auto"/>
              </w:rPr>
            </w:pPr>
            <w:r>
              <w:rPr>
                <w:rFonts w:ascii="Arial" w:cs="Arial" w:eastAsia="Arial" w:hAnsi="Arial"/>
                <w:sz w:val="8"/>
                <w:szCs w:val="8"/>
                <w:color w:val="auto"/>
              </w:rPr>
              <w:t>(6,461)</w:t>
            </w:r>
          </w:p>
        </w:tc>
        <w:tc>
          <w:tcPr>
            <w:tcW w:w="80" w:type="dxa"/>
            <w:vAlign w:val="bottom"/>
          </w:tcPr>
          <w:p>
            <w:pPr>
              <w:spacing w:after="0"/>
              <w:rPr>
                <w:sz w:val="8"/>
                <w:szCs w:val="8"/>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1,942</w:t>
            </w: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8"/>
                <w:szCs w:val="8"/>
                <w:color w:val="auto"/>
              </w:rPr>
              <w:t>1,292</w:t>
            </w:r>
          </w:p>
        </w:tc>
        <w:tc>
          <w:tcPr>
            <w:tcW w:w="80" w:type="dxa"/>
            <w:vAlign w:val="bottom"/>
            <w:tcBorders>
              <w:bottom w:val="single" w:sz="8" w:color="auto"/>
            </w:tcBorders>
          </w:tcPr>
          <w:p>
            <w:pPr>
              <w:spacing w:after="0"/>
              <w:rPr>
                <w:sz w:val="8"/>
                <w:szCs w:val="8"/>
                <w:color w:val="auto"/>
              </w:rPr>
            </w:pP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216,523</w:t>
            </w:r>
          </w:p>
        </w:tc>
        <w:tc>
          <w:tcPr>
            <w:tcW w:w="1420" w:type="dxa"/>
            <w:vAlign w:val="bottom"/>
            <w:tcBorders>
              <w:bottom w:val="single" w:sz="8" w:color="auto"/>
            </w:tcBorders>
            <w:gridSpan w:val="3"/>
          </w:tcPr>
          <w:p>
            <w:pPr>
              <w:jc w:val="right"/>
              <w:ind w:right="40"/>
              <w:spacing w:after="0" w:line="89" w:lineRule="exact"/>
              <w:rPr>
                <w:sz w:val="20"/>
                <w:szCs w:val="20"/>
                <w:color w:val="auto"/>
              </w:rPr>
            </w:pPr>
            <w:r>
              <w:rPr>
                <w:rFonts w:ascii="Arial" w:cs="Arial" w:eastAsia="Arial" w:hAnsi="Arial"/>
                <w:sz w:val="8"/>
                <w:szCs w:val="8"/>
                <w:color w:val="auto"/>
              </w:rPr>
              <w:t>199,443</w:t>
            </w:r>
          </w:p>
        </w:tc>
        <w:tc>
          <w:tcPr>
            <w:tcW w:w="80" w:type="dxa"/>
            <w:vAlign w:val="bottom"/>
            <w:tcBorders>
              <w:bottom w:val="single" w:sz="8" w:color="auto"/>
            </w:tcBorders>
          </w:tcPr>
          <w:p>
            <w:pPr>
              <w:spacing w:after="0"/>
              <w:rPr>
                <w:sz w:val="8"/>
                <w:szCs w:val="8"/>
                <w:color w:val="auto"/>
              </w:rPr>
            </w:pPr>
          </w:p>
        </w:tc>
      </w:tr>
      <w:tr>
        <w:trPr>
          <w:trHeight w:val="198"/>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1.16</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1.09</w:t>
            </w:r>
          </w:p>
        </w:tc>
        <w:tc>
          <w:tcPr>
            <w:tcW w:w="80" w:type="dxa"/>
            <w:vAlign w:val="bottom"/>
          </w:tcPr>
          <w:p>
            <w:pPr>
              <w:spacing w:after="0"/>
              <w:rPr>
                <w:sz w:val="17"/>
                <w:szCs w:val="17"/>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187,220</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182,910</w:t>
            </w:r>
          </w:p>
        </w:tc>
        <w:tc>
          <w:tcPr>
            <w:tcW w:w="80" w:type="dxa"/>
            <w:vAlign w:val="bottom"/>
          </w:tcPr>
          <w:p>
            <w:pPr>
              <w:spacing w:after="0"/>
              <w:rPr>
                <w:sz w:val="8"/>
                <w:szCs w:val="8"/>
                <w:color w:val="auto"/>
              </w:rPr>
            </w:pPr>
          </w:p>
        </w:tc>
      </w:tr>
      <w:tr>
        <w:trPr>
          <w:trHeight w:val="497"/>
        </w:trPr>
        <w:tc>
          <w:tcPr>
            <w:tcW w:w="380" w:type="dxa"/>
            <w:vAlign w:val="bottom"/>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216,523</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199,443</w:t>
            </w:r>
          </w:p>
        </w:tc>
        <w:tc>
          <w:tcPr>
            <w:tcW w:w="80" w:type="dxa"/>
            <w:vAlign w:val="bottom"/>
          </w:tcPr>
          <w:p>
            <w:pPr>
              <w:spacing w:after="0"/>
              <w:rPr>
                <w:sz w:val="24"/>
                <w:szCs w:val="24"/>
                <w:color w:val="auto"/>
              </w:rPr>
            </w:pPr>
          </w:p>
        </w:tc>
      </w:tr>
      <w:tr>
        <w:trPr>
          <w:trHeight w:val="199"/>
        </w:trPr>
        <w:tc>
          <w:tcPr>
            <w:tcW w:w="380" w:type="dxa"/>
            <w:vAlign w:val="bottom"/>
          </w:tcPr>
          <w:p>
            <w:pPr>
              <w:spacing w:after="0"/>
              <w:rPr>
                <w:sz w:val="17"/>
                <w:szCs w:val="17"/>
                <w:color w:val="auto"/>
              </w:rPr>
            </w:pPr>
          </w:p>
        </w:tc>
        <w:tc>
          <w:tcPr>
            <w:tcW w:w="1760" w:type="dxa"/>
            <w:vAlign w:val="bottom"/>
            <w:gridSpan w:val="4"/>
          </w:tcPr>
          <w:p>
            <w:pPr>
              <w:jc w:val="right"/>
              <w:ind w:right="439"/>
              <w:spacing w:after="0"/>
              <w:rPr>
                <w:sz w:val="20"/>
                <w:szCs w:val="20"/>
                <w:color w:val="auto"/>
              </w:rPr>
            </w:pPr>
            <w:r>
              <w:rPr>
                <w:rFonts w:ascii="Arial" w:cs="Arial" w:eastAsia="Arial" w:hAnsi="Arial"/>
                <w:sz w:val="8"/>
                <w:szCs w:val="8"/>
                <w:color w:val="auto"/>
              </w:rPr>
              <w:t>(27,087)</w:t>
            </w:r>
          </w:p>
        </w:tc>
        <w:tc>
          <w:tcPr>
            <w:tcW w:w="1420" w:type="dxa"/>
            <w:vAlign w:val="bottom"/>
            <w:gridSpan w:val="3"/>
          </w:tcPr>
          <w:p>
            <w:pPr>
              <w:jc w:val="right"/>
              <w:spacing w:after="0"/>
              <w:rPr>
                <w:sz w:val="20"/>
                <w:szCs w:val="20"/>
                <w:color w:val="auto"/>
              </w:rPr>
            </w:pPr>
            <w:r>
              <w:rPr>
                <w:rFonts w:ascii="Arial" w:cs="Arial" w:eastAsia="Arial" w:hAnsi="Arial"/>
                <w:sz w:val="8"/>
                <w:szCs w:val="8"/>
                <w:color w:val="auto"/>
              </w:rPr>
              <w:t>(23,753)</w:t>
            </w:r>
          </w:p>
        </w:tc>
        <w:tc>
          <w:tcPr>
            <w:tcW w:w="80" w:type="dxa"/>
            <w:vAlign w:val="bottom"/>
          </w:tcPr>
          <w:p>
            <w:pPr>
              <w:spacing w:after="0"/>
              <w:rPr>
                <w:sz w:val="17"/>
                <w:szCs w:val="17"/>
                <w:color w:val="auto"/>
              </w:rPr>
            </w:pPr>
          </w:p>
        </w:tc>
      </w:tr>
      <w:tr>
        <w:trPr>
          <w:trHeight w:val="99"/>
        </w:trPr>
        <w:tc>
          <w:tcPr>
            <w:tcW w:w="380" w:type="dxa"/>
            <w:vAlign w:val="bottom"/>
          </w:tcPr>
          <w:p>
            <w:pPr>
              <w:spacing w:after="0"/>
              <w:rPr>
                <w:sz w:val="8"/>
                <w:szCs w:val="8"/>
                <w:color w:val="auto"/>
              </w:rPr>
            </w:pPr>
          </w:p>
        </w:tc>
        <w:tc>
          <w:tcPr>
            <w:tcW w:w="1760" w:type="dxa"/>
            <w:vAlign w:val="bottom"/>
            <w:gridSpan w:val="4"/>
          </w:tcPr>
          <w:p>
            <w:pPr>
              <w:jc w:val="right"/>
              <w:ind w:right="479"/>
              <w:spacing w:after="0"/>
              <w:rPr>
                <w:sz w:val="20"/>
                <w:szCs w:val="20"/>
                <w:color w:val="auto"/>
              </w:rPr>
            </w:pPr>
            <w:r>
              <w:rPr>
                <w:rFonts w:ascii="Arial" w:cs="Arial" w:eastAsia="Arial" w:hAnsi="Arial"/>
                <w:sz w:val="8"/>
                <w:szCs w:val="8"/>
                <w:color w:val="auto"/>
              </w:rPr>
              <w:t>2,230</w:t>
            </w:r>
          </w:p>
        </w:tc>
        <w:tc>
          <w:tcPr>
            <w:tcW w:w="1420" w:type="dxa"/>
            <w:vAlign w:val="bottom"/>
            <w:gridSpan w:val="3"/>
          </w:tcPr>
          <w:p>
            <w:pPr>
              <w:jc w:val="right"/>
              <w:ind w:right="40"/>
              <w:spacing w:after="0"/>
              <w:rPr>
                <w:sz w:val="20"/>
                <w:szCs w:val="20"/>
                <w:color w:val="auto"/>
              </w:rPr>
            </w:pPr>
            <w:r>
              <w:rPr>
                <w:rFonts w:ascii="Arial" w:cs="Arial" w:eastAsia="Arial" w:hAnsi="Arial"/>
                <w:sz w:val="8"/>
                <w:szCs w:val="8"/>
                <w:color w:val="auto"/>
              </w:rPr>
              <w:t>2,129</w:t>
            </w:r>
          </w:p>
        </w:tc>
        <w:tc>
          <w:tcPr>
            <w:tcW w:w="80" w:type="dxa"/>
            <w:vAlign w:val="bottom"/>
          </w:tcPr>
          <w:p>
            <w:pPr>
              <w:spacing w:after="0"/>
              <w:rPr>
                <w:sz w:val="8"/>
                <w:szCs w:val="8"/>
                <w:color w:val="auto"/>
              </w:rPr>
            </w:pPr>
          </w:p>
        </w:tc>
      </w:tr>
      <w:tr>
        <w:trPr>
          <w:trHeight w:val="100"/>
        </w:trPr>
        <w:tc>
          <w:tcPr>
            <w:tcW w:w="3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8"/>
                <w:szCs w:val="8"/>
                <w:color w:val="auto"/>
              </w:rPr>
              <w:t>5,868</w:t>
            </w: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8"/>
                <w:szCs w:val="8"/>
                <w:color w:val="auto"/>
              </w:rPr>
              <w:t>5,443</w:t>
            </w:r>
          </w:p>
        </w:tc>
        <w:tc>
          <w:tcPr>
            <w:tcW w:w="80" w:type="dxa"/>
            <w:vAlign w:val="bottom"/>
            <w:tcBorders>
              <w:bottom w:val="single" w:sz="8" w:color="auto"/>
            </w:tcBorders>
          </w:tcPr>
          <w:p>
            <w:pPr>
              <w:spacing w:after="0"/>
              <w:rPr>
                <w:sz w:val="8"/>
                <w:szCs w:val="8"/>
                <w:color w:val="auto"/>
              </w:rPr>
            </w:pPr>
          </w:p>
        </w:tc>
      </w:tr>
      <w:tr>
        <w:trPr>
          <w:trHeight w:val="96"/>
        </w:trPr>
        <w:tc>
          <w:tcPr>
            <w:tcW w:w="380" w:type="dxa"/>
            <w:vAlign w:val="bottom"/>
            <w:tcBorders>
              <w:bottom w:val="single" w:sz="8" w:color="auto"/>
            </w:tcBorders>
          </w:tcPr>
          <w:p>
            <w:pPr>
              <w:jc w:val="right"/>
              <w:ind w:right="314"/>
              <w:spacing w:after="0"/>
              <w:rPr>
                <w:sz w:val="20"/>
                <w:szCs w:val="20"/>
                <w:color w:val="auto"/>
              </w:rPr>
            </w:pPr>
            <w:r>
              <w:rPr>
                <w:rFonts w:ascii="Arial" w:cs="Arial" w:eastAsia="Arial" w:hAnsi="Arial"/>
                <w:sz w:val="5"/>
                <w:szCs w:val="5"/>
                <w:color w:val="auto"/>
                <w:w w:val="70"/>
              </w:rPr>
              <w:t>$</w:t>
            </w:r>
          </w:p>
        </w:tc>
        <w:tc>
          <w:tcPr>
            <w:tcW w:w="1760" w:type="dxa"/>
            <w:vAlign w:val="bottom"/>
            <w:tcBorders>
              <w:bottom w:val="single" w:sz="8" w:color="auto"/>
            </w:tcBorders>
            <w:gridSpan w:val="4"/>
          </w:tcPr>
          <w:p>
            <w:pPr>
              <w:jc w:val="right"/>
              <w:ind w:right="479"/>
              <w:spacing w:after="0" w:line="89" w:lineRule="exact"/>
              <w:rPr>
                <w:sz w:val="20"/>
                <w:szCs w:val="20"/>
                <w:color w:val="auto"/>
              </w:rPr>
            </w:pPr>
            <w:r>
              <w:rPr>
                <w:rFonts w:ascii="Arial" w:cs="Arial" w:eastAsia="Arial" w:hAnsi="Arial"/>
                <w:sz w:val="8"/>
                <w:szCs w:val="8"/>
                <w:color w:val="auto"/>
              </w:rPr>
              <w:t>197,534</w:t>
            </w:r>
          </w:p>
        </w:tc>
        <w:tc>
          <w:tcPr>
            <w:tcW w:w="1420" w:type="dxa"/>
            <w:vAlign w:val="bottom"/>
            <w:tcBorders>
              <w:bottom w:val="single" w:sz="8" w:color="auto"/>
            </w:tcBorders>
            <w:gridSpan w:val="3"/>
          </w:tcPr>
          <w:p>
            <w:pPr>
              <w:jc w:val="right"/>
              <w:ind w:right="40"/>
              <w:spacing w:after="0" w:line="89" w:lineRule="exact"/>
              <w:rPr>
                <w:sz w:val="20"/>
                <w:szCs w:val="20"/>
                <w:color w:val="auto"/>
              </w:rPr>
            </w:pPr>
            <w:r>
              <w:rPr>
                <w:rFonts w:ascii="Arial" w:cs="Arial" w:eastAsia="Arial" w:hAnsi="Arial"/>
                <w:sz w:val="8"/>
                <w:szCs w:val="8"/>
                <w:color w:val="auto"/>
              </w:rPr>
              <w:t>183,262</w:t>
            </w:r>
          </w:p>
        </w:tc>
        <w:tc>
          <w:tcPr>
            <w:tcW w:w="80" w:type="dxa"/>
            <w:vAlign w:val="bottom"/>
            <w:tcBorders>
              <w:bottom w:val="single" w:sz="8" w:color="auto"/>
            </w:tcBorders>
          </w:tcPr>
          <w:p>
            <w:pPr>
              <w:spacing w:after="0"/>
              <w:rPr>
                <w:sz w:val="8"/>
                <w:szCs w:val="8"/>
                <w:color w:val="auto"/>
              </w:rPr>
            </w:pPr>
          </w:p>
        </w:tc>
      </w:tr>
      <w:tr>
        <w:trPr>
          <w:trHeight w:val="436"/>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7"/>
                <w:szCs w:val="7"/>
                <w:color w:val="404040"/>
              </w:rPr>
              <w:t>Supplemental Information</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v</w:t>
            </w:r>
          </w:p>
        </w:tc>
      </w:tr>
    </w:tbl>
    <w:p>
      <w:pPr>
        <w:sectPr>
          <w:pgSz w:w="11900" w:h="16838" w:orient="portrait"/>
          <w:cols w:equalWidth="0" w:num="2">
            <w:col w:w="6948" w:space="720"/>
            <w:col w:w="3640"/>
          </w:cols>
          <w:pgMar w:left="292" w:top="768" w:right="299" w:bottom="1440" w:gutter="0" w:footer="0" w:header="0"/>
          <w:type w:val="continuous"/>
        </w:sectPr>
      </w:pPr>
    </w:p>
    <w:bookmarkStart w:id="18" w:name="page19"/>
    <w:bookmarkEnd w:id="18"/>
    <w:p>
      <w:pPr>
        <w:ind w:left="8"/>
        <w:spacing w:after="0"/>
        <w:rPr>
          <w:sz w:val="20"/>
          <w:szCs w:val="20"/>
          <w:color w:val="auto"/>
        </w:rPr>
      </w:pPr>
      <w:r>
        <w:rPr>
          <w:rFonts w:ascii="Arial" w:cs="Arial" w:eastAsia="Arial" w:hAnsi="Arial"/>
          <w:sz w:val="12"/>
          <w:szCs w:val="12"/>
          <w:color w:val="auto"/>
        </w:rPr>
        <w:t xml:space="preserve">Reconciliation of Net Income Attributable to Common Shareholders to Pro-Rata Same Property NOI - </w:t>
      </w:r>
      <w:r>
        <w:rPr>
          <w:rFonts w:ascii="Arial" w:cs="Arial" w:eastAsia="Arial" w:hAnsi="Arial"/>
          <w:sz w:val="12"/>
          <w:szCs w:val="12"/>
          <w:color w:val="auto"/>
          <w:highlight w:val="black"/>
        </w:rPr>
        <w:t>Actual (in thousands)</w:t>
      </w:r>
    </w:p>
    <w:p>
      <w:pPr>
        <w:spacing w:after="0" w:line="107" w:lineRule="exact"/>
        <w:rPr>
          <w:sz w:val="20"/>
          <w:szCs w:val="20"/>
          <w:color w:val="auto"/>
        </w:rPr>
      </w:pPr>
    </w:p>
    <w:tbl>
      <w:tblPr>
        <w:tblLayout w:type="fixed"/>
        <w:tblInd w:w="68" w:type="dxa"/>
        <w:tblCellMar>
          <w:top w:w="0" w:type="dxa"/>
          <w:left w:w="0" w:type="dxa"/>
          <w:bottom w:w="0" w:type="dxa"/>
          <w:right w:w="0" w:type="dxa"/>
        </w:tblCellMar>
      </w:tblPr>
      <w:tr>
        <w:trPr>
          <w:trHeight w:val="112"/>
        </w:trPr>
        <w:tc>
          <w:tcPr>
            <w:tcW w:w="6860" w:type="dxa"/>
            <w:vAlign w:val="bottom"/>
          </w:tcPr>
          <w:p>
            <w:pPr>
              <w:spacing w:after="0"/>
              <w:rPr>
                <w:sz w:val="20"/>
                <w:szCs w:val="20"/>
                <w:color w:val="auto"/>
              </w:rPr>
            </w:pPr>
            <w:r>
              <w:rPr>
                <w:rFonts w:ascii="Arial" w:cs="Arial" w:eastAsia="Arial" w:hAnsi="Arial"/>
                <w:sz w:val="8"/>
                <w:szCs w:val="8"/>
                <w:color w:val="auto"/>
              </w:rPr>
              <w:t>For the Periods Ended March 31, 2026 and 2025</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highlight w:val="black"/>
                <w:w w:val="98"/>
              </w:rPr>
              <w:t>Three Months Ended</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79"/>
        </w:trPr>
        <w:tc>
          <w:tcPr>
            <w:tcW w:w="6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120" w:type="dxa"/>
            <w:vAlign w:val="bottom"/>
          </w:tcPr>
          <w:p>
            <w:pPr>
              <w:spacing w:after="0"/>
              <w:rPr>
                <w:sz w:val="6"/>
                <w:szCs w:val="6"/>
                <w:color w:val="auto"/>
              </w:rPr>
            </w:pPr>
          </w:p>
        </w:tc>
        <w:tc>
          <w:tcPr>
            <w:tcW w:w="1140" w:type="dxa"/>
            <w:vAlign w:val="bottom"/>
            <w:gridSpan w:val="3"/>
          </w:tcPr>
          <w:p>
            <w:pPr>
              <w:spacing w:after="0"/>
              <w:rPr>
                <w:sz w:val="6"/>
                <w:szCs w:val="6"/>
                <w:color w:val="auto"/>
              </w:rPr>
            </w:pPr>
          </w:p>
        </w:tc>
        <w:tc>
          <w:tcPr>
            <w:tcW w:w="20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bottom w:val="single" w:sz="8" w:color="auto"/>
            </w:tcBorders>
          </w:tcPr>
          <w:p>
            <w:pPr>
              <w:jc w:val="center"/>
              <w:spacing w:after="0" w:line="60" w:lineRule="exact"/>
              <w:rPr>
                <w:sz w:val="20"/>
                <w:szCs w:val="20"/>
                <w:color w:val="auto"/>
              </w:rPr>
            </w:pPr>
            <w:r>
              <w:rPr>
                <w:rFonts w:ascii="Arial" w:cs="Arial" w:eastAsia="Arial" w:hAnsi="Arial"/>
                <w:sz w:val="6"/>
                <w:szCs w:val="6"/>
                <w:color w:val="auto"/>
                <w:highlight w:val="black"/>
              </w:rPr>
              <w:t>Change</w:t>
            </w:r>
          </w:p>
        </w:tc>
      </w:tr>
      <w:tr>
        <w:trPr>
          <w:trHeight w:val="233"/>
        </w:trPr>
        <w:tc>
          <w:tcPr>
            <w:tcW w:w="6860" w:type="dxa"/>
            <w:vAlign w:val="bottom"/>
          </w:tcPr>
          <w:p>
            <w:pPr>
              <w:spacing w:after="0"/>
              <w:rPr>
                <w:sz w:val="20"/>
                <w:szCs w:val="20"/>
                <w:color w:val="auto"/>
              </w:rPr>
            </w:pPr>
            <w:r>
              <w:rPr>
                <w:rFonts w:ascii="Arial" w:cs="Arial" w:eastAsia="Arial" w:hAnsi="Arial"/>
                <w:sz w:val="8"/>
                <w:szCs w:val="8"/>
                <w:color w:val="auto"/>
              </w:rPr>
              <w:t>Net income attributable to common shareholders</w:t>
            </w:r>
          </w:p>
        </w:tc>
        <w:tc>
          <w:tcPr>
            <w:tcW w:w="540" w:type="dxa"/>
            <w:vAlign w:val="bottom"/>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125,136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106,174</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99"/>
        </w:trPr>
        <w:tc>
          <w:tcPr>
            <w:tcW w:w="6860" w:type="dxa"/>
            <w:vAlign w:val="bottom"/>
          </w:tcPr>
          <w:p>
            <w:pPr>
              <w:ind w:left="60"/>
              <w:spacing w:after="0"/>
              <w:rPr>
                <w:sz w:val="20"/>
                <w:szCs w:val="20"/>
                <w:color w:val="auto"/>
              </w:rPr>
            </w:pPr>
            <w:r>
              <w:rPr>
                <w:rFonts w:ascii="Arial" w:cs="Arial" w:eastAsia="Arial" w:hAnsi="Arial"/>
                <w:sz w:val="8"/>
                <w:szCs w:val="8"/>
                <w:color w:val="auto"/>
              </w:rPr>
              <w:t>Less:</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Management, transaction, and other fees</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ind w:right="399"/>
              <w:spacing w:after="0"/>
              <w:rPr>
                <w:sz w:val="20"/>
                <w:szCs w:val="20"/>
                <w:color w:val="auto"/>
              </w:rPr>
            </w:pPr>
            <w:r>
              <w:rPr>
                <w:rFonts w:ascii="Arial" w:cs="Arial" w:eastAsia="Arial" w:hAnsi="Arial"/>
                <w:sz w:val="8"/>
                <w:szCs w:val="8"/>
                <w:color w:val="auto"/>
              </w:rPr>
              <w:t>(6,933)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39"/>
              <w:spacing w:after="0"/>
              <w:rPr>
                <w:sz w:val="20"/>
                <w:szCs w:val="20"/>
                <w:color w:val="auto"/>
              </w:rPr>
            </w:pPr>
            <w:r>
              <w:rPr>
                <w:rFonts w:ascii="Arial" w:cs="Arial" w:eastAsia="Arial" w:hAnsi="Arial"/>
                <w:sz w:val="8"/>
                <w:szCs w:val="8"/>
                <w:color w:val="auto"/>
              </w:rPr>
              <w:t>(6,812)</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17"/>
        </w:trPr>
        <w:tc>
          <w:tcPr>
            <w:tcW w:w="6860" w:type="dxa"/>
            <w:vAlign w:val="bottom"/>
          </w:tcPr>
          <w:p>
            <w:pPr>
              <w:ind w:left="240"/>
              <w:spacing w:after="0" w:line="117" w:lineRule="exact"/>
              <w:rPr>
                <w:sz w:val="20"/>
                <w:szCs w:val="20"/>
                <w:color w:val="auto"/>
              </w:rPr>
            </w:pPr>
            <w:r>
              <w:rPr>
                <w:rFonts w:ascii="Arial" w:cs="Arial" w:eastAsia="Arial" w:hAnsi="Arial"/>
                <w:sz w:val="8"/>
                <w:szCs w:val="8"/>
                <w:color w:val="auto"/>
              </w:rPr>
              <w:t xml:space="preserve">Other </w:t>
            </w:r>
            <w:r>
              <w:rPr>
                <w:rFonts w:ascii="Arial" w:cs="Arial" w:eastAsia="Arial" w:hAnsi="Arial"/>
                <w:sz w:val="11"/>
                <w:szCs w:val="11"/>
                <w:color w:val="auto"/>
                <w:vertAlign w:val="superscript"/>
              </w:rPr>
              <w:t>(1)</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399"/>
              <w:spacing w:after="0"/>
              <w:rPr>
                <w:sz w:val="20"/>
                <w:szCs w:val="20"/>
                <w:color w:val="auto"/>
              </w:rPr>
            </w:pPr>
            <w:r>
              <w:rPr>
                <w:rFonts w:ascii="Arial" w:cs="Arial" w:eastAsia="Arial" w:hAnsi="Arial"/>
                <w:sz w:val="8"/>
                <w:szCs w:val="8"/>
                <w:color w:val="auto"/>
              </w:rPr>
              <w:t>(11,396)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39"/>
              <w:spacing w:after="0"/>
              <w:rPr>
                <w:sz w:val="20"/>
                <w:szCs w:val="20"/>
                <w:color w:val="auto"/>
              </w:rPr>
            </w:pPr>
            <w:r>
              <w:rPr>
                <w:rFonts w:ascii="Arial" w:cs="Arial" w:eastAsia="Arial" w:hAnsi="Arial"/>
                <w:sz w:val="8"/>
                <w:szCs w:val="8"/>
                <w:color w:val="auto"/>
              </w:rPr>
              <w:t>(13,689)</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82"/>
        </w:trPr>
        <w:tc>
          <w:tcPr>
            <w:tcW w:w="6860" w:type="dxa"/>
            <w:vAlign w:val="bottom"/>
          </w:tcPr>
          <w:p>
            <w:pPr>
              <w:ind w:left="60"/>
              <w:spacing w:after="0" w:line="83" w:lineRule="exact"/>
              <w:rPr>
                <w:sz w:val="20"/>
                <w:szCs w:val="20"/>
                <w:color w:val="auto"/>
              </w:rPr>
            </w:pPr>
            <w:r>
              <w:rPr>
                <w:rFonts w:ascii="Arial" w:cs="Arial" w:eastAsia="Arial" w:hAnsi="Arial"/>
                <w:sz w:val="8"/>
                <w:szCs w:val="8"/>
                <w:color w:val="auto"/>
              </w:rPr>
              <w:t>Plus:</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Depreciation and amortization</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106,422</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96,774</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General and administrative</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25,606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21,600</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Other operating expense</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1,001</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1,688</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99"/>
        </w:trPr>
        <w:tc>
          <w:tcPr>
            <w:tcW w:w="6860" w:type="dxa"/>
            <w:vAlign w:val="bottom"/>
          </w:tcPr>
          <w:p>
            <w:pPr>
              <w:ind w:left="240"/>
              <w:spacing w:after="0"/>
              <w:rPr>
                <w:sz w:val="20"/>
                <w:szCs w:val="20"/>
                <w:color w:val="auto"/>
              </w:rPr>
            </w:pPr>
            <w:r>
              <w:rPr>
                <w:rFonts w:ascii="Arial" w:cs="Arial" w:eastAsia="Arial" w:hAnsi="Arial"/>
                <w:sz w:val="8"/>
                <w:szCs w:val="8"/>
                <w:color w:val="auto"/>
              </w:rPr>
              <w:t>Other expense, net</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44,296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48,673</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17"/>
        </w:trPr>
        <w:tc>
          <w:tcPr>
            <w:tcW w:w="6860" w:type="dxa"/>
            <w:vAlign w:val="bottom"/>
          </w:tcPr>
          <w:p>
            <w:pPr>
              <w:ind w:left="240"/>
              <w:spacing w:after="0" w:line="117" w:lineRule="exact"/>
              <w:rPr>
                <w:sz w:val="20"/>
                <w:szCs w:val="20"/>
                <w:color w:val="auto"/>
              </w:rPr>
            </w:pPr>
            <w:r>
              <w:rPr>
                <w:rFonts w:ascii="Arial" w:cs="Arial" w:eastAsia="Arial" w:hAnsi="Arial"/>
                <w:sz w:val="8"/>
                <w:szCs w:val="8"/>
                <w:color w:val="auto"/>
              </w:rPr>
              <w:t xml:space="preserve">Equity in income of investments in real estate partnerships excluded from NOI </w:t>
            </w:r>
            <w:r>
              <w:rPr>
                <w:rFonts w:ascii="Arial" w:cs="Arial" w:eastAsia="Arial" w:hAnsi="Arial"/>
                <w:sz w:val="11"/>
                <w:szCs w:val="11"/>
                <w:color w:val="auto"/>
                <w:vertAlign w:val="superscript"/>
              </w:rPr>
              <w:t>(2)</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39"/>
              <w:spacing w:after="0"/>
              <w:rPr>
                <w:sz w:val="20"/>
                <w:szCs w:val="20"/>
                <w:color w:val="auto"/>
              </w:rPr>
            </w:pPr>
            <w:r>
              <w:rPr>
                <w:rFonts w:ascii="Arial" w:cs="Arial" w:eastAsia="Arial" w:hAnsi="Arial"/>
                <w:sz w:val="8"/>
                <w:szCs w:val="8"/>
                <w:color w:val="auto"/>
              </w:rPr>
              <w:t>4,600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13,451</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82"/>
        </w:trPr>
        <w:tc>
          <w:tcPr>
            <w:tcW w:w="6860" w:type="dxa"/>
            <w:vAlign w:val="bottom"/>
          </w:tcPr>
          <w:p>
            <w:pPr>
              <w:ind w:left="240"/>
              <w:spacing w:after="0" w:line="83" w:lineRule="exact"/>
              <w:rPr>
                <w:sz w:val="20"/>
                <w:szCs w:val="20"/>
                <w:color w:val="auto"/>
              </w:rPr>
            </w:pPr>
            <w:r>
              <w:rPr>
                <w:rFonts w:ascii="Arial" w:cs="Arial" w:eastAsia="Arial" w:hAnsi="Arial"/>
                <w:sz w:val="8"/>
                <w:szCs w:val="8"/>
                <w:color w:val="auto"/>
              </w:rPr>
              <w:t>Net income attributable to noncontrolling interests</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ind w:right="439"/>
              <w:spacing w:after="0" w:line="83" w:lineRule="exact"/>
              <w:rPr>
                <w:sz w:val="20"/>
                <w:szCs w:val="20"/>
                <w:color w:val="auto"/>
              </w:rPr>
            </w:pPr>
            <w:r>
              <w:rPr>
                <w:rFonts w:ascii="Arial" w:cs="Arial" w:eastAsia="Arial" w:hAnsi="Arial"/>
                <w:sz w:val="8"/>
                <w:szCs w:val="8"/>
                <w:color w:val="auto"/>
              </w:rPr>
              <w:t>4,249</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79"/>
              <w:spacing w:after="0" w:line="83" w:lineRule="exact"/>
              <w:rPr>
                <w:sz w:val="20"/>
                <w:szCs w:val="20"/>
                <w:color w:val="auto"/>
              </w:rPr>
            </w:pPr>
            <w:r>
              <w:rPr>
                <w:rFonts w:ascii="Arial" w:cs="Arial" w:eastAsia="Arial" w:hAnsi="Arial"/>
                <w:sz w:val="8"/>
                <w:szCs w:val="8"/>
                <w:color w:val="auto"/>
              </w:rPr>
              <w:t>2,266</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100"/>
        </w:trPr>
        <w:tc>
          <w:tcPr>
            <w:tcW w:w="6860" w:type="dxa"/>
            <w:vAlign w:val="bottom"/>
          </w:tcPr>
          <w:p>
            <w:pPr>
              <w:ind w:left="240"/>
              <w:spacing w:after="0"/>
              <w:rPr>
                <w:sz w:val="20"/>
                <w:szCs w:val="20"/>
                <w:color w:val="auto"/>
              </w:rPr>
            </w:pPr>
            <w:r>
              <w:rPr>
                <w:rFonts w:ascii="Arial" w:cs="Arial" w:eastAsia="Arial" w:hAnsi="Arial"/>
                <w:sz w:val="8"/>
                <w:szCs w:val="8"/>
                <w:color w:val="auto"/>
              </w:rPr>
              <w:t>Preferred stock dividends</w:t>
            </w:r>
          </w:p>
        </w:tc>
        <w:tc>
          <w:tcPr>
            <w:tcW w:w="5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8"/>
                <w:szCs w:val="8"/>
                <w:color w:val="auto"/>
              </w:rPr>
              <w:t>3,413</w:t>
            </w: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3,413</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88"/>
        </w:trPr>
        <w:tc>
          <w:tcPr>
            <w:tcW w:w="6860" w:type="dxa"/>
            <w:vAlign w:val="bottom"/>
          </w:tcPr>
          <w:p>
            <w:pPr>
              <w:ind w:left="240"/>
              <w:spacing w:after="0" w:line="89" w:lineRule="exact"/>
              <w:rPr>
                <w:sz w:val="20"/>
                <w:szCs w:val="20"/>
                <w:color w:val="auto"/>
              </w:rPr>
            </w:pPr>
            <w:r>
              <w:rPr>
                <w:rFonts w:ascii="Arial" w:cs="Arial" w:eastAsia="Arial" w:hAnsi="Arial"/>
                <w:sz w:val="8"/>
                <w:szCs w:val="8"/>
                <w:color w:val="auto"/>
              </w:rPr>
              <w:t>NOI</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tcPr>
          <w:p>
            <w:pPr>
              <w:jc w:val="right"/>
              <w:ind w:right="439"/>
              <w:spacing w:after="0" w:line="89" w:lineRule="exact"/>
              <w:rPr>
                <w:sz w:val="20"/>
                <w:szCs w:val="20"/>
                <w:color w:val="auto"/>
              </w:rPr>
            </w:pPr>
            <w:r>
              <w:rPr>
                <w:rFonts w:ascii="Arial" w:cs="Arial" w:eastAsia="Arial" w:hAnsi="Arial"/>
                <w:sz w:val="8"/>
                <w:szCs w:val="8"/>
                <w:color w:val="auto"/>
              </w:rPr>
              <w:t>296,394</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jc w:val="right"/>
              <w:ind w:right="79"/>
              <w:spacing w:after="0" w:line="89" w:lineRule="exact"/>
              <w:rPr>
                <w:sz w:val="20"/>
                <w:szCs w:val="20"/>
                <w:color w:val="auto"/>
              </w:rPr>
            </w:pPr>
            <w:r>
              <w:rPr>
                <w:rFonts w:ascii="Arial" w:cs="Arial" w:eastAsia="Arial" w:hAnsi="Arial"/>
                <w:sz w:val="8"/>
                <w:szCs w:val="8"/>
                <w:color w:val="auto"/>
              </w:rPr>
              <w:t>273,538</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r>
      <w:tr>
        <w:trPr>
          <w:trHeight w:val="216"/>
        </w:trPr>
        <w:tc>
          <w:tcPr>
            <w:tcW w:w="6860" w:type="dxa"/>
            <w:vAlign w:val="bottom"/>
          </w:tcPr>
          <w:p>
            <w:pPr>
              <w:ind w:left="60"/>
              <w:spacing w:after="0"/>
              <w:rPr>
                <w:sz w:val="20"/>
                <w:szCs w:val="20"/>
                <w:color w:val="auto"/>
              </w:rPr>
            </w:pPr>
            <w:r>
              <w:rPr>
                <w:rFonts w:ascii="Arial" w:cs="Arial" w:eastAsia="Arial" w:hAnsi="Arial"/>
                <w:sz w:val="8"/>
                <w:szCs w:val="8"/>
                <w:color w:val="auto"/>
              </w:rPr>
              <w:t xml:space="preserve">Less non-same property NOI </w:t>
            </w:r>
            <w:r>
              <w:rPr>
                <w:rFonts w:ascii="Arial" w:cs="Arial" w:eastAsia="Arial" w:hAnsi="Arial"/>
                <w:sz w:val="11"/>
                <w:szCs w:val="11"/>
                <w:color w:val="auto"/>
                <w:vertAlign w:val="superscript"/>
              </w:rPr>
              <w:t>(3)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99"/>
              <w:spacing w:after="0"/>
              <w:rPr>
                <w:sz w:val="20"/>
                <w:szCs w:val="20"/>
                <w:color w:val="auto"/>
              </w:rPr>
            </w:pPr>
            <w:r>
              <w:rPr>
                <w:rFonts w:ascii="Arial" w:cs="Arial" w:eastAsia="Arial" w:hAnsi="Arial"/>
                <w:sz w:val="8"/>
                <w:szCs w:val="8"/>
                <w:color w:val="auto"/>
              </w:rPr>
              <w:t>(10,760)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79"/>
              <w:spacing w:after="0"/>
              <w:rPr>
                <w:sz w:val="20"/>
                <w:szCs w:val="20"/>
                <w:color w:val="auto"/>
              </w:rPr>
            </w:pPr>
            <w:r>
              <w:rPr>
                <w:rFonts w:ascii="Arial" w:cs="Arial" w:eastAsia="Arial" w:hAnsi="Arial"/>
                <w:sz w:val="8"/>
                <w:szCs w:val="8"/>
                <w:color w:val="auto"/>
              </w:rPr>
              <w:t>135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90"/>
        </w:trPr>
        <w:tc>
          <w:tcPr>
            <w:tcW w:w="6860" w:type="dxa"/>
            <w:vAlign w:val="bottom"/>
          </w:tcPr>
          <w:p>
            <w:pPr>
              <w:ind w:left="240"/>
              <w:spacing w:after="0" w:line="83" w:lineRule="exact"/>
              <w:rPr>
                <w:sz w:val="20"/>
                <w:szCs w:val="20"/>
                <w:color w:val="auto"/>
              </w:rPr>
            </w:pPr>
            <w:r>
              <w:rPr>
                <w:rFonts w:ascii="Arial" w:cs="Arial" w:eastAsia="Arial" w:hAnsi="Arial"/>
                <w:sz w:val="8"/>
                <w:szCs w:val="8"/>
                <w:color w:val="auto"/>
                <w:highlight w:val="black"/>
              </w:rPr>
              <w:t>Same Property NOI</w:t>
            </w:r>
          </w:p>
        </w:tc>
        <w:tc>
          <w:tcPr>
            <w:tcW w:w="540" w:type="dxa"/>
            <w:vAlign w:val="bottom"/>
            <w:tcBorders>
              <w:bottom w:val="single" w:sz="8" w:color="auto"/>
            </w:tcBorders>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2"/>
          </w:tcPr>
          <w:p>
            <w:pPr>
              <w:jc w:val="right"/>
              <w:ind w:right="439"/>
              <w:spacing w:after="0" w:line="63" w:lineRule="exact"/>
              <w:rPr>
                <w:sz w:val="20"/>
                <w:szCs w:val="20"/>
                <w:color w:val="auto"/>
              </w:rPr>
            </w:pPr>
            <w:r>
              <w:rPr>
                <w:rFonts w:ascii="Arial" w:cs="Arial" w:eastAsia="Arial" w:hAnsi="Arial"/>
                <w:sz w:val="7"/>
                <w:szCs w:val="7"/>
                <w:color w:val="auto"/>
              </w:rPr>
              <w:t>285,634</w:t>
            </w: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79"/>
              <w:spacing w:after="0" w:line="63" w:lineRule="exact"/>
              <w:rPr>
                <w:sz w:val="20"/>
                <w:szCs w:val="20"/>
                <w:color w:val="auto"/>
              </w:rPr>
            </w:pPr>
            <w:r>
              <w:rPr>
                <w:rFonts w:ascii="Arial" w:cs="Arial" w:eastAsia="Arial" w:hAnsi="Arial"/>
                <w:sz w:val="7"/>
                <w:szCs w:val="7"/>
                <w:color w:val="auto"/>
              </w:rPr>
              <w:t>273,673</w:t>
            </w:r>
          </w:p>
        </w:tc>
        <w:tc>
          <w:tcPr>
            <w:tcW w:w="860" w:type="dxa"/>
            <w:vAlign w:val="bottom"/>
            <w:gridSpan w:val="2"/>
          </w:tcPr>
          <w:p>
            <w:pPr>
              <w:jc w:val="center"/>
              <w:ind w:left="541"/>
              <w:spacing w:after="0" w:line="63" w:lineRule="exact"/>
              <w:rPr>
                <w:sz w:val="20"/>
                <w:szCs w:val="20"/>
                <w:color w:val="auto"/>
              </w:rPr>
            </w:pPr>
            <w:r>
              <w:rPr>
                <w:rFonts w:ascii="Arial" w:cs="Arial" w:eastAsia="Arial" w:hAnsi="Arial"/>
                <w:sz w:val="7"/>
                <w:szCs w:val="7"/>
                <w:color w:val="auto"/>
              </w:rPr>
              <w:t>4.4%</w:t>
            </w:r>
          </w:p>
        </w:tc>
      </w:tr>
      <w:tr>
        <w:trPr>
          <w:trHeight w:val="206"/>
        </w:trPr>
        <w:tc>
          <w:tcPr>
            <w:tcW w:w="6860" w:type="dxa"/>
            <w:vAlign w:val="bottom"/>
          </w:tcPr>
          <w:p>
            <w:pPr>
              <w:ind w:left="240"/>
              <w:spacing w:after="0"/>
              <w:rPr>
                <w:sz w:val="20"/>
                <w:szCs w:val="20"/>
                <w:color w:val="auto"/>
              </w:rPr>
            </w:pPr>
            <w:r>
              <w:rPr>
                <w:rFonts w:ascii="Arial" w:cs="Arial" w:eastAsia="Arial" w:hAnsi="Arial"/>
                <w:sz w:val="8"/>
                <w:szCs w:val="8"/>
                <w:color w:val="auto"/>
              </w:rPr>
              <w:t>Same Property NOI without Redevelopments</w:t>
            </w:r>
          </w:p>
        </w:tc>
        <w:tc>
          <w:tcPr>
            <w:tcW w:w="540" w:type="dxa"/>
            <w:vAlign w:val="bottom"/>
            <w:tcBorders>
              <w:bottom w:val="single" w:sz="8" w:color="auto"/>
            </w:tcBorders>
          </w:tcPr>
          <w:p>
            <w:pPr>
              <w:jc w:val="right"/>
              <w:ind w:right="47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8"/>
                <w:szCs w:val="8"/>
                <w:color w:val="auto"/>
              </w:rPr>
              <w:t>242,476</w:t>
            </w: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235,922</w:t>
            </w:r>
          </w:p>
        </w:tc>
        <w:tc>
          <w:tcPr>
            <w:tcW w:w="860" w:type="dxa"/>
            <w:vAlign w:val="bottom"/>
            <w:gridSpan w:val="2"/>
          </w:tcPr>
          <w:p>
            <w:pPr>
              <w:jc w:val="center"/>
              <w:ind w:left="541"/>
              <w:spacing w:after="0"/>
              <w:rPr>
                <w:sz w:val="20"/>
                <w:szCs w:val="20"/>
                <w:color w:val="auto"/>
              </w:rPr>
            </w:pPr>
            <w:r>
              <w:rPr>
                <w:rFonts w:ascii="Arial" w:cs="Arial" w:eastAsia="Arial" w:hAnsi="Arial"/>
                <w:sz w:val="8"/>
                <w:szCs w:val="8"/>
                <w:color w:val="auto"/>
              </w:rPr>
              <w:t>2.8%</w:t>
            </w:r>
          </w:p>
        </w:tc>
      </w:tr>
      <w:tr>
        <w:trPr>
          <w:trHeight w:val="198"/>
        </w:trPr>
        <w:tc>
          <w:tcPr>
            <w:tcW w:w="6860" w:type="dxa"/>
            <w:vAlign w:val="bottom"/>
          </w:tcPr>
          <w:p>
            <w:pPr>
              <w:ind w:left="240"/>
              <w:spacing w:after="0"/>
              <w:rPr>
                <w:sz w:val="20"/>
                <w:szCs w:val="20"/>
                <w:color w:val="auto"/>
              </w:rPr>
            </w:pPr>
            <w:r>
              <w:rPr>
                <w:rFonts w:ascii="Arial" w:cs="Arial" w:eastAsia="Arial" w:hAnsi="Arial"/>
                <w:sz w:val="8"/>
                <w:szCs w:val="8"/>
                <w:color w:val="auto"/>
                <w:highlight w:val="black"/>
              </w:rPr>
              <w:t>Expense Recovery Ratio</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59"/>
              <w:spacing w:after="0"/>
              <w:rPr>
                <w:sz w:val="20"/>
                <w:szCs w:val="20"/>
                <w:color w:val="auto"/>
              </w:rPr>
            </w:pPr>
            <w:r>
              <w:rPr>
                <w:rFonts w:ascii="Arial" w:cs="Arial" w:eastAsia="Arial" w:hAnsi="Arial"/>
                <w:sz w:val="8"/>
                <w:szCs w:val="8"/>
                <w:color w:val="auto"/>
              </w:rPr>
              <w:t>86.0%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84.7%</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9"/>
        </w:trPr>
        <w:tc>
          <w:tcPr>
            <w:tcW w:w="6860" w:type="dxa"/>
            <w:vAlign w:val="bottom"/>
          </w:tcPr>
          <w:p>
            <w:pPr>
              <w:ind w:left="240"/>
              <w:spacing w:after="0"/>
              <w:rPr>
                <w:sz w:val="20"/>
                <w:szCs w:val="20"/>
                <w:color w:val="auto"/>
              </w:rPr>
            </w:pPr>
            <w:r>
              <w:rPr>
                <w:rFonts w:ascii="Arial" w:cs="Arial" w:eastAsia="Arial" w:hAnsi="Arial"/>
                <w:sz w:val="8"/>
                <w:szCs w:val="8"/>
                <w:color w:val="auto"/>
                <w:highlight w:val="black"/>
              </w:rPr>
              <w:t>NOI Margin</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59"/>
              <w:spacing w:after="0"/>
              <w:rPr>
                <w:sz w:val="20"/>
                <w:szCs w:val="20"/>
                <w:color w:val="auto"/>
              </w:rPr>
            </w:pPr>
            <w:r>
              <w:rPr>
                <w:rFonts w:ascii="Arial" w:cs="Arial" w:eastAsia="Arial" w:hAnsi="Arial"/>
                <w:sz w:val="8"/>
                <w:szCs w:val="8"/>
                <w:color w:val="auto"/>
              </w:rPr>
              <w:t>68.5%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69.1%</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169" w:lineRule="exact"/>
        <w:rPr>
          <w:sz w:val="20"/>
          <w:szCs w:val="20"/>
          <w:color w:val="auto"/>
        </w:rPr>
      </w:pPr>
    </w:p>
    <w:p>
      <w:pPr>
        <w:ind w:left="308" w:hanging="308"/>
        <w:spacing w:after="0"/>
        <w:tabs>
          <w:tab w:leader="none" w:pos="308" w:val="left"/>
        </w:tabs>
        <w:numPr>
          <w:ilvl w:val="0"/>
          <w:numId w:val="30"/>
        </w:numPr>
        <w:rPr>
          <w:rFonts w:ascii="Arial" w:cs="Arial" w:eastAsia="Arial" w:hAnsi="Arial"/>
          <w:sz w:val="13"/>
          <w:szCs w:val="13"/>
          <w:color w:val="auto"/>
          <w:vertAlign w:val="superscript"/>
        </w:rPr>
      </w:pPr>
      <w:r>
        <w:rPr>
          <w:rFonts w:ascii="Arial" w:cs="Arial" w:eastAsia="Arial" w:hAnsi="Arial"/>
          <w:sz w:val="9"/>
          <w:szCs w:val="9"/>
          <w:color w:val="auto"/>
        </w:rPr>
        <w:t>Includes straight-line rental income and expense, net of reserves, above and below market rent amortization, other fees, and noncontrolling interests.</w:t>
      </w:r>
    </w:p>
    <w:p>
      <w:pPr>
        <w:spacing w:after="0" w:line="59" w:lineRule="exact"/>
        <w:rPr>
          <w:rFonts w:ascii="Arial" w:cs="Arial" w:eastAsia="Arial" w:hAnsi="Arial"/>
          <w:sz w:val="13"/>
          <w:szCs w:val="13"/>
          <w:color w:val="auto"/>
          <w:vertAlign w:val="superscript"/>
        </w:rPr>
      </w:pPr>
    </w:p>
    <w:p>
      <w:pPr>
        <w:ind w:left="308" w:right="40" w:hanging="308"/>
        <w:spacing w:after="0"/>
        <w:tabs>
          <w:tab w:leader="none" w:pos="308" w:val="left"/>
        </w:tabs>
        <w:numPr>
          <w:ilvl w:val="0"/>
          <w:numId w:val="30"/>
        </w:numPr>
        <w:rPr>
          <w:rFonts w:ascii="Arial" w:cs="Arial" w:eastAsia="Arial" w:hAnsi="Arial"/>
          <w:sz w:val="13"/>
          <w:szCs w:val="13"/>
          <w:color w:val="auto"/>
          <w:vertAlign w:val="superscript"/>
        </w:rPr>
      </w:pPr>
      <w:r>
        <w:rPr>
          <w:rFonts w:ascii="Arial" w:cs="Arial" w:eastAsia="Arial" w:hAnsi="Arial"/>
          <w:sz w:val="9"/>
          <w:szCs w:val="9"/>
          <w:color w:val="auto"/>
        </w:rPr>
        <w:t>Includes non-NOI expenses incurred at our unconsolidated real estate partnerships, such as, but not limited to, straight-line rental income, above and below market rent amortization, depreciation and amortization, interest expense, and real estate gains and impairments.</w:t>
      </w:r>
    </w:p>
    <w:p>
      <w:pPr>
        <w:spacing w:after="0" w:line="66" w:lineRule="exact"/>
        <w:rPr>
          <w:rFonts w:ascii="Arial" w:cs="Arial" w:eastAsia="Arial" w:hAnsi="Arial"/>
          <w:sz w:val="13"/>
          <w:szCs w:val="13"/>
          <w:color w:val="auto"/>
          <w:vertAlign w:val="superscript"/>
        </w:rPr>
      </w:pPr>
    </w:p>
    <w:p>
      <w:pPr>
        <w:ind w:left="308" w:hanging="308"/>
        <w:spacing w:after="0"/>
        <w:tabs>
          <w:tab w:leader="none" w:pos="308" w:val="left"/>
        </w:tabs>
        <w:numPr>
          <w:ilvl w:val="0"/>
          <w:numId w:val="30"/>
        </w:numPr>
        <w:rPr>
          <w:rFonts w:ascii="Arial" w:cs="Arial" w:eastAsia="Arial" w:hAnsi="Arial"/>
          <w:sz w:val="13"/>
          <w:szCs w:val="13"/>
          <w:color w:val="auto"/>
          <w:vertAlign w:val="superscript"/>
        </w:rPr>
      </w:pPr>
      <w:r>
        <w:rPr>
          <w:rFonts w:ascii="Arial" w:cs="Arial" w:eastAsia="Arial" w:hAnsi="Arial"/>
          <w:sz w:val="9"/>
          <w:szCs w:val="9"/>
          <w:color w:val="auto"/>
        </w:rPr>
        <w:t>Includes revenues and expenses attributable to Non-Same Property, Property in Development, termination fees, corporate activities, and noncontrolling interests.</w:t>
      </w:r>
    </w:p>
    <w:p>
      <w:pPr>
        <w:spacing w:after="0" w:line="168" w:lineRule="exact"/>
        <w:rPr>
          <w:sz w:val="20"/>
          <w:szCs w:val="20"/>
          <w:color w:val="auto"/>
        </w:rPr>
      </w:pPr>
    </w:p>
    <w:p>
      <w:pPr>
        <w:ind w:left="8" w:right="80"/>
        <w:spacing w:after="0" w:line="228" w:lineRule="auto"/>
        <w:rPr>
          <w:sz w:val="20"/>
          <w:szCs w:val="20"/>
          <w:color w:val="auto"/>
        </w:rPr>
      </w:pPr>
      <w:r>
        <w:rPr>
          <w:rFonts w:ascii="Arial" w:cs="Arial" w:eastAsia="Arial" w:hAnsi="Arial"/>
          <w:sz w:val="12"/>
          <w:szCs w:val="12"/>
          <w:color w:val="auto"/>
        </w:rPr>
        <w:t>Same Property NOI is a key non-GAAP pro-rata measure used by management in evaluating the operating performance of Regency’s properties. The Company provides a reconciliation of Net Income Attributable to Common Shareholders to Same Property NOI.</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Reported results are preliminary and not final until the filing of the Company’s Form 10-Q with the SEC and, therefore, remain subject to adjustment.</w:t>
      </w:r>
    </w:p>
    <w:p>
      <w:pPr>
        <w:spacing w:after="0" w:line="172" w:lineRule="exact"/>
        <w:rPr>
          <w:sz w:val="20"/>
          <w:szCs w:val="20"/>
          <w:color w:val="auto"/>
        </w:rPr>
      </w:pPr>
    </w:p>
    <w:p>
      <w:pPr>
        <w:ind w:left="8" w:right="80"/>
        <w:spacing w:after="0" w:line="244" w:lineRule="auto"/>
        <w:rPr>
          <w:sz w:val="20"/>
          <w:szCs w:val="20"/>
          <w:color w:val="auto"/>
        </w:rPr>
      </w:pPr>
      <w:r>
        <w:rPr>
          <w:rFonts w:ascii="Arial" w:cs="Arial" w:eastAsia="Arial" w:hAnsi="Arial"/>
          <w:sz w:val="12"/>
          <w:szCs w:val="12"/>
          <w:color w:val="auto"/>
        </w:rPr>
        <w:t>The Company has published additional financial information in its first quarter 2026 supplemental package that may help investors estimate earnings. A copy of the Company’s first quarter 2026 supplemental package will be available on the Company's website at investors.regencycenters.com or by written request to: Investor Relations, Regency Centers Corporation, One Independent Drive, Suite 114, Jacksonville, Florida, 32202. The supplemental package contains more detailed financial and property results including financial statements, an outstanding debt summary, acquisition and development activity, investments in partnerships, information pertaining to securities issued other than common stock, property details, a significant tenant rent report and a lease expiration table in addition to earnings and valuation guidance assumptions. The information provided in the supplemental package is unaudited and includes non-GAAP measures, and there can be no assurance that the information will not vary from the final information in the Company’s Form 10-Q for the period ended March 31, 2026. Regency may, but assumes no obligation to, update information in the supplemental package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718820</wp:posOffset>
            </wp:positionV>
            <wp:extent cx="287020" cy="154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321310</wp:posOffset>
            </wp:positionV>
            <wp:extent cx="720280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color w:val="auto"/>
        </w:rPr>
        <w:t>Non-GAAP Financial Measures</w:t>
      </w:r>
    </w:p>
    <w:p>
      <w:pPr>
        <w:spacing w:after="0" w:line="90" w:lineRule="exact"/>
        <w:rPr>
          <w:sz w:val="20"/>
          <w:szCs w:val="20"/>
          <w:color w:val="auto"/>
        </w:rPr>
      </w:pPr>
    </w:p>
    <w:p>
      <w:pPr>
        <w:ind w:right="280"/>
        <w:spacing w:after="0" w:line="227" w:lineRule="auto"/>
        <w:rPr>
          <w:sz w:val="20"/>
          <w:szCs w:val="20"/>
          <w:color w:val="auto"/>
        </w:rPr>
      </w:pPr>
      <w:r>
        <w:rPr>
          <w:rFonts w:ascii="Arial" w:cs="Arial" w:eastAsia="Arial" w:hAnsi="Arial"/>
          <w:sz w:val="10"/>
          <w:szCs w:val="10"/>
          <w:color w:val="auto"/>
        </w:rPr>
        <w:t>We believe these non-GAAP measures provide useful information to our Board of Directors, management and investors regarding certain trends relating to our financial condition and results of operations. Our management uses these non-GAAP financial measures to compare our performance to that of prior periods for trend analyses, purposes of determining management incentive compensation and budgeting, forecasting and planning purposes.</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0"/>
          <w:szCs w:val="10"/>
          <w:color w:val="auto"/>
        </w:rPr>
        <w:t>We do not consider non-GAAP financial measures an alternative to financial measures determined in accordance with GAAP, rather they supplement GAAP measures by providing additional information we believe to be useful to our shareholders. The principal limitation of these non-GAAP financial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financial measures. In order to compensate for these limitations, reconciliations of the non-GAAP financial measures we use to their most directly comparable GAAP measures are provided. Non-GAAP financial measures should not be relied upon in evaluating the financial condition, results of operations or future prospects of the Company.</w:t>
      </w:r>
    </w:p>
    <w:p>
      <w:pPr>
        <w:spacing w:after="0" w:line="90" w:lineRule="exact"/>
        <w:rPr>
          <w:sz w:val="20"/>
          <w:szCs w:val="20"/>
          <w:color w:val="auto"/>
        </w:rPr>
      </w:pPr>
    </w:p>
    <w:p>
      <w:pPr>
        <w:ind w:right="80"/>
        <w:spacing w:after="0" w:line="239" w:lineRule="auto"/>
        <w:rPr>
          <w:sz w:val="20"/>
          <w:szCs w:val="20"/>
          <w:color w:val="auto"/>
        </w:rPr>
      </w:pPr>
      <w:r>
        <w:rPr>
          <w:rFonts w:ascii="Arial" w:cs="Arial" w:eastAsia="Arial" w:hAnsi="Arial"/>
          <w:sz w:val="10"/>
          <w:szCs w:val="10"/>
          <w:color w:val="auto"/>
        </w:rPr>
        <w:t>Nareit FFO is a commonly used measure of REIT performance, which the National Association of Real Estate Investment Trusts (“Nareit”) defines as net income, computed in accordance with GAAP, excluding gains on sales and impairments of real estate, net of tax, plus depreciation and amortization related to real estate, and after adjustments for unconsolidated real estate partnerships and joint ventures. Regency computes Nareit FFO for all periods presented in accordance with Nareit's definition. Since Nareit FFO excludes depreciation and amortization and gains on sales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 The Company provides a reconciliation of Net Income Attributable to Common Shareholders to Nareit FFO.</w:t>
      </w:r>
    </w:p>
    <w:p>
      <w:pPr>
        <w:spacing w:after="0" w:line="91" w:lineRule="exact"/>
        <w:rPr>
          <w:sz w:val="20"/>
          <w:szCs w:val="20"/>
          <w:color w:val="auto"/>
        </w:rPr>
      </w:pPr>
    </w:p>
    <w:p>
      <w:pPr>
        <w:ind w:right="100"/>
        <w:spacing w:after="0" w:line="233" w:lineRule="auto"/>
        <w:rPr>
          <w:sz w:val="20"/>
          <w:szCs w:val="20"/>
          <w:color w:val="auto"/>
        </w:rPr>
      </w:pPr>
      <w:r>
        <w:rPr>
          <w:rFonts w:ascii="Arial" w:cs="Arial" w:eastAsia="Arial" w:hAnsi="Arial"/>
          <w:sz w:val="10"/>
          <w:szCs w:val="10"/>
          <w:color w:val="auto"/>
        </w:rPr>
        <w:t>Core Operating Earnings is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spacing w:after="0" w:line="90" w:lineRule="exact"/>
        <w:rPr>
          <w:sz w:val="20"/>
          <w:szCs w:val="20"/>
          <w:color w:val="auto"/>
        </w:rPr>
      </w:pPr>
    </w:p>
    <w:p>
      <w:pPr>
        <w:ind w:right="120"/>
        <w:spacing w:after="0" w:line="233" w:lineRule="auto"/>
        <w:rPr>
          <w:sz w:val="20"/>
          <w:szCs w:val="20"/>
          <w:color w:val="auto"/>
        </w:rPr>
      </w:pPr>
      <w:r>
        <w:rPr>
          <w:rFonts w:ascii="Arial" w:cs="Arial" w:eastAsia="Arial" w:hAnsi="Arial"/>
          <w:sz w:val="10"/>
          <w:szCs w:val="10"/>
          <w:color w:val="auto"/>
        </w:rPr>
        <w:t>Adjusted Funds From Operations (“AFFO”) is an additional performance measure used by Regency that reflects cash available to fund the Company’s business needs and distribution to shareholders. AFFO is calculated by adjusting Core Operating Earnings ("COE") for (i) capital expenditures necessary to maintain and lease the Company’s portfolio of properties, (ii) debt cost and derivative adjustments and (iii) stock-based compensation. The Company provides a reconciliation of Net Income Attributable to Common Shareholders to Nareit FFO, to Core Operating Earnings, and to Adjusted Funds from Operations.</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10"/>
          <w:szCs w:val="10"/>
          <w:color w:val="auto"/>
        </w:rPr>
        <w:t>Net Operating Income (NOI) is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The Company also provides disclosure of NOI excluding termination fees, which excludes both termination fee income and expenses.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0"/>
          <w:szCs w:val="10"/>
          <w:color w:val="auto"/>
          <w:highlight w:val="black"/>
        </w:rPr>
        <w:t xml:space="preserve">Pro-rata information: </w:t>
      </w:r>
      <w:r>
        <w:rPr>
          <w:rFonts w:ascii="Arial" w:cs="Arial" w:eastAsia="Arial" w:hAnsi="Arial"/>
          <w:sz w:val="10"/>
          <w:szCs w:val="10"/>
          <w:color w:val="auto"/>
        </w:rPr>
        <w:t>includes 100% of the Company’s consolidated properties plus its economic share (based on the ownership interest) in the unconsolidated real estate investment partnerships. The Company provides Pro-rata financial</w:t>
      </w:r>
      <w:r>
        <w:rPr>
          <w:rFonts w:ascii="Arial" w:cs="Arial" w:eastAsia="Arial" w:hAnsi="Arial"/>
          <w:sz w:val="10"/>
          <w:szCs w:val="10"/>
          <w:color w:val="auto"/>
          <w:highlight w:val="black"/>
        </w:rPr>
        <w:t xml:space="preserve"> </w:t>
      </w:r>
      <w:r>
        <w:rPr>
          <w:rFonts w:ascii="Arial" w:cs="Arial" w:eastAsia="Arial" w:hAnsi="Arial"/>
          <w:sz w:val="10"/>
          <w:szCs w:val="10"/>
          <w:color w:val="auto"/>
        </w:rPr>
        <w:t>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-305435</wp:posOffset>
            </wp:positionV>
            <wp:extent cx="6026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2615" cy="5715"/>
                    </a:xfrm>
                    <a:prstGeom prst="rect">
                      <a:avLst/>
                    </a:prstGeom>
                    <a:noFill/>
                  </pic:spPr>
                </pic:pic>
              </a:graphicData>
            </a:graphic>
          </wp:anchor>
        </w:drawing>
      </w:r>
    </w:p>
    <w:p>
      <w:pPr>
        <w:spacing w:after="0" w:line="70" w:lineRule="exact"/>
        <w:rPr>
          <w:sz w:val="20"/>
          <w:szCs w:val="20"/>
          <w:color w:val="auto"/>
        </w:rPr>
      </w:pPr>
    </w:p>
    <w:p>
      <w:pPr>
        <w:ind w:right="360"/>
        <w:spacing w:after="0" w:line="236" w:lineRule="auto"/>
        <w:rPr>
          <w:sz w:val="20"/>
          <w:szCs w:val="20"/>
          <w:color w:val="auto"/>
        </w:rPr>
      </w:pPr>
      <w:r>
        <w:rPr>
          <w:rFonts w:ascii="Arial" w:cs="Arial" w:eastAsia="Arial" w:hAnsi="Arial"/>
          <w:sz w:val="10"/>
          <w:szCs w:val="10"/>
          <w:color w:val="auto"/>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44450</wp:posOffset>
            </wp:positionV>
            <wp:extent cx="287020" cy="154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7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321310</wp:posOffset>
            </wp:positionV>
            <wp:extent cx="720280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878" w:right="299" w:bottom="1440" w:gutter="0" w:footer="0" w:header="0"/>
        </w:sectPr>
      </w:pPr>
    </w:p>
    <w:bookmarkStart w:id="20" w:name="page21"/>
    <w:bookmarkEnd w:id="20"/>
    <w:p>
      <w:pPr>
        <w:spacing w:after="0"/>
        <w:rPr>
          <w:sz w:val="20"/>
          <w:szCs w:val="20"/>
          <w:color w:val="auto"/>
        </w:rPr>
      </w:pPr>
      <w:r>
        <w:rPr>
          <w:rFonts w:ascii="Arial" w:cs="Arial" w:eastAsia="Arial" w:hAnsi="Arial"/>
          <w:sz w:val="10"/>
          <w:szCs w:val="10"/>
          <w:color w:val="auto"/>
        </w:rPr>
        <w:t>The presentation of Pro-rata information has limitations which include, but are not limited to, the following:</w:t>
      </w:r>
    </w:p>
    <w:p>
      <w:pPr>
        <w:spacing w:after="0" w:line="77" w:lineRule="exact"/>
        <w:rPr>
          <w:sz w:val="20"/>
          <w:szCs w:val="20"/>
          <w:color w:val="auto"/>
        </w:rPr>
      </w:pPr>
    </w:p>
    <w:p>
      <w:pPr>
        <w:ind w:left="1020" w:right="160" w:hanging="516"/>
        <w:spacing w:after="0" w:line="239" w:lineRule="auto"/>
        <w:tabs>
          <w:tab w:leader="none" w:pos="1020" w:val="left"/>
        </w:tabs>
        <w:numPr>
          <w:ilvl w:val="0"/>
          <w:numId w:val="31"/>
        </w:numPr>
        <w:rPr>
          <w:rFonts w:ascii="Times New Roman" w:cs="Times New Roman" w:eastAsia="Times New Roman" w:hAnsi="Times New Roman"/>
          <w:sz w:val="10"/>
          <w:szCs w:val="10"/>
          <w:color w:val="auto"/>
        </w:rPr>
      </w:pPr>
      <w:r>
        <w:rPr>
          <w:rFonts w:ascii="Arial" w:cs="Arial" w:eastAsia="Arial" w:hAnsi="Arial"/>
          <w:sz w:val="10"/>
          <w:szCs w:val="10"/>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53" w:lineRule="exact"/>
        <w:rPr>
          <w:rFonts w:ascii="Times New Roman" w:cs="Times New Roman" w:eastAsia="Times New Roman" w:hAnsi="Times New Roman"/>
          <w:sz w:val="10"/>
          <w:szCs w:val="10"/>
          <w:color w:val="auto"/>
        </w:rPr>
      </w:pPr>
    </w:p>
    <w:p>
      <w:pPr>
        <w:ind w:left="1020" w:hanging="516"/>
        <w:spacing w:after="0"/>
        <w:tabs>
          <w:tab w:leader="none" w:pos="1020" w:val="left"/>
        </w:tabs>
        <w:numPr>
          <w:ilvl w:val="0"/>
          <w:numId w:val="31"/>
        </w:numPr>
        <w:rPr>
          <w:rFonts w:ascii="Times New Roman" w:cs="Times New Roman" w:eastAsia="Times New Roman" w:hAnsi="Times New Roman"/>
          <w:sz w:val="10"/>
          <w:szCs w:val="10"/>
          <w:color w:val="auto"/>
        </w:rPr>
      </w:pPr>
      <w:r>
        <w:rPr>
          <w:rFonts w:ascii="Arial" w:cs="Arial" w:eastAsia="Arial" w:hAnsi="Arial"/>
          <w:sz w:val="10"/>
          <w:szCs w:val="10"/>
          <w:color w:val="auto"/>
        </w:rPr>
        <w:t>Other companies in our industry may calculate their Pro-rata interest differently, limiting the comparability of Pro-rata information.</w:t>
      </w:r>
    </w:p>
    <w:p>
      <w:pPr>
        <w:spacing w:after="0" w:line="111" w:lineRule="exact"/>
        <w:rPr>
          <w:sz w:val="20"/>
          <w:szCs w:val="20"/>
          <w:color w:val="auto"/>
        </w:rPr>
      </w:pPr>
    </w:p>
    <w:p>
      <w:pPr>
        <w:ind w:right="140"/>
        <w:spacing w:after="0" w:line="227" w:lineRule="auto"/>
        <w:rPr>
          <w:sz w:val="20"/>
          <w:szCs w:val="20"/>
          <w:color w:val="auto"/>
        </w:rPr>
      </w:pPr>
      <w:r>
        <w:rPr>
          <w:rFonts w:ascii="Arial" w:cs="Arial" w:eastAsia="Arial" w:hAnsi="Arial"/>
          <w:sz w:val="10"/>
          <w:szCs w:val="10"/>
          <w:color w:val="auto"/>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spacing w:after="0" w:line="90" w:lineRule="exact"/>
        <w:rPr>
          <w:sz w:val="20"/>
          <w:szCs w:val="20"/>
          <w:color w:val="auto"/>
        </w:rPr>
      </w:pPr>
    </w:p>
    <w:p>
      <w:pPr>
        <w:ind w:right="40"/>
        <w:spacing w:after="0" w:line="238" w:lineRule="auto"/>
        <w:rPr>
          <w:sz w:val="20"/>
          <w:szCs w:val="20"/>
          <w:color w:val="auto"/>
        </w:rPr>
      </w:pPr>
      <w:r>
        <w:rPr>
          <w:rFonts w:ascii="Arial" w:cs="Arial" w:eastAsia="Arial" w:hAnsi="Arial"/>
          <w:sz w:val="10"/>
          <w:szCs w:val="10"/>
          <w:color w:val="auto"/>
        </w:rPr>
        <w:t>Same Property NOI is a key non-GAAP financial measure commonly used by real estate investment trusts (REITs) to evaluate operating performance. It is calculated on a Pro-rata ownership basis for properties owned and operated for the entirety of both the current and prior comparable reporting periods. 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 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Forward-Looking Statements</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0"/>
          <w:szCs w:val="10"/>
          <w:color w:val="auto"/>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 These risks and events include, without limitation:</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Current Economic and Geopolitical Environments</w:t>
      </w:r>
    </w:p>
    <w:p>
      <w:pPr>
        <w:spacing w:after="0" w:line="90" w:lineRule="exact"/>
        <w:rPr>
          <w:sz w:val="20"/>
          <w:szCs w:val="20"/>
          <w:color w:val="auto"/>
        </w:rPr>
      </w:pPr>
    </w:p>
    <w:p>
      <w:pPr>
        <w:jc w:val="both"/>
        <w:ind w:right="60"/>
        <w:spacing w:after="0" w:line="233" w:lineRule="auto"/>
        <w:rPr>
          <w:sz w:val="20"/>
          <w:szCs w:val="20"/>
          <w:color w:val="auto"/>
        </w:rPr>
      </w:pPr>
      <w:r>
        <w:rPr>
          <w:rFonts w:ascii="Arial" w:cs="Arial" w:eastAsia="Arial" w:hAnsi="Arial"/>
          <w:sz w:val="10"/>
          <w:szCs w:val="10"/>
          <w:color w:val="auto"/>
        </w:rPr>
        <w:t>Macroeconomic, political, and geopolitical conditions and governmental policies may adversely impact consumer confidence and spending and the businesses of our tenants and could, in turn, adversely impact our business. Changes in interest rates may adversely impact our cost to borrow, real estate valuation, stock price, and ability to raise capital through issuance of debt and equity. Unfavorable developments that may affect the banking and financial services industry could adversely affect our business, liquidity and financial condition, and overall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Pandemics or other Public Health Crises</w:t>
      </w:r>
    </w:p>
    <w:p>
      <w:pPr>
        <w:spacing w:after="0" w:line="90" w:lineRule="exact"/>
        <w:rPr>
          <w:sz w:val="20"/>
          <w:szCs w:val="20"/>
          <w:color w:val="auto"/>
        </w:rPr>
      </w:pPr>
    </w:p>
    <w:p>
      <w:pPr>
        <w:ind w:right="240"/>
        <w:spacing w:after="0" w:line="227" w:lineRule="auto"/>
        <w:rPr>
          <w:sz w:val="20"/>
          <w:szCs w:val="20"/>
          <w:color w:val="auto"/>
        </w:rPr>
      </w:pPr>
      <w:r>
        <w:rPr>
          <w:rFonts w:ascii="Arial" w:cs="Arial" w:eastAsia="Arial" w:hAnsi="Arial"/>
          <w:sz w:val="10"/>
          <w:szCs w:val="10"/>
          <w:color w:val="auto"/>
        </w:rPr>
        <w:t>Pandemics or other public health crises may adversely affect our tenants' financial condition, the profitability of our properties, and our access to the capital markets and could have a material adverse effect on our business, results of operations, cash flows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Operating Retail-Based Shopping Centers</w:t>
      </w:r>
    </w:p>
    <w:p>
      <w:pPr>
        <w:spacing w:after="0" w:line="90" w:lineRule="exact"/>
        <w:rPr>
          <w:sz w:val="20"/>
          <w:szCs w:val="20"/>
          <w:color w:val="auto"/>
        </w:rPr>
      </w:pPr>
    </w:p>
    <w:p>
      <w:pPr>
        <w:ind w:right="20"/>
        <w:spacing w:after="0" w:line="238" w:lineRule="auto"/>
        <w:rPr>
          <w:sz w:val="20"/>
          <w:szCs w:val="20"/>
          <w:color w:val="auto"/>
        </w:rPr>
      </w:pPr>
      <w:r>
        <w:rPr>
          <w:rFonts w:ascii="Arial" w:cs="Arial" w:eastAsia="Arial" w:hAnsi="Arial"/>
          <w:sz w:val="10"/>
          <w:szCs w:val="10"/>
          <w:color w:val="auto"/>
        </w:rPr>
        <w:t>Shifts in retail trends, sales, and delivery methods between brick and mortar stores, e-commerce, home delivery, and curbside pick-up, as well as autonomous delivery systems, may adversely impact our revenues, results of operations, and cash flows. Changing economic and retail market conditions in geographic areas where our properties are concentrated may reduce our revenues and cash flow. Our success depends on the continued presence and success of our "anchor" tenants. A percentage of our revenues are derived from "local" tenants and our net income may be adversely impacted if these tenants are not successful, or if the demand for the types or mix of tenants significantly change. We may be unable to collect balances due from tenants in bankruptcy. Many of our costs and expenses associated with operating our properties may remain constant or increase, even if our lease income decreases. Compliance with the Americans with Disabilities Act and other building, fire, and safety regulations may have an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302260</wp:posOffset>
            </wp:positionV>
            <wp:extent cx="287020" cy="154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321310</wp:posOffset>
            </wp:positionV>
            <wp:extent cx="720280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841" w:right="299" w:bottom="1440" w:gutter="0" w:footer="0" w:header="0"/>
        </w:sectPr>
      </w:pPr>
    </w:p>
    <w:bookmarkStart w:id="21" w:name="page22"/>
    <w:bookmarkEnd w:id="21"/>
    <w:p>
      <w:pPr>
        <w:spacing w:after="0"/>
        <w:rPr>
          <w:sz w:val="20"/>
          <w:szCs w:val="20"/>
          <w:color w:val="auto"/>
        </w:rPr>
      </w:pPr>
      <w:r>
        <w:rPr>
          <w:rFonts w:ascii="Arial" w:cs="Arial" w:eastAsia="Arial" w:hAnsi="Arial"/>
          <w:sz w:val="10"/>
          <w:szCs w:val="10"/>
          <w:color w:val="auto"/>
        </w:rPr>
        <w:t>Risk Factors Related to Real Estate Investments</w:t>
      </w:r>
    </w:p>
    <w:p>
      <w:pPr>
        <w:spacing w:after="0" w:line="90" w:lineRule="exact"/>
        <w:rPr>
          <w:sz w:val="20"/>
          <w:szCs w:val="20"/>
          <w:color w:val="auto"/>
        </w:rPr>
      </w:pPr>
    </w:p>
    <w:p>
      <w:pPr>
        <w:ind w:right="260"/>
        <w:spacing w:after="0" w:line="233" w:lineRule="auto"/>
        <w:rPr>
          <w:sz w:val="20"/>
          <w:szCs w:val="20"/>
          <w:color w:val="auto"/>
        </w:rPr>
      </w:pPr>
      <w:r>
        <w:rPr>
          <w:rFonts w:ascii="Arial" w:cs="Arial" w:eastAsia="Arial" w:hAnsi="Arial"/>
          <w:sz w:val="10"/>
          <w:szCs w:val="10"/>
          <w:color w:val="auto"/>
        </w:rPr>
        <w:t>Our real estate assets may decline in value and be subject to impairment losses which may reduce our net income. We face risks associated with development, redevelopment, and expansion of properties. We face risks associated with the development of mixed-use commercial properties. We face risks associated with the acquisition of properties. We may be unable to sell properties when desired because of market conditions. Changes in tax laws could impact our acquisition or disposition of real estate.</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Environment Affecting Our Properties</w:t>
      </w:r>
    </w:p>
    <w:p>
      <w:pPr>
        <w:spacing w:after="0" w:line="90" w:lineRule="exact"/>
        <w:rPr>
          <w:sz w:val="20"/>
          <w:szCs w:val="20"/>
          <w:color w:val="auto"/>
        </w:rPr>
      </w:pPr>
    </w:p>
    <w:p>
      <w:pPr>
        <w:ind w:right="120"/>
        <w:spacing w:after="0" w:line="227" w:lineRule="auto"/>
        <w:rPr>
          <w:sz w:val="20"/>
          <w:szCs w:val="20"/>
          <w:color w:val="auto"/>
        </w:rPr>
      </w:pPr>
      <w:r>
        <w:rPr>
          <w:rFonts w:ascii="Arial" w:cs="Arial" w:eastAsia="Arial" w:hAnsi="Arial"/>
          <w:sz w:val="10"/>
          <w:szCs w:val="10"/>
          <w:color w:val="auto"/>
        </w:rPr>
        <w:t>Climate change may adversely impact our properties, some of which may be more vulnerable due to their geographic location, and may lead to additional compliance obligations and costs. Costs of environmental remediation may adversely impact our financial performance and reduce our cash flow.</w:t>
      </w:r>
    </w:p>
    <w:p>
      <w:pPr>
        <w:spacing w:after="0" w:line="111"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Corporate Matters</w:t>
      </w:r>
    </w:p>
    <w:p>
      <w:pPr>
        <w:spacing w:after="0" w:line="90" w:lineRule="exact"/>
        <w:rPr>
          <w:sz w:val="20"/>
          <w:szCs w:val="20"/>
          <w:color w:val="auto"/>
        </w:rPr>
      </w:pPr>
    </w:p>
    <w:p>
      <w:pPr>
        <w:ind w:right="80"/>
        <w:spacing w:after="0" w:line="227" w:lineRule="auto"/>
        <w:rPr>
          <w:sz w:val="20"/>
          <w:szCs w:val="20"/>
          <w:color w:val="auto"/>
        </w:rPr>
      </w:pPr>
      <w:r>
        <w:rPr>
          <w:rFonts w:ascii="Arial" w:cs="Arial" w:eastAsia="Arial" w:hAnsi="Arial"/>
          <w:sz w:val="10"/>
          <w:szCs w:val="10"/>
          <w:color w:val="auto"/>
        </w:rPr>
        <w:t>An increased and differing focus on metrics and reporting related to environmental, social and governance ("ESG") factors by investors, lenders and other stakeholders may impose additional costs and expose us to new risks. An uninsured loss or a loss that exceeds the insurance coverage on our properties may subject us to loss of capital and revenue on those properties. Failure to attract and retain key personnel may adversely affect our business and operations.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Our Partnerships and Joint Ventures</w:t>
      </w:r>
    </w:p>
    <w:p>
      <w:pPr>
        <w:spacing w:after="0" w:line="90" w:lineRule="exact"/>
        <w:rPr>
          <w:sz w:val="20"/>
          <w:szCs w:val="20"/>
          <w:color w:val="auto"/>
        </w:rPr>
      </w:pPr>
    </w:p>
    <w:p>
      <w:pPr>
        <w:ind w:right="240"/>
        <w:spacing w:after="0" w:line="227" w:lineRule="auto"/>
        <w:rPr>
          <w:sz w:val="20"/>
          <w:szCs w:val="20"/>
          <w:color w:val="auto"/>
        </w:rPr>
      </w:pPr>
      <w:r>
        <w:rPr>
          <w:rFonts w:ascii="Arial" w:cs="Arial" w:eastAsia="Arial" w:hAnsi="Arial"/>
          <w:sz w:val="10"/>
          <w:szCs w:val="10"/>
          <w:color w:val="auto"/>
        </w:rPr>
        <w:t>We do not have voting control over all of the properties owned in our real estate partnerships and joint ventures, so we are unable to ensure that our objectives will be pursued. The termination of our partnerships may adversely affect our cash flow, operating results, and our ability to make distributions to stock and unit holders.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Funding Strategies and Capital Structure</w:t>
      </w:r>
    </w:p>
    <w:p>
      <w:pPr>
        <w:spacing w:after="0" w:line="90" w:lineRule="exact"/>
        <w:rPr>
          <w:sz w:val="20"/>
          <w:szCs w:val="20"/>
          <w:color w:val="auto"/>
        </w:rPr>
      </w:pPr>
    </w:p>
    <w:p>
      <w:pPr>
        <w:ind w:right="20"/>
        <w:spacing w:after="0" w:line="236" w:lineRule="auto"/>
        <w:rPr>
          <w:sz w:val="20"/>
          <w:szCs w:val="20"/>
          <w:color w:val="auto"/>
        </w:rPr>
      </w:pPr>
      <w:r>
        <w:rPr>
          <w:rFonts w:ascii="Arial" w:cs="Arial" w:eastAsia="Arial" w:hAnsi="Arial"/>
          <w:sz w:val="10"/>
          <w:szCs w:val="10"/>
          <w:color w:val="auto"/>
        </w:rPr>
        <w:t>Our ability to sell properties and fund acquisitions and developments may be adversely impacted by higher market capitalization rates and lower NOI at our properties which may adversely affect results of operations and financial condition. We depend on external sources of capital, which may not be available in the future on favorable terms or at all. Our debt financing may adversely affect our business and financial condition. Covenants in our debt agreements may restrict our operating activities and adversely affect our financial condition. Increases in interest rates would cause our borrowing costs to rise and negatively impact our results of operations. Hedging activity may expose us to risks, including the risks that a counterparty will not perform and that the hedge will not yield the economic benefits we anticipate, which may adversely affect us.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Information Management and Technology</w:t>
      </w:r>
    </w:p>
    <w:p>
      <w:pPr>
        <w:spacing w:after="0" w:line="90" w:lineRule="exact"/>
        <w:rPr>
          <w:sz w:val="20"/>
          <w:szCs w:val="20"/>
          <w:color w:val="auto"/>
        </w:rPr>
      </w:pPr>
    </w:p>
    <w:p>
      <w:pPr>
        <w:jc w:val="both"/>
        <w:ind w:right="360"/>
        <w:spacing w:after="0" w:line="236" w:lineRule="auto"/>
        <w:rPr>
          <w:sz w:val="20"/>
          <w:szCs w:val="20"/>
          <w:color w:val="auto"/>
        </w:rPr>
      </w:pPr>
      <w:r>
        <w:rPr>
          <w:rFonts w:ascii="Arial" w:cs="Arial" w:eastAsia="Arial" w:hAnsi="Arial"/>
          <w:sz w:val="10"/>
          <w:szCs w:val="10"/>
          <w:color w:val="auto"/>
        </w:rPr>
        <w:t>The unauthorized access, use, theft or destruction of tenant or employee personal, financial or other data, or of Regency's proprietary or confidential information stored in our information systems or by third parties on our behalf, could impact operations, and expose us to potential liabilities and material adverse financial impact. Any actual or perceived failure to comply with new or existing laws, regulations and other requirements relating to the privacy, security and processing of personal information could adversely affect our business, results of operations, or financial condition. The use of technology based on artificial intelligence presents risks relating to confidentiality, creation of inaccurate and flawed outputs and emerging regulatory risk, any or all of which may adversely affect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Taxes and the Parent Company’s Qualification as a REIT</w:t>
      </w:r>
    </w:p>
    <w:p>
      <w:pPr>
        <w:spacing w:after="0" w:line="90" w:lineRule="exact"/>
        <w:rPr>
          <w:sz w:val="20"/>
          <w:szCs w:val="20"/>
          <w:color w:val="auto"/>
        </w:rPr>
      </w:pPr>
    </w:p>
    <w:p>
      <w:pPr>
        <w:jc w:val="both"/>
        <w:spacing w:after="0" w:line="227" w:lineRule="auto"/>
        <w:rPr>
          <w:sz w:val="20"/>
          <w:szCs w:val="20"/>
          <w:color w:val="auto"/>
        </w:rPr>
      </w:pPr>
      <w:r>
        <w:rPr>
          <w:rFonts w:ascii="Arial" w:cs="Arial" w:eastAsia="Arial" w:hAnsi="Arial"/>
          <w:sz w:val="10"/>
          <w:szCs w:val="10"/>
          <w:color w:val="auto"/>
        </w:rPr>
        <w:t>If the Parent Company fails to qualify as a REIT for federal income tax purposes, it would be subject to federal income tax at regular corporate rates. Dividends paid by REITs generally do not qualify for reduced tax rates. Legislative or other actions affecting REITs may have a negative effect on us or our investors. Complying with REIT requirements may limit our ability to hedge effectively and may cause us to incur tax liabilities. Partnership tax audit rules could have a material adverse effect.</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Risk Factors Related to the Company’s Stock</w:t>
      </w:r>
    </w:p>
    <w:p>
      <w:pPr>
        <w:spacing w:after="0" w:line="90" w:lineRule="exact"/>
        <w:rPr>
          <w:sz w:val="20"/>
          <w:szCs w:val="20"/>
          <w:color w:val="auto"/>
        </w:rPr>
      </w:pPr>
    </w:p>
    <w:p>
      <w:pPr>
        <w:ind w:right="120"/>
        <w:spacing w:after="0" w:line="233" w:lineRule="auto"/>
        <w:rPr>
          <w:sz w:val="20"/>
          <w:szCs w:val="20"/>
          <w:color w:val="auto"/>
        </w:rPr>
      </w:pPr>
      <w:r>
        <w:rPr>
          <w:rFonts w:ascii="Arial" w:cs="Arial" w:eastAsia="Arial" w:hAnsi="Arial"/>
          <w:sz w:val="10"/>
          <w:szCs w:val="10"/>
          <w:color w:val="auto"/>
        </w:rPr>
        <w:t>Restrictions on the ownership of the Parent Company’s capital stock to preserve its REIT status may delay or prevent a change in control. The issuance of the Parent Company's capital stock may delay or prevent a change in control. Ownership in the Parent Company may be diluted in the future. The Parent Company’s amended and restated bylaws provide that the courts located in the State of Florida will be the sole and exclusive forum for substantially all disputes between us and our stockholders, which could limit our stockholders’ ability to obtain a favorable judicial forum for disputes with us or our directors, officers, or employees. There is no assurance that we will continue to pay dividends at current or historical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43815</wp:posOffset>
            </wp:positionV>
            <wp:extent cx="287020" cy="154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7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Arial" w:cs="Arial" w:eastAsia="Arial" w:hAnsi="Arial"/>
          <w:sz w:val="12"/>
          <w:szCs w:val="12"/>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321310</wp:posOffset>
            </wp:positionV>
            <wp:extent cx="720280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1031" w:right="299" w:bottom="1440" w:gutter="0" w:footer="0" w:header="0"/>
        </w:sectPr>
      </w:pPr>
    </w:p>
    <w:bookmarkStart w:id="22" w:name="page23"/>
    <w:bookmarkEnd w:id="22"/>
    <w:p>
      <w:pPr>
        <w:jc w:val="center"/>
        <w:ind w:right="-7"/>
        <w:spacing w:after="0"/>
        <w:rPr>
          <w:sz w:val="20"/>
          <w:szCs w:val="20"/>
          <w:color w:val="auto"/>
        </w:rPr>
      </w:pPr>
      <w:r>
        <w:rPr>
          <w:rFonts w:ascii="Arial" w:cs="Arial" w:eastAsia="Arial" w:hAnsi="Arial"/>
          <w:sz w:val="12"/>
          <w:szCs w:val="12"/>
          <w:color w:val="auto"/>
          <w:highlight w:val="black"/>
        </w:rPr>
        <w:t xml:space="preserve">Financial </w:t>
      </w:r>
      <w:r>
        <w:rPr>
          <w:rFonts w:ascii="Arial" w:cs="Arial" w:eastAsia="Arial" w:hAnsi="Arial"/>
          <w:sz w:val="12"/>
          <w:szCs w:val="12"/>
          <w:color w:val="auto"/>
        </w:rPr>
        <w:t>Results Summary</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 except per share data)</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2"/>
        </w:trPr>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highlight w:val="black"/>
              </w:rPr>
              <w:t>Three Months Ended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79"/>
        </w:trPr>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gridSpan w:val="2"/>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line="60" w:lineRule="exact"/>
              <w:rPr>
                <w:sz w:val="20"/>
                <w:szCs w:val="20"/>
                <w:color w:val="auto"/>
              </w:rPr>
            </w:pPr>
            <w:r>
              <w:rPr>
                <w:rFonts w:ascii="Arial" w:cs="Arial" w:eastAsia="Arial" w:hAnsi="Arial"/>
                <w:sz w:val="6"/>
                <w:szCs w:val="6"/>
                <w:color w:val="auto"/>
                <w:highlight w:val="black"/>
              </w:rPr>
              <w:t>2025</w:t>
            </w: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79"/>
        </w:trPr>
        <w:tc>
          <w:tcPr>
            <w:tcW w:w="600" w:type="dxa"/>
            <w:vAlign w:val="bottom"/>
            <w:tcBorders>
              <w:bottom w:val="single" w:sz="8" w:color="auto"/>
            </w:tcBorders>
          </w:tcPr>
          <w:p>
            <w:pPr>
              <w:spacing w:after="0" w:line="60" w:lineRule="exact"/>
              <w:rPr>
                <w:sz w:val="20"/>
                <w:szCs w:val="20"/>
                <w:color w:val="auto"/>
              </w:rPr>
            </w:pPr>
            <w:r>
              <w:rPr>
                <w:rFonts w:ascii="Arial" w:cs="Arial" w:eastAsia="Arial" w:hAnsi="Arial"/>
                <w:sz w:val="6"/>
                <w:szCs w:val="6"/>
                <w:color w:val="auto"/>
                <w:highlight w:val="black"/>
              </w:rPr>
              <w:t>Financial Results</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76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187"/>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Net income attributable to common shareholders (page 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$125,136</w:t>
            </w:r>
          </w:p>
        </w:tc>
        <w:tc>
          <w:tcPr>
            <w:tcW w:w="10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$106,174</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Net income per diluted share</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$0.68</w:t>
            </w:r>
          </w:p>
        </w:tc>
        <w:tc>
          <w:tcPr>
            <w:tcW w:w="100" w:type="dxa"/>
            <w:vAlign w:val="bottom"/>
          </w:tcPr>
          <w:p>
            <w:pPr>
              <w:spacing w:after="0"/>
              <w:rPr>
                <w:sz w:val="8"/>
                <w:szCs w:val="8"/>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$0.58</w:t>
            </w: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Nareit Funds From Operations (Nareit FFO) (page 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$224,268</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$210,749</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Nareit FFO per diluted share</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$1.20</w:t>
            </w:r>
          </w:p>
        </w:tc>
        <w:tc>
          <w:tcPr>
            <w:tcW w:w="100" w:type="dxa"/>
            <w:vAlign w:val="bottom"/>
          </w:tcPr>
          <w:p>
            <w:pPr>
              <w:spacing w:after="0"/>
              <w:rPr>
                <w:sz w:val="8"/>
                <w:szCs w:val="8"/>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$1.15</w:t>
            </w: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Core Operating Earnings (page 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$216,523</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$199,443</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Core Operating Earnings per diluted share</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$1.16</w:t>
            </w:r>
          </w:p>
        </w:tc>
        <w:tc>
          <w:tcPr>
            <w:tcW w:w="100" w:type="dxa"/>
            <w:vAlign w:val="bottom"/>
          </w:tcPr>
          <w:p>
            <w:pPr>
              <w:spacing w:after="0"/>
              <w:rPr>
                <w:sz w:val="8"/>
                <w:szCs w:val="8"/>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$1.09</w:t>
            </w: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Same Property NOI (page 8)</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$285,634</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$273,673</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 growth</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4.4%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NOI (page 6 &amp; 7)</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$296,394</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$273,538</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 growth</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8.4%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Operating EBITDAre (page 10)</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$281,067</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$259,452</w:t>
            </w:r>
          </w:p>
        </w:tc>
      </w:tr>
      <w:tr>
        <w:trPr>
          <w:trHeight w:val="1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Dividends declared per common share and unit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$0.755</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$0.705</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Dividend payout ratio as a % of Nareit FFO</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62.9%</w:t>
            </w:r>
          </w:p>
        </w:tc>
        <w:tc>
          <w:tcPr>
            <w:tcW w:w="100" w:type="dxa"/>
            <w:vAlign w:val="bottom"/>
          </w:tcPr>
          <w:p>
            <w:pPr>
              <w:spacing w:after="0"/>
              <w:rPr>
                <w:sz w:val="8"/>
                <w:szCs w:val="8"/>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61.3%</w:t>
            </w:r>
          </w:p>
        </w:tc>
      </w:tr>
      <w:tr>
        <w:trPr>
          <w:trHeight w:val="290"/>
        </w:trPr>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8"/>
                <w:szCs w:val="8"/>
                <w:color w:val="auto"/>
              </w:rPr>
              <w:t>Diluted share and unit count</w:t>
            </w:r>
          </w:p>
        </w:tc>
        <w:tc>
          <w:tcPr>
            <w:tcW w:w="780" w:type="dxa"/>
            <w:vAlign w:val="bottom"/>
          </w:tcPr>
          <w:p>
            <w:pPr>
              <w:spacing w:after="0"/>
              <w:rPr>
                <w:sz w:val="24"/>
                <w:szCs w:val="24"/>
                <w:color w:val="auto"/>
              </w:rPr>
            </w:pPr>
          </w:p>
        </w:tc>
        <w:tc>
          <w:tcPr>
            <w:tcW w:w="47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7"/>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Weighted average shares (diluted) - Net income</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183,382</w:t>
            </w:r>
          </w:p>
        </w:tc>
        <w:tc>
          <w:tcPr>
            <w:tcW w:w="10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181,813</w:t>
            </w:r>
          </w:p>
        </w:tc>
      </w:tr>
      <w:tr>
        <w:trPr>
          <w:trHeight w:val="99"/>
        </w:trPr>
        <w:tc>
          <w:tcPr>
            <w:tcW w:w="6600" w:type="dxa"/>
            <w:vAlign w:val="bottom"/>
            <w:gridSpan w:val="6"/>
          </w:tcPr>
          <w:p>
            <w:pPr>
              <w:ind w:left="140"/>
              <w:spacing w:after="0"/>
              <w:rPr>
                <w:sz w:val="20"/>
                <w:szCs w:val="20"/>
                <w:color w:val="auto"/>
              </w:rPr>
            </w:pPr>
            <w:r>
              <w:rPr>
                <w:rFonts w:ascii="Arial" w:cs="Arial" w:eastAsia="Arial" w:hAnsi="Arial"/>
                <w:sz w:val="8"/>
                <w:szCs w:val="8"/>
                <w:color w:val="auto"/>
              </w:rPr>
              <w:t>Weighted average shares and units (diluted) - Nareit FFO and Core Operating Earnings</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gridSpan w:val="6"/>
          </w:tcPr>
          <w:p>
            <w:pPr>
              <w:jc w:val="right"/>
              <w:ind w:right="359"/>
              <w:spacing w:after="0"/>
              <w:rPr>
                <w:sz w:val="20"/>
                <w:szCs w:val="20"/>
                <w:color w:val="auto"/>
              </w:rPr>
            </w:pPr>
            <w:r>
              <w:rPr>
                <w:rFonts w:ascii="Arial" w:cs="Arial" w:eastAsia="Arial" w:hAnsi="Arial"/>
                <w:sz w:val="8"/>
                <w:szCs w:val="8"/>
                <w:color w:val="auto"/>
              </w:rPr>
              <w:t>187,220</w:t>
            </w:r>
          </w:p>
        </w:tc>
        <w:tc>
          <w:tcPr>
            <w:tcW w:w="100" w:type="dxa"/>
            <w:vAlign w:val="bottom"/>
          </w:tcPr>
          <w:p>
            <w:pPr>
              <w:spacing w:after="0"/>
              <w:rPr>
                <w:sz w:val="8"/>
                <w:szCs w:val="8"/>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182,910</w:t>
            </w:r>
          </w:p>
        </w:tc>
      </w:tr>
      <w:tr>
        <w:trPr>
          <w:trHeight w:val="577"/>
        </w:trPr>
        <w:tc>
          <w:tcPr>
            <w:tcW w:w="6600" w:type="dxa"/>
            <w:vAlign w:val="bottom"/>
            <w:gridSpan w:val="6"/>
          </w:tcPr>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44"/>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center"/>
              <w:ind w:right="599"/>
              <w:spacing w:after="0"/>
              <w:rPr>
                <w:sz w:val="20"/>
                <w:szCs w:val="20"/>
                <w:color w:val="auto"/>
              </w:rPr>
            </w:pPr>
            <w:r>
              <w:rPr>
                <w:rFonts w:ascii="Arial" w:cs="Arial" w:eastAsia="Arial" w:hAnsi="Arial"/>
                <w:sz w:val="8"/>
                <w:szCs w:val="8"/>
                <w:color w:val="auto"/>
              </w:rPr>
              <w:t>As of</w:t>
            </w:r>
          </w:p>
        </w:tc>
        <w:tc>
          <w:tcPr>
            <w:tcW w:w="200" w:type="dxa"/>
            <w:vAlign w:val="bottom"/>
          </w:tcPr>
          <w:p>
            <w:pPr>
              <w:spacing w:after="0"/>
              <w:rPr>
                <w:sz w:val="24"/>
                <w:szCs w:val="24"/>
                <w:color w:val="auto"/>
              </w:rPr>
            </w:pPr>
          </w:p>
        </w:tc>
        <w:tc>
          <w:tcPr>
            <w:tcW w:w="980" w:type="dxa"/>
            <w:vAlign w:val="bottom"/>
            <w:gridSpan w:val="2"/>
          </w:tcPr>
          <w:p>
            <w:pPr>
              <w:jc w:val="center"/>
              <w:ind w:right="499"/>
              <w:spacing w:after="0"/>
              <w:rPr>
                <w:sz w:val="20"/>
                <w:szCs w:val="20"/>
                <w:color w:val="auto"/>
              </w:rPr>
            </w:pPr>
            <w:r>
              <w:rPr>
                <w:rFonts w:ascii="Arial" w:cs="Arial" w:eastAsia="Arial" w:hAnsi="Arial"/>
                <w:sz w:val="8"/>
                <w:szCs w:val="8"/>
                <w:color w:val="auto"/>
              </w:rPr>
              <w:t>As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center"/>
              <w:ind w:right="700"/>
              <w:spacing w:after="0"/>
              <w:rPr>
                <w:sz w:val="20"/>
                <w:szCs w:val="20"/>
                <w:color w:val="auto"/>
              </w:rPr>
            </w:pPr>
            <w:r>
              <w:rPr>
                <w:rFonts w:ascii="Arial" w:cs="Arial" w:eastAsia="Arial" w:hAnsi="Arial"/>
                <w:sz w:val="8"/>
                <w:szCs w:val="8"/>
                <w:color w:val="auto"/>
                <w:w w:val="98"/>
              </w:rPr>
              <w:t>As of</w:t>
            </w:r>
          </w:p>
        </w:tc>
        <w:tc>
          <w:tcPr>
            <w:tcW w:w="120" w:type="dxa"/>
            <w:vAlign w:val="bottom"/>
          </w:tcPr>
          <w:p>
            <w:pPr>
              <w:spacing w:after="0"/>
              <w:rPr>
                <w:sz w:val="24"/>
                <w:szCs w:val="24"/>
                <w:color w:val="auto"/>
              </w:rPr>
            </w:pPr>
          </w:p>
        </w:tc>
        <w:tc>
          <w:tcPr>
            <w:tcW w:w="800" w:type="dxa"/>
            <w:vAlign w:val="bottom"/>
            <w:gridSpan w:val="3"/>
          </w:tcPr>
          <w:p>
            <w:pPr>
              <w:jc w:val="right"/>
              <w:ind w:right="459"/>
              <w:spacing w:after="0"/>
              <w:rPr>
                <w:sz w:val="20"/>
                <w:szCs w:val="20"/>
                <w:color w:val="auto"/>
              </w:rPr>
            </w:pPr>
            <w:r>
              <w:rPr>
                <w:rFonts w:ascii="Arial" w:cs="Arial" w:eastAsia="Arial" w:hAnsi="Arial"/>
                <w:sz w:val="8"/>
                <w:szCs w:val="8"/>
                <w:color w:val="auto"/>
              </w:rPr>
              <w:t>As of</w:t>
            </w:r>
          </w:p>
        </w:tc>
      </w:tr>
      <w:tr>
        <w:trPr>
          <w:trHeight w:val="91"/>
        </w:trPr>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highlight w:val="black"/>
              </w:rPr>
              <w:t>3/31/2026</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highlight w:val="black"/>
              </w:rPr>
              <w:t>12/31/2025</w:t>
            </w:r>
          </w:p>
        </w:tc>
        <w:tc>
          <w:tcPr>
            <w:tcW w:w="54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420" w:type="dxa"/>
            <w:vAlign w:val="bottom"/>
            <w:tcBorders>
              <w:bottom w:val="single" w:sz="8" w:color="auto"/>
            </w:tcBorders>
            <w:gridSpan w:val="3"/>
          </w:tcPr>
          <w:p>
            <w:pPr>
              <w:jc w:val="right"/>
              <w:spacing w:after="0" w:line="71" w:lineRule="exact"/>
              <w:rPr>
                <w:sz w:val="20"/>
                <w:szCs w:val="20"/>
                <w:color w:val="auto"/>
              </w:rPr>
            </w:pPr>
            <w:r>
              <w:rPr>
                <w:rFonts w:ascii="Arial" w:cs="Arial" w:eastAsia="Arial" w:hAnsi="Arial"/>
                <w:sz w:val="8"/>
                <w:szCs w:val="8"/>
                <w:color w:val="auto"/>
                <w:highlight w:val="black"/>
                <w:w w:val="99"/>
              </w:rPr>
              <w:t>12/31/2024</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Borders>
              <w:bottom w:val="single" w:sz="8" w:color="auto"/>
            </w:tcBorders>
            <w:gridSpan w:val="2"/>
          </w:tcPr>
          <w:p>
            <w:pPr>
              <w:spacing w:after="0" w:line="71" w:lineRule="exact"/>
              <w:rPr>
                <w:sz w:val="20"/>
                <w:szCs w:val="20"/>
                <w:color w:val="auto"/>
              </w:rPr>
            </w:pPr>
            <w:r>
              <w:rPr>
                <w:rFonts w:ascii="Arial" w:cs="Arial" w:eastAsia="Arial" w:hAnsi="Arial"/>
                <w:sz w:val="8"/>
                <w:szCs w:val="8"/>
                <w:color w:val="auto"/>
                <w:highlight w:val="black"/>
                <w:w w:val="99"/>
              </w:rPr>
              <w:t>12/31/2023</w:t>
            </w:r>
          </w:p>
        </w:tc>
        <w:tc>
          <w:tcPr>
            <w:tcW w:w="380" w:type="dxa"/>
            <w:vAlign w:val="bottom"/>
          </w:tcPr>
          <w:p>
            <w:pPr>
              <w:spacing w:after="0"/>
              <w:rPr>
                <w:sz w:val="7"/>
                <w:szCs w:val="7"/>
                <w:color w:val="auto"/>
              </w:rPr>
            </w:pPr>
          </w:p>
        </w:tc>
      </w:tr>
      <w:tr>
        <w:trPr>
          <w:trHeight w:val="79"/>
        </w:trPr>
        <w:tc>
          <w:tcPr>
            <w:tcW w:w="700" w:type="dxa"/>
            <w:vAlign w:val="bottom"/>
            <w:tcBorders>
              <w:bottom w:val="single" w:sz="8" w:color="auto"/>
            </w:tcBorders>
            <w:gridSpan w:val="2"/>
          </w:tcPr>
          <w:p>
            <w:pPr>
              <w:spacing w:after="0" w:line="60" w:lineRule="exact"/>
              <w:rPr>
                <w:sz w:val="20"/>
                <w:szCs w:val="20"/>
                <w:color w:val="auto"/>
              </w:rPr>
            </w:pPr>
            <w:r>
              <w:rPr>
                <w:rFonts w:ascii="Arial" w:cs="Arial" w:eastAsia="Arial" w:hAnsi="Arial"/>
                <w:sz w:val="6"/>
                <w:szCs w:val="6"/>
                <w:color w:val="auto"/>
                <w:highlight w:val="black"/>
              </w:rPr>
              <w:t>Capital Information</w:t>
            </w:r>
          </w:p>
        </w:tc>
        <w:tc>
          <w:tcPr>
            <w:tcW w:w="1140" w:type="dxa"/>
            <w:vAlign w:val="bottom"/>
            <w:gridSpan w:val="2"/>
          </w:tcPr>
          <w:p>
            <w:pPr>
              <w:spacing w:after="0"/>
              <w:rPr>
                <w:sz w:val="6"/>
                <w:szCs w:val="6"/>
                <w:color w:val="auto"/>
              </w:rPr>
            </w:pPr>
          </w:p>
        </w:tc>
        <w:tc>
          <w:tcPr>
            <w:tcW w:w="476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r>
      <w:tr>
        <w:trPr>
          <w:trHeight w:val="187"/>
        </w:trPr>
        <w:tc>
          <w:tcPr>
            <w:tcW w:w="6600" w:type="dxa"/>
            <w:vAlign w:val="bottom"/>
            <w:gridSpan w:val="6"/>
          </w:tcPr>
          <w:p>
            <w:pPr>
              <w:spacing w:after="0"/>
              <w:rPr>
                <w:sz w:val="20"/>
                <w:szCs w:val="20"/>
                <w:color w:val="auto"/>
              </w:rPr>
            </w:pPr>
            <w:r>
              <w:rPr>
                <w:rFonts w:ascii="Arial" w:cs="Arial" w:eastAsia="Arial" w:hAnsi="Arial"/>
                <w:sz w:val="8"/>
                <w:szCs w:val="8"/>
                <w:color w:val="auto"/>
              </w:rPr>
              <w:t>Market price per common share</w:t>
            </w:r>
          </w:p>
        </w:tc>
        <w:tc>
          <w:tcPr>
            <w:tcW w:w="1200" w:type="dxa"/>
            <w:vAlign w:val="bottom"/>
            <w:gridSpan w:val="3"/>
          </w:tcPr>
          <w:p>
            <w:pPr>
              <w:jc w:val="right"/>
              <w:ind w:right="179"/>
              <w:spacing w:after="0"/>
              <w:rPr>
                <w:sz w:val="20"/>
                <w:szCs w:val="20"/>
                <w:color w:val="auto"/>
              </w:rPr>
            </w:pPr>
            <w:r>
              <w:rPr>
                <w:rFonts w:ascii="Arial" w:cs="Arial" w:eastAsia="Arial" w:hAnsi="Arial"/>
                <w:sz w:val="8"/>
                <w:szCs w:val="8"/>
                <w:color w:val="auto"/>
              </w:rPr>
              <w:t>$75.66</w:t>
            </w:r>
          </w:p>
        </w:tc>
        <w:tc>
          <w:tcPr>
            <w:tcW w:w="1180" w:type="dxa"/>
            <w:vAlign w:val="bottom"/>
            <w:gridSpan w:val="3"/>
          </w:tcPr>
          <w:p>
            <w:pPr>
              <w:jc w:val="right"/>
              <w:ind w:right="79"/>
              <w:spacing w:after="0"/>
              <w:rPr>
                <w:sz w:val="20"/>
                <w:szCs w:val="20"/>
                <w:color w:val="auto"/>
              </w:rPr>
            </w:pPr>
            <w:r>
              <w:rPr>
                <w:rFonts w:ascii="Arial" w:cs="Arial" w:eastAsia="Arial" w:hAnsi="Arial"/>
                <w:sz w:val="8"/>
                <w:szCs w:val="8"/>
                <w:color w:val="auto"/>
              </w:rPr>
              <w:t>$69.03</w:t>
            </w:r>
          </w:p>
        </w:tc>
        <w:tc>
          <w:tcPr>
            <w:tcW w:w="1300" w:type="dxa"/>
            <w:vAlign w:val="bottom"/>
            <w:gridSpan w:val="6"/>
          </w:tcPr>
          <w:p>
            <w:pPr>
              <w:jc w:val="right"/>
              <w:ind w:right="119"/>
              <w:spacing w:after="0"/>
              <w:rPr>
                <w:sz w:val="20"/>
                <w:szCs w:val="20"/>
                <w:color w:val="auto"/>
              </w:rPr>
            </w:pPr>
            <w:r>
              <w:rPr>
                <w:rFonts w:ascii="Arial" w:cs="Arial" w:eastAsia="Arial" w:hAnsi="Arial"/>
                <w:sz w:val="8"/>
                <w:szCs w:val="8"/>
                <w:color w:val="auto"/>
              </w:rPr>
              <w:t>$73.93</w:t>
            </w:r>
          </w:p>
        </w:tc>
        <w:tc>
          <w:tcPr>
            <w:tcW w:w="10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$67.00</w:t>
            </w:r>
          </w:p>
        </w:tc>
      </w:tr>
      <w:tr>
        <w:trPr>
          <w:trHeight w:val="199"/>
        </w:trPr>
        <w:tc>
          <w:tcPr>
            <w:tcW w:w="6600" w:type="dxa"/>
            <w:vAlign w:val="bottom"/>
            <w:gridSpan w:val="6"/>
          </w:tcPr>
          <w:p>
            <w:pPr>
              <w:spacing w:after="0"/>
              <w:rPr>
                <w:sz w:val="20"/>
                <w:szCs w:val="20"/>
                <w:color w:val="auto"/>
              </w:rPr>
            </w:pPr>
            <w:r>
              <w:rPr>
                <w:rFonts w:ascii="Arial" w:cs="Arial" w:eastAsia="Arial" w:hAnsi="Arial"/>
                <w:sz w:val="8"/>
                <w:szCs w:val="8"/>
                <w:color w:val="auto"/>
              </w:rPr>
              <w:t>Common shares outstanding</w:t>
            </w:r>
          </w:p>
        </w:tc>
        <w:tc>
          <w:tcPr>
            <w:tcW w:w="1200" w:type="dxa"/>
            <w:vAlign w:val="bottom"/>
            <w:gridSpan w:val="3"/>
          </w:tcPr>
          <w:p>
            <w:pPr>
              <w:jc w:val="right"/>
              <w:ind w:right="179"/>
              <w:spacing w:after="0"/>
              <w:rPr>
                <w:sz w:val="20"/>
                <w:szCs w:val="20"/>
                <w:color w:val="auto"/>
              </w:rPr>
            </w:pPr>
            <w:r>
              <w:rPr>
                <w:rFonts w:ascii="Arial" w:cs="Arial" w:eastAsia="Arial" w:hAnsi="Arial"/>
                <w:sz w:val="8"/>
                <w:szCs w:val="8"/>
                <w:color w:val="auto"/>
              </w:rPr>
              <w:t>183,088</w:t>
            </w:r>
          </w:p>
        </w:tc>
        <w:tc>
          <w:tcPr>
            <w:tcW w:w="1180" w:type="dxa"/>
            <w:vAlign w:val="bottom"/>
            <w:gridSpan w:val="3"/>
          </w:tcPr>
          <w:p>
            <w:pPr>
              <w:jc w:val="right"/>
              <w:ind w:right="79"/>
              <w:spacing w:after="0"/>
              <w:rPr>
                <w:sz w:val="20"/>
                <w:szCs w:val="20"/>
                <w:color w:val="auto"/>
              </w:rPr>
            </w:pPr>
            <w:r>
              <w:rPr>
                <w:rFonts w:ascii="Arial" w:cs="Arial" w:eastAsia="Arial" w:hAnsi="Arial"/>
                <w:sz w:val="8"/>
                <w:szCs w:val="8"/>
                <w:color w:val="auto"/>
              </w:rPr>
              <w:t>182,902</w:t>
            </w:r>
          </w:p>
        </w:tc>
        <w:tc>
          <w:tcPr>
            <w:tcW w:w="1300" w:type="dxa"/>
            <w:vAlign w:val="bottom"/>
            <w:gridSpan w:val="6"/>
          </w:tcPr>
          <w:p>
            <w:pPr>
              <w:jc w:val="right"/>
              <w:ind w:right="119"/>
              <w:spacing w:after="0"/>
              <w:rPr>
                <w:sz w:val="20"/>
                <w:szCs w:val="20"/>
                <w:color w:val="auto"/>
              </w:rPr>
            </w:pPr>
            <w:r>
              <w:rPr>
                <w:rFonts w:ascii="Arial" w:cs="Arial" w:eastAsia="Arial" w:hAnsi="Arial"/>
                <w:sz w:val="8"/>
                <w:szCs w:val="8"/>
                <w:color w:val="auto"/>
              </w:rPr>
              <w:t>181,361</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184,581</w:t>
            </w:r>
          </w:p>
        </w:tc>
      </w:tr>
      <w:tr>
        <w:trPr>
          <w:trHeight w:val="100"/>
        </w:trPr>
        <w:tc>
          <w:tcPr>
            <w:tcW w:w="6340" w:type="dxa"/>
            <w:vAlign w:val="bottom"/>
            <w:gridSpan w:val="5"/>
          </w:tcPr>
          <w:p>
            <w:pPr>
              <w:spacing w:after="0"/>
              <w:rPr>
                <w:sz w:val="20"/>
                <w:szCs w:val="20"/>
                <w:color w:val="auto"/>
              </w:rPr>
            </w:pPr>
            <w:r>
              <w:rPr>
                <w:rFonts w:ascii="Arial" w:cs="Arial" w:eastAsia="Arial" w:hAnsi="Arial"/>
                <w:sz w:val="8"/>
                <w:szCs w:val="8"/>
                <w:color w:val="auto"/>
              </w:rPr>
              <w:t>Exchangeable units held by noncontrolling interests</w:t>
            </w: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8"/>
                <w:szCs w:val="8"/>
                <w:color w:val="auto"/>
              </w:rPr>
              <w:t>3,838</w:t>
            </w:r>
          </w:p>
        </w:tc>
        <w:tc>
          <w:tcPr>
            <w:tcW w:w="1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8"/>
                <w:szCs w:val="8"/>
                <w:color w:val="auto"/>
              </w:rPr>
              <w:t>3,838</w:t>
            </w:r>
          </w:p>
        </w:tc>
        <w:tc>
          <w:tcPr>
            <w:tcW w:w="13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8"/>
                <w:szCs w:val="8"/>
                <w:color w:val="auto"/>
              </w:rPr>
              <w:t>1,097</w:t>
            </w: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color w:val="auto"/>
              </w:rPr>
              <w:t>1,107</w:t>
            </w:r>
          </w:p>
        </w:tc>
      </w:tr>
      <w:tr>
        <w:trPr>
          <w:trHeight w:val="89"/>
        </w:trPr>
        <w:tc>
          <w:tcPr>
            <w:tcW w:w="6340" w:type="dxa"/>
            <w:vAlign w:val="bottom"/>
            <w:gridSpan w:val="5"/>
          </w:tcPr>
          <w:p>
            <w:pPr>
              <w:ind w:left="100"/>
              <w:spacing w:after="0" w:line="89" w:lineRule="exact"/>
              <w:rPr>
                <w:sz w:val="20"/>
                <w:szCs w:val="20"/>
                <w:color w:val="auto"/>
              </w:rPr>
            </w:pPr>
            <w:r>
              <w:rPr>
                <w:rFonts w:ascii="Arial" w:cs="Arial" w:eastAsia="Arial" w:hAnsi="Arial"/>
                <w:sz w:val="8"/>
                <w:szCs w:val="8"/>
                <w:color w:val="auto"/>
              </w:rPr>
              <w:t>Common shares and equivalents issued and outstanding</w:t>
            </w:r>
          </w:p>
        </w:tc>
        <w:tc>
          <w:tcPr>
            <w:tcW w:w="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3"/>
          </w:tcPr>
          <w:p>
            <w:pPr>
              <w:jc w:val="right"/>
              <w:ind w:right="179"/>
              <w:spacing w:after="0" w:line="89" w:lineRule="exact"/>
              <w:rPr>
                <w:sz w:val="20"/>
                <w:szCs w:val="20"/>
                <w:color w:val="auto"/>
              </w:rPr>
            </w:pPr>
            <w:r>
              <w:rPr>
                <w:rFonts w:ascii="Arial" w:cs="Arial" w:eastAsia="Arial" w:hAnsi="Arial"/>
                <w:sz w:val="8"/>
                <w:szCs w:val="8"/>
                <w:color w:val="auto"/>
              </w:rPr>
              <w:t>186,926</w:t>
            </w:r>
          </w:p>
        </w:tc>
        <w:tc>
          <w:tcPr>
            <w:tcW w:w="1180" w:type="dxa"/>
            <w:vAlign w:val="bottom"/>
            <w:tcBorders>
              <w:bottom w:val="single" w:sz="8" w:color="auto"/>
            </w:tcBorders>
            <w:gridSpan w:val="3"/>
          </w:tcPr>
          <w:p>
            <w:pPr>
              <w:jc w:val="right"/>
              <w:ind w:right="79"/>
              <w:spacing w:after="0" w:line="89" w:lineRule="exact"/>
              <w:rPr>
                <w:sz w:val="20"/>
                <w:szCs w:val="20"/>
                <w:color w:val="auto"/>
              </w:rPr>
            </w:pPr>
            <w:r>
              <w:rPr>
                <w:rFonts w:ascii="Arial" w:cs="Arial" w:eastAsia="Arial" w:hAnsi="Arial"/>
                <w:sz w:val="8"/>
                <w:szCs w:val="8"/>
                <w:color w:val="auto"/>
              </w:rPr>
              <w:t>186,740</w:t>
            </w:r>
          </w:p>
        </w:tc>
        <w:tc>
          <w:tcPr>
            <w:tcW w:w="1300" w:type="dxa"/>
            <w:vAlign w:val="bottom"/>
            <w:tcBorders>
              <w:bottom w:val="single" w:sz="8" w:color="auto"/>
            </w:tcBorders>
            <w:gridSpan w:val="6"/>
          </w:tcPr>
          <w:p>
            <w:pPr>
              <w:jc w:val="right"/>
              <w:ind w:right="119"/>
              <w:spacing w:after="0" w:line="89" w:lineRule="exact"/>
              <w:rPr>
                <w:sz w:val="20"/>
                <w:szCs w:val="20"/>
                <w:color w:val="auto"/>
              </w:rPr>
            </w:pPr>
            <w:r>
              <w:rPr>
                <w:rFonts w:ascii="Arial" w:cs="Arial" w:eastAsia="Arial" w:hAnsi="Arial"/>
                <w:sz w:val="8"/>
                <w:szCs w:val="8"/>
                <w:color w:val="auto"/>
              </w:rPr>
              <w:t>182,458</w:t>
            </w: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4"/>
          </w:tcPr>
          <w:p>
            <w:pPr>
              <w:jc w:val="right"/>
              <w:spacing w:after="0" w:line="89" w:lineRule="exact"/>
              <w:rPr>
                <w:sz w:val="20"/>
                <w:szCs w:val="20"/>
                <w:color w:val="auto"/>
              </w:rPr>
            </w:pPr>
            <w:r>
              <w:rPr>
                <w:rFonts w:ascii="Arial" w:cs="Arial" w:eastAsia="Arial" w:hAnsi="Arial"/>
                <w:sz w:val="8"/>
                <w:szCs w:val="8"/>
                <w:color w:val="auto"/>
              </w:rPr>
              <w:t>185,688</w:t>
            </w:r>
          </w:p>
        </w:tc>
      </w:tr>
      <w:tr>
        <w:trPr>
          <w:trHeight w:val="89"/>
        </w:trPr>
        <w:tc>
          <w:tcPr>
            <w:tcW w:w="6340" w:type="dxa"/>
            <w:vAlign w:val="bottom"/>
            <w:gridSpan w:val="5"/>
          </w:tcPr>
          <w:p>
            <w:pPr>
              <w:spacing w:after="0" w:line="89" w:lineRule="exact"/>
              <w:rPr>
                <w:sz w:val="20"/>
                <w:szCs w:val="20"/>
                <w:color w:val="auto"/>
              </w:rPr>
            </w:pPr>
            <w:r>
              <w:rPr>
                <w:rFonts w:ascii="Arial" w:cs="Arial" w:eastAsia="Arial" w:hAnsi="Arial"/>
                <w:sz w:val="8"/>
                <w:szCs w:val="8"/>
                <w:color w:val="auto"/>
              </w:rPr>
              <w:t>Market equity value of common shares and equivalents</w:t>
            </w:r>
          </w:p>
        </w:tc>
        <w:tc>
          <w:tcPr>
            <w:tcW w:w="2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3"/>
          </w:tcPr>
          <w:p>
            <w:pPr>
              <w:jc w:val="right"/>
              <w:ind w:right="179"/>
              <w:spacing w:after="0" w:line="89" w:lineRule="exact"/>
              <w:rPr>
                <w:sz w:val="20"/>
                <w:szCs w:val="20"/>
                <w:color w:val="auto"/>
              </w:rPr>
            </w:pPr>
            <w:r>
              <w:rPr>
                <w:rFonts w:ascii="Arial" w:cs="Arial" w:eastAsia="Arial" w:hAnsi="Arial"/>
                <w:sz w:val="8"/>
                <w:szCs w:val="8"/>
                <w:color w:val="auto"/>
              </w:rPr>
              <w:t>$14,142,821</w:t>
            </w:r>
          </w:p>
        </w:tc>
        <w:tc>
          <w:tcPr>
            <w:tcW w:w="1180" w:type="dxa"/>
            <w:vAlign w:val="bottom"/>
            <w:tcBorders>
              <w:bottom w:val="single" w:sz="8" w:color="auto"/>
            </w:tcBorders>
            <w:gridSpan w:val="3"/>
          </w:tcPr>
          <w:p>
            <w:pPr>
              <w:jc w:val="right"/>
              <w:ind w:right="79"/>
              <w:spacing w:after="0" w:line="89" w:lineRule="exact"/>
              <w:rPr>
                <w:sz w:val="20"/>
                <w:szCs w:val="20"/>
                <w:color w:val="auto"/>
              </w:rPr>
            </w:pPr>
            <w:r>
              <w:rPr>
                <w:rFonts w:ascii="Arial" w:cs="Arial" w:eastAsia="Arial" w:hAnsi="Arial"/>
                <w:sz w:val="8"/>
                <w:szCs w:val="8"/>
                <w:color w:val="auto"/>
              </w:rPr>
              <w:t>$12,890,662</w:t>
            </w:r>
          </w:p>
        </w:tc>
        <w:tc>
          <w:tcPr>
            <w:tcW w:w="1300" w:type="dxa"/>
            <w:vAlign w:val="bottom"/>
            <w:tcBorders>
              <w:bottom w:val="single" w:sz="8" w:color="auto"/>
            </w:tcBorders>
            <w:gridSpan w:val="6"/>
          </w:tcPr>
          <w:p>
            <w:pPr>
              <w:jc w:val="right"/>
              <w:ind w:right="119"/>
              <w:spacing w:after="0" w:line="89" w:lineRule="exact"/>
              <w:rPr>
                <w:sz w:val="20"/>
                <w:szCs w:val="20"/>
                <w:color w:val="auto"/>
              </w:rPr>
            </w:pPr>
            <w:r>
              <w:rPr>
                <w:rFonts w:ascii="Arial" w:cs="Arial" w:eastAsia="Arial" w:hAnsi="Arial"/>
                <w:sz w:val="8"/>
                <w:szCs w:val="8"/>
                <w:color w:val="auto"/>
              </w:rPr>
              <w:t>$13,489,128</w:t>
            </w:r>
          </w:p>
        </w:tc>
        <w:tc>
          <w:tcPr>
            <w:tcW w:w="1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gridSpan w:val="4"/>
          </w:tcPr>
          <w:p>
            <w:pPr>
              <w:jc w:val="right"/>
              <w:spacing w:after="0" w:line="89" w:lineRule="exact"/>
              <w:rPr>
                <w:sz w:val="20"/>
                <w:szCs w:val="20"/>
                <w:color w:val="auto"/>
              </w:rPr>
            </w:pPr>
            <w:r>
              <w:rPr>
                <w:rFonts w:ascii="Arial" w:cs="Arial" w:eastAsia="Arial" w:hAnsi="Arial"/>
                <w:sz w:val="8"/>
                <w:szCs w:val="8"/>
                <w:color w:val="auto"/>
              </w:rPr>
              <w:t>$12,441,131</w:t>
            </w:r>
          </w:p>
        </w:tc>
      </w:tr>
      <w:tr>
        <w:trPr>
          <w:trHeight w:val="205"/>
        </w:trPr>
        <w:tc>
          <w:tcPr>
            <w:tcW w:w="6600" w:type="dxa"/>
            <w:vAlign w:val="bottom"/>
            <w:gridSpan w:val="6"/>
          </w:tcPr>
          <w:p>
            <w:pPr>
              <w:spacing w:after="0"/>
              <w:rPr>
                <w:sz w:val="20"/>
                <w:szCs w:val="20"/>
                <w:color w:val="auto"/>
              </w:rPr>
            </w:pPr>
            <w:r>
              <w:rPr>
                <w:rFonts w:ascii="Arial" w:cs="Arial" w:eastAsia="Arial" w:hAnsi="Arial"/>
                <w:sz w:val="8"/>
                <w:szCs w:val="8"/>
                <w:color w:val="auto"/>
              </w:rPr>
              <w:t>Preferred stock</w:t>
            </w:r>
            <w:r>
              <w:rPr>
                <w:rFonts w:ascii="Arial" w:cs="Arial" w:eastAsia="Arial" w:hAnsi="Arial"/>
                <w:sz w:val="11"/>
                <w:szCs w:val="11"/>
                <w:color w:val="auto"/>
                <w:vertAlign w:val="superscript"/>
              </w:rPr>
              <w:t>(1)</w:t>
            </w:r>
          </w:p>
        </w:tc>
        <w:tc>
          <w:tcPr>
            <w:tcW w:w="1200" w:type="dxa"/>
            <w:vAlign w:val="bottom"/>
            <w:gridSpan w:val="3"/>
          </w:tcPr>
          <w:p>
            <w:pPr>
              <w:jc w:val="right"/>
              <w:ind w:right="179"/>
              <w:spacing w:after="0"/>
              <w:rPr>
                <w:sz w:val="20"/>
                <w:szCs w:val="20"/>
                <w:color w:val="auto"/>
              </w:rPr>
            </w:pPr>
            <w:r>
              <w:rPr>
                <w:rFonts w:ascii="Arial" w:cs="Arial" w:eastAsia="Arial" w:hAnsi="Arial"/>
                <w:sz w:val="8"/>
                <w:szCs w:val="8"/>
                <w:color w:val="auto"/>
              </w:rPr>
              <w:t>$225,000</w:t>
            </w:r>
          </w:p>
        </w:tc>
        <w:tc>
          <w:tcPr>
            <w:tcW w:w="1180" w:type="dxa"/>
            <w:vAlign w:val="bottom"/>
            <w:gridSpan w:val="3"/>
          </w:tcPr>
          <w:p>
            <w:pPr>
              <w:jc w:val="right"/>
              <w:ind w:right="79"/>
              <w:spacing w:after="0"/>
              <w:rPr>
                <w:sz w:val="20"/>
                <w:szCs w:val="20"/>
                <w:color w:val="auto"/>
              </w:rPr>
            </w:pPr>
            <w:r>
              <w:rPr>
                <w:rFonts w:ascii="Arial" w:cs="Arial" w:eastAsia="Arial" w:hAnsi="Arial"/>
                <w:sz w:val="8"/>
                <w:szCs w:val="8"/>
                <w:color w:val="auto"/>
              </w:rPr>
              <w:t>$225,000</w:t>
            </w:r>
          </w:p>
        </w:tc>
        <w:tc>
          <w:tcPr>
            <w:tcW w:w="1300" w:type="dxa"/>
            <w:vAlign w:val="bottom"/>
            <w:gridSpan w:val="6"/>
          </w:tcPr>
          <w:p>
            <w:pPr>
              <w:jc w:val="right"/>
              <w:ind w:right="119"/>
              <w:spacing w:after="0"/>
              <w:rPr>
                <w:sz w:val="20"/>
                <w:szCs w:val="20"/>
                <w:color w:val="auto"/>
              </w:rPr>
            </w:pPr>
            <w:r>
              <w:rPr>
                <w:rFonts w:ascii="Arial" w:cs="Arial" w:eastAsia="Arial" w:hAnsi="Arial"/>
                <w:sz w:val="8"/>
                <w:szCs w:val="8"/>
                <w:color w:val="auto"/>
              </w:rPr>
              <w:t>$225,000</w:t>
            </w:r>
          </w:p>
        </w:tc>
        <w:tc>
          <w:tcPr>
            <w:tcW w:w="1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8"/>
                <w:szCs w:val="8"/>
                <w:color w:val="auto"/>
              </w:rPr>
              <w:t>$225,000</w:t>
            </w:r>
          </w:p>
        </w:tc>
      </w:tr>
      <w:tr>
        <w:trPr>
          <w:trHeight w:val="82"/>
        </w:trPr>
        <w:tc>
          <w:tcPr>
            <w:tcW w:w="6600" w:type="dxa"/>
            <w:vAlign w:val="bottom"/>
            <w:gridSpan w:val="6"/>
          </w:tcPr>
          <w:p>
            <w:pPr>
              <w:spacing w:after="0" w:line="83" w:lineRule="exact"/>
              <w:rPr>
                <w:sz w:val="20"/>
                <w:szCs w:val="20"/>
                <w:color w:val="auto"/>
              </w:rPr>
            </w:pPr>
            <w:r>
              <w:rPr>
                <w:rFonts w:ascii="Arial" w:cs="Arial" w:eastAsia="Arial" w:hAnsi="Arial"/>
                <w:sz w:val="8"/>
                <w:szCs w:val="8"/>
                <w:color w:val="auto"/>
              </w:rPr>
              <w:t>Outstanding debt</w:t>
            </w:r>
          </w:p>
        </w:tc>
        <w:tc>
          <w:tcPr>
            <w:tcW w:w="1200" w:type="dxa"/>
            <w:vAlign w:val="bottom"/>
            <w:gridSpan w:val="3"/>
          </w:tcPr>
          <w:p>
            <w:pPr>
              <w:jc w:val="right"/>
              <w:ind w:right="179"/>
              <w:spacing w:after="0" w:line="83" w:lineRule="exact"/>
              <w:rPr>
                <w:sz w:val="20"/>
                <w:szCs w:val="20"/>
                <w:color w:val="auto"/>
              </w:rPr>
            </w:pPr>
            <w:r>
              <w:rPr>
                <w:rFonts w:ascii="Arial" w:cs="Arial" w:eastAsia="Arial" w:hAnsi="Arial"/>
                <w:sz w:val="8"/>
                <w:szCs w:val="8"/>
                <w:color w:val="auto"/>
              </w:rPr>
              <w:t>5,542,405</w:t>
            </w:r>
          </w:p>
        </w:tc>
        <w:tc>
          <w:tcPr>
            <w:tcW w:w="1180" w:type="dxa"/>
            <w:vAlign w:val="bottom"/>
            <w:gridSpan w:val="3"/>
          </w:tcPr>
          <w:p>
            <w:pPr>
              <w:jc w:val="right"/>
              <w:ind w:right="79"/>
              <w:spacing w:after="0" w:line="83" w:lineRule="exact"/>
              <w:rPr>
                <w:sz w:val="20"/>
                <w:szCs w:val="20"/>
                <w:color w:val="auto"/>
              </w:rPr>
            </w:pPr>
            <w:r>
              <w:rPr>
                <w:rFonts w:ascii="Arial" w:cs="Arial" w:eastAsia="Arial" w:hAnsi="Arial"/>
                <w:sz w:val="8"/>
                <w:szCs w:val="8"/>
                <w:color w:val="auto"/>
              </w:rPr>
              <w:t>5,280,308</w:t>
            </w:r>
          </w:p>
        </w:tc>
        <w:tc>
          <w:tcPr>
            <w:tcW w:w="1300" w:type="dxa"/>
            <w:vAlign w:val="bottom"/>
            <w:gridSpan w:val="6"/>
          </w:tcPr>
          <w:p>
            <w:pPr>
              <w:jc w:val="right"/>
              <w:ind w:right="119"/>
              <w:spacing w:after="0" w:line="83" w:lineRule="exact"/>
              <w:rPr>
                <w:sz w:val="20"/>
                <w:szCs w:val="20"/>
                <w:color w:val="auto"/>
              </w:rPr>
            </w:pPr>
            <w:r>
              <w:rPr>
                <w:rFonts w:ascii="Arial" w:cs="Arial" w:eastAsia="Arial" w:hAnsi="Arial"/>
                <w:sz w:val="8"/>
                <w:szCs w:val="8"/>
                <w:color w:val="auto"/>
              </w:rPr>
              <w:t>4,984,071</w:t>
            </w:r>
          </w:p>
        </w:tc>
        <w:tc>
          <w:tcPr>
            <w:tcW w:w="100" w:type="dxa"/>
            <w:vAlign w:val="bottom"/>
          </w:tcPr>
          <w:p>
            <w:pPr>
              <w:spacing w:after="0"/>
              <w:rPr>
                <w:sz w:val="7"/>
                <w:szCs w:val="7"/>
                <w:color w:val="auto"/>
              </w:rPr>
            </w:pPr>
          </w:p>
        </w:tc>
        <w:tc>
          <w:tcPr>
            <w:tcW w:w="920" w:type="dxa"/>
            <w:vAlign w:val="bottom"/>
            <w:gridSpan w:val="4"/>
          </w:tcPr>
          <w:p>
            <w:pPr>
              <w:jc w:val="right"/>
              <w:spacing w:after="0" w:line="83" w:lineRule="exact"/>
              <w:rPr>
                <w:sz w:val="20"/>
                <w:szCs w:val="20"/>
                <w:color w:val="auto"/>
              </w:rPr>
            </w:pPr>
            <w:r>
              <w:rPr>
                <w:rFonts w:ascii="Arial" w:cs="Arial" w:eastAsia="Arial" w:hAnsi="Arial"/>
                <w:sz w:val="8"/>
                <w:szCs w:val="8"/>
                <w:color w:val="auto"/>
              </w:rPr>
              <w:t>4,688,805</w:t>
            </w:r>
          </w:p>
        </w:tc>
      </w:tr>
      <w:tr>
        <w:trPr>
          <w:trHeight w:val="100"/>
        </w:trPr>
        <w:tc>
          <w:tcPr>
            <w:tcW w:w="6340" w:type="dxa"/>
            <w:vAlign w:val="bottom"/>
            <w:gridSpan w:val="5"/>
          </w:tcPr>
          <w:p>
            <w:pPr>
              <w:ind w:left="100"/>
              <w:spacing w:after="0"/>
              <w:rPr>
                <w:sz w:val="20"/>
                <w:szCs w:val="20"/>
                <w:color w:val="auto"/>
              </w:rPr>
            </w:pPr>
            <w:r>
              <w:rPr>
                <w:rFonts w:ascii="Arial" w:cs="Arial" w:eastAsia="Arial" w:hAnsi="Arial"/>
                <w:sz w:val="8"/>
                <w:szCs w:val="8"/>
                <w:color w:val="auto"/>
              </w:rPr>
              <w:t>Less: cash</w:t>
            </w:r>
          </w:p>
        </w:tc>
        <w:tc>
          <w:tcPr>
            <w:tcW w:w="2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8"/>
                <w:szCs w:val="8"/>
                <w:color w:val="auto"/>
              </w:rPr>
              <w:t>(145,561)</w:t>
            </w:r>
          </w:p>
        </w:tc>
        <w:tc>
          <w:tcPr>
            <w:tcW w:w="1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8"/>
                <w:szCs w:val="8"/>
                <w:color w:val="auto"/>
              </w:rPr>
              <w:t>(120,661)</w:t>
            </w:r>
          </w:p>
        </w:tc>
        <w:tc>
          <w:tcPr>
            <w:tcW w:w="13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8"/>
                <w:szCs w:val="8"/>
                <w:color w:val="auto"/>
              </w:rPr>
              <w:t>(61,884)</w:t>
            </w: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8"/>
                <w:szCs w:val="8"/>
                <w:color w:val="auto"/>
              </w:rPr>
              <w:t>(91,354)</w:t>
            </w:r>
          </w:p>
        </w:tc>
      </w:tr>
      <w:tr>
        <w:trPr>
          <w:trHeight w:val="89"/>
        </w:trPr>
        <w:tc>
          <w:tcPr>
            <w:tcW w:w="6600" w:type="dxa"/>
            <w:vAlign w:val="bottom"/>
            <w:gridSpan w:val="6"/>
          </w:tcPr>
          <w:p>
            <w:pPr>
              <w:spacing w:after="0" w:line="89" w:lineRule="exact"/>
              <w:rPr>
                <w:sz w:val="20"/>
                <w:szCs w:val="20"/>
                <w:color w:val="auto"/>
              </w:rPr>
            </w:pPr>
            <w:r>
              <w:rPr>
                <w:rFonts w:ascii="Arial" w:cs="Arial" w:eastAsia="Arial" w:hAnsi="Arial"/>
                <w:sz w:val="8"/>
                <w:szCs w:val="8"/>
                <w:color w:val="auto"/>
              </w:rPr>
              <w:t>Net debt and preferred stock</w:t>
            </w:r>
          </w:p>
        </w:tc>
        <w:tc>
          <w:tcPr>
            <w:tcW w:w="1200" w:type="dxa"/>
            <w:vAlign w:val="bottom"/>
            <w:gridSpan w:val="3"/>
          </w:tcPr>
          <w:p>
            <w:pPr>
              <w:jc w:val="right"/>
              <w:ind w:right="179"/>
              <w:spacing w:after="0" w:line="89" w:lineRule="exact"/>
              <w:rPr>
                <w:sz w:val="20"/>
                <w:szCs w:val="20"/>
                <w:color w:val="auto"/>
              </w:rPr>
            </w:pPr>
            <w:r>
              <w:rPr>
                <w:rFonts w:ascii="Arial" w:cs="Arial" w:eastAsia="Arial" w:hAnsi="Arial"/>
                <w:sz w:val="8"/>
                <w:szCs w:val="8"/>
                <w:color w:val="auto"/>
              </w:rPr>
              <w:t>$5,621,845</w:t>
            </w:r>
          </w:p>
        </w:tc>
        <w:tc>
          <w:tcPr>
            <w:tcW w:w="1180" w:type="dxa"/>
            <w:vAlign w:val="bottom"/>
            <w:gridSpan w:val="3"/>
          </w:tcPr>
          <w:p>
            <w:pPr>
              <w:jc w:val="right"/>
              <w:ind w:right="79"/>
              <w:spacing w:after="0" w:line="89" w:lineRule="exact"/>
              <w:rPr>
                <w:sz w:val="20"/>
                <w:szCs w:val="20"/>
                <w:color w:val="auto"/>
              </w:rPr>
            </w:pPr>
            <w:r>
              <w:rPr>
                <w:rFonts w:ascii="Arial" w:cs="Arial" w:eastAsia="Arial" w:hAnsi="Arial"/>
                <w:sz w:val="8"/>
                <w:szCs w:val="8"/>
                <w:color w:val="auto"/>
              </w:rPr>
              <w:t>$5,384,647</w:t>
            </w:r>
          </w:p>
        </w:tc>
        <w:tc>
          <w:tcPr>
            <w:tcW w:w="1300" w:type="dxa"/>
            <w:vAlign w:val="bottom"/>
            <w:gridSpan w:val="6"/>
          </w:tcPr>
          <w:p>
            <w:pPr>
              <w:jc w:val="right"/>
              <w:ind w:right="119"/>
              <w:spacing w:after="0" w:line="89" w:lineRule="exact"/>
              <w:rPr>
                <w:sz w:val="20"/>
                <w:szCs w:val="20"/>
                <w:color w:val="auto"/>
              </w:rPr>
            </w:pPr>
            <w:r>
              <w:rPr>
                <w:rFonts w:ascii="Arial" w:cs="Arial" w:eastAsia="Arial" w:hAnsi="Arial"/>
                <w:sz w:val="8"/>
                <w:szCs w:val="8"/>
                <w:color w:val="auto"/>
              </w:rPr>
              <w:t>$5,147,187</w:t>
            </w:r>
          </w:p>
        </w:tc>
        <w:tc>
          <w:tcPr>
            <w:tcW w:w="100" w:type="dxa"/>
            <w:vAlign w:val="bottom"/>
          </w:tcPr>
          <w:p>
            <w:pPr>
              <w:spacing w:after="0"/>
              <w:rPr>
                <w:sz w:val="7"/>
                <w:szCs w:val="7"/>
                <w:color w:val="auto"/>
              </w:rPr>
            </w:pPr>
          </w:p>
        </w:tc>
        <w:tc>
          <w:tcPr>
            <w:tcW w:w="920" w:type="dxa"/>
            <w:vAlign w:val="bottom"/>
            <w:gridSpan w:val="4"/>
          </w:tcPr>
          <w:p>
            <w:pPr>
              <w:jc w:val="right"/>
              <w:spacing w:after="0" w:line="89" w:lineRule="exact"/>
              <w:rPr>
                <w:sz w:val="20"/>
                <w:szCs w:val="20"/>
                <w:color w:val="auto"/>
              </w:rPr>
            </w:pPr>
            <w:r>
              <w:rPr>
                <w:rFonts w:ascii="Arial" w:cs="Arial" w:eastAsia="Arial" w:hAnsi="Arial"/>
                <w:sz w:val="8"/>
                <w:szCs w:val="8"/>
                <w:color w:val="auto"/>
              </w:rPr>
              <w:t>$4,822,451</w:t>
            </w:r>
          </w:p>
        </w:tc>
      </w:tr>
      <w:tr>
        <w:trPr>
          <w:trHeight w:val="195"/>
        </w:trPr>
        <w:tc>
          <w:tcPr>
            <w:tcW w:w="6340" w:type="dxa"/>
            <w:vAlign w:val="bottom"/>
            <w:gridSpan w:val="5"/>
          </w:tcPr>
          <w:p>
            <w:pPr>
              <w:spacing w:after="0"/>
              <w:rPr>
                <w:sz w:val="20"/>
                <w:szCs w:val="20"/>
                <w:color w:val="auto"/>
              </w:rPr>
            </w:pPr>
            <w:r>
              <w:rPr>
                <w:rFonts w:ascii="Arial" w:cs="Arial" w:eastAsia="Arial" w:hAnsi="Arial"/>
                <w:sz w:val="8"/>
                <w:szCs w:val="8"/>
                <w:color w:val="auto"/>
              </w:rPr>
              <w:t>Total market capitalization</w:t>
            </w: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ind w:right="179"/>
              <w:spacing w:after="0"/>
              <w:rPr>
                <w:sz w:val="20"/>
                <w:szCs w:val="20"/>
                <w:color w:val="auto"/>
              </w:rPr>
            </w:pPr>
            <w:r>
              <w:rPr>
                <w:rFonts w:ascii="Arial" w:cs="Arial" w:eastAsia="Arial" w:hAnsi="Arial"/>
                <w:sz w:val="8"/>
                <w:szCs w:val="8"/>
                <w:color w:val="auto"/>
              </w:rPr>
              <w:t>$19,764,666</w:t>
            </w:r>
          </w:p>
        </w:tc>
        <w:tc>
          <w:tcPr>
            <w:tcW w:w="118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8"/>
                <w:szCs w:val="8"/>
                <w:color w:val="auto"/>
              </w:rPr>
              <w:t>$18,275,309</w:t>
            </w:r>
          </w:p>
        </w:tc>
        <w:tc>
          <w:tcPr>
            <w:tcW w:w="1300" w:type="dxa"/>
            <w:vAlign w:val="bottom"/>
            <w:tcBorders>
              <w:top w:val="single" w:sz="8" w:color="auto"/>
              <w:bottom w:val="single" w:sz="8" w:color="auto"/>
            </w:tcBorders>
            <w:gridSpan w:val="6"/>
          </w:tcPr>
          <w:p>
            <w:pPr>
              <w:jc w:val="right"/>
              <w:ind w:right="119"/>
              <w:spacing w:after="0"/>
              <w:rPr>
                <w:sz w:val="20"/>
                <w:szCs w:val="20"/>
                <w:color w:val="auto"/>
              </w:rPr>
            </w:pPr>
            <w:r>
              <w:rPr>
                <w:rFonts w:ascii="Arial" w:cs="Arial" w:eastAsia="Arial" w:hAnsi="Arial"/>
                <w:sz w:val="8"/>
                <w:szCs w:val="8"/>
                <w:color w:val="auto"/>
              </w:rPr>
              <w:t>$18,636,315</w:t>
            </w:r>
          </w:p>
        </w:tc>
        <w:tc>
          <w:tcPr>
            <w:tcW w:w="1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8"/>
                <w:szCs w:val="8"/>
                <w:color w:val="auto"/>
              </w:rPr>
              <w:t>$17,263,582</w:t>
            </w:r>
          </w:p>
        </w:tc>
      </w:tr>
      <w:tr>
        <w:trPr>
          <w:trHeight w:val="289"/>
        </w:trPr>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8"/>
                <w:szCs w:val="8"/>
                <w:color w:val="auto"/>
              </w:rPr>
              <w:t>Debt metrics (pro-rata; trailing 12 months "TTM")</w:t>
            </w:r>
          </w:p>
        </w:tc>
        <w:tc>
          <w:tcPr>
            <w:tcW w:w="4760" w:type="dxa"/>
            <w:vAlign w:val="bottom"/>
            <w:gridSpan w:val="2"/>
          </w:tcPr>
          <w:p>
            <w:pPr>
              <w:jc w:val="right"/>
              <w:ind w:right="4680"/>
              <w:spacing w:after="0"/>
              <w:rPr>
                <w:sz w:val="20"/>
                <w:szCs w:val="20"/>
                <w:color w:val="auto"/>
              </w:rPr>
            </w:pPr>
            <w:r>
              <w:rPr>
                <w:rFonts w:ascii="Arial" w:cs="Arial" w:eastAsia="Arial" w:hAnsi="Arial"/>
                <w:sz w:val="6"/>
                <w:szCs w:val="6"/>
                <w:color w:val="auto"/>
                <w:highlight w:val="black"/>
                <w:w w:val="81"/>
              </w:rPr>
              <w:t>(2)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7"/>
        </w:trPr>
        <w:tc>
          <w:tcPr>
            <w:tcW w:w="6600" w:type="dxa"/>
            <w:vAlign w:val="bottom"/>
            <w:gridSpan w:val="6"/>
          </w:tcPr>
          <w:p>
            <w:pPr>
              <w:spacing w:after="0"/>
              <w:rPr>
                <w:sz w:val="20"/>
                <w:szCs w:val="20"/>
                <w:color w:val="auto"/>
              </w:rPr>
            </w:pPr>
            <w:r>
              <w:rPr>
                <w:rFonts w:ascii="Arial" w:cs="Arial" w:eastAsia="Arial" w:hAnsi="Arial"/>
                <w:sz w:val="8"/>
                <w:szCs w:val="8"/>
                <w:color w:val="auto"/>
              </w:rPr>
              <w:t>Net Debt and Preferreds-to-Operating EBITDAre</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jc w:val="right"/>
              <w:ind w:right="179"/>
              <w:spacing w:after="0"/>
              <w:rPr>
                <w:sz w:val="20"/>
                <w:szCs w:val="20"/>
                <w:color w:val="auto"/>
              </w:rPr>
            </w:pPr>
            <w:r>
              <w:rPr>
                <w:rFonts w:ascii="Arial" w:cs="Arial" w:eastAsia="Arial" w:hAnsi="Arial"/>
                <w:sz w:val="8"/>
                <w:szCs w:val="8"/>
                <w:color w:val="auto"/>
              </w:rPr>
              <w:t>5.2x</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Arial" w:cs="Arial" w:eastAsia="Arial" w:hAnsi="Arial"/>
                <w:sz w:val="8"/>
                <w:szCs w:val="8"/>
                <w:color w:val="auto"/>
              </w:rPr>
              <w:t>5.1x</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8"/>
                <w:szCs w:val="8"/>
                <w:color w:val="auto"/>
              </w:rPr>
              <w:t>5.2x</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5.4x</w:t>
            </w:r>
          </w:p>
        </w:tc>
      </w:tr>
      <w:tr>
        <w:trPr>
          <w:trHeight w:val="99"/>
        </w:trPr>
        <w:tc>
          <w:tcPr>
            <w:tcW w:w="6600" w:type="dxa"/>
            <w:vAlign w:val="bottom"/>
            <w:gridSpan w:val="6"/>
          </w:tcPr>
          <w:p>
            <w:pPr>
              <w:ind w:left="220"/>
              <w:spacing w:after="0"/>
              <w:rPr>
                <w:sz w:val="20"/>
                <w:szCs w:val="20"/>
                <w:color w:val="auto"/>
              </w:rPr>
            </w:pPr>
            <w:r>
              <w:rPr>
                <w:rFonts w:ascii="Arial" w:cs="Arial" w:eastAsia="Arial" w:hAnsi="Arial"/>
                <w:sz w:val="8"/>
                <w:szCs w:val="8"/>
                <w:color w:val="auto"/>
              </w:rPr>
              <w:t>Net Debt and Preferreds-to-Operating EBITDAre, adjusted</w:t>
            </w: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5.1x</w:t>
            </w:r>
          </w:p>
        </w:tc>
      </w:tr>
      <w:tr>
        <w:trPr>
          <w:trHeight w:val="199"/>
        </w:trPr>
        <w:tc>
          <w:tcPr>
            <w:tcW w:w="6600" w:type="dxa"/>
            <w:vAlign w:val="bottom"/>
            <w:gridSpan w:val="6"/>
          </w:tcPr>
          <w:p>
            <w:pPr>
              <w:spacing w:after="0"/>
              <w:rPr>
                <w:sz w:val="20"/>
                <w:szCs w:val="20"/>
                <w:color w:val="auto"/>
              </w:rPr>
            </w:pPr>
            <w:r>
              <w:rPr>
                <w:rFonts w:ascii="Arial" w:cs="Arial" w:eastAsia="Arial" w:hAnsi="Arial"/>
                <w:sz w:val="8"/>
                <w:szCs w:val="8"/>
                <w:color w:val="auto"/>
              </w:rPr>
              <w:t>Fixed charge coverage</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jc w:val="right"/>
              <w:ind w:right="179"/>
              <w:spacing w:after="0"/>
              <w:rPr>
                <w:sz w:val="20"/>
                <w:szCs w:val="20"/>
                <w:color w:val="auto"/>
              </w:rPr>
            </w:pPr>
            <w:r>
              <w:rPr>
                <w:rFonts w:ascii="Arial" w:cs="Arial" w:eastAsia="Arial" w:hAnsi="Arial"/>
                <w:sz w:val="8"/>
                <w:szCs w:val="8"/>
                <w:color w:val="auto"/>
              </w:rPr>
              <w:t>4.2x</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8"/>
                <w:szCs w:val="8"/>
                <w:color w:val="auto"/>
              </w:rPr>
              <w:t>4.2x</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8"/>
                <w:szCs w:val="8"/>
                <w:color w:val="auto"/>
              </w:rPr>
              <w:t>4.3x</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8"/>
                <w:szCs w:val="8"/>
                <w:color w:val="auto"/>
              </w:rPr>
              <w:t>4.7x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-1628140</wp:posOffset>
            </wp:positionV>
            <wp:extent cx="149225" cy="692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9225" cy="69215"/>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-1628140</wp:posOffset>
            </wp:positionV>
            <wp:extent cx="149225" cy="692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9225" cy="6921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-1628140</wp:posOffset>
            </wp:positionV>
            <wp:extent cx="149225" cy="692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9225" cy="69215"/>
                    </a:xfrm>
                    <a:prstGeom prst="rect">
                      <a:avLst/>
                    </a:prstGeom>
                    <a:noFill/>
                  </pic:spPr>
                </pic:pic>
              </a:graphicData>
            </a:graphic>
          </wp:anchor>
        </w:drawing>
        <w:drawing>
          <wp:anchor simplePos="0" relativeHeight="251657728" behindDoc="1" locked="0" layoutInCell="0" allowOverlap="1">
            <wp:simplePos x="0" y="0"/>
            <wp:positionH relativeFrom="column">
              <wp:posOffset>6731635</wp:posOffset>
            </wp:positionH>
            <wp:positionV relativeFrom="paragraph">
              <wp:posOffset>-1628140</wp:posOffset>
            </wp:positionV>
            <wp:extent cx="149225" cy="692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9225" cy="69215"/>
                    </a:xfrm>
                    <a:prstGeom prst="rect">
                      <a:avLst/>
                    </a:prstGeom>
                    <a:noFill/>
                  </pic:spPr>
                </pic:pic>
              </a:graphicData>
            </a:graphic>
          </wp:anchor>
        </w:drawing>
      </w:r>
    </w:p>
    <w:p>
      <w:pPr>
        <w:spacing w:after="0" w:line="196" w:lineRule="exact"/>
        <w:rPr>
          <w:sz w:val="20"/>
          <w:szCs w:val="20"/>
          <w:color w:val="auto"/>
        </w:rPr>
      </w:pPr>
    </w:p>
    <w:p>
      <w:pPr>
        <w:ind w:left="308" w:right="20" w:hanging="308"/>
        <w:spacing w:after="0"/>
        <w:tabs>
          <w:tab w:leader="none" w:pos="308" w:val="left"/>
        </w:tabs>
        <w:numPr>
          <w:ilvl w:val="0"/>
          <w:numId w:val="32"/>
        </w:numPr>
        <w:rPr>
          <w:rFonts w:ascii="Arial" w:cs="Arial" w:eastAsia="Arial" w:hAnsi="Arial"/>
          <w:sz w:val="11"/>
          <w:szCs w:val="11"/>
          <w:color w:val="auto"/>
          <w:vertAlign w:val="superscript"/>
        </w:rPr>
      </w:pPr>
      <w:r>
        <w:rPr>
          <w:rFonts w:ascii="Arial" w:cs="Arial" w:eastAsia="Arial" w:hAnsi="Arial"/>
          <w:sz w:val="8"/>
          <w:szCs w:val="8"/>
          <w:color w:val="auto"/>
        </w:rPr>
        <w:t>Regency has outstanding 4.6M shares of 6.25% Series A Cumulative Redeemable Preferred Stock with a liquidation preference of $115M and callable on demand, and 4.4M shares of 5.875% Series B Cumulative Redeemable Preferred Stock with a liquidation preference of $110M and callable on demand.</w:t>
      </w:r>
    </w:p>
    <w:p>
      <w:pPr>
        <w:spacing w:after="0" w:line="55" w:lineRule="exact"/>
        <w:rPr>
          <w:rFonts w:ascii="Arial" w:cs="Arial" w:eastAsia="Arial" w:hAnsi="Arial"/>
          <w:sz w:val="11"/>
          <w:szCs w:val="11"/>
          <w:color w:val="auto"/>
          <w:vertAlign w:val="superscript"/>
        </w:rPr>
      </w:pPr>
    </w:p>
    <w:p>
      <w:pPr>
        <w:ind w:left="308" w:hanging="308"/>
        <w:spacing w:after="0" w:line="223" w:lineRule="auto"/>
        <w:tabs>
          <w:tab w:leader="none" w:pos="308" w:val="left"/>
        </w:tabs>
        <w:numPr>
          <w:ilvl w:val="0"/>
          <w:numId w:val="32"/>
        </w:numPr>
        <w:rPr>
          <w:rFonts w:ascii="Arial" w:cs="Arial" w:eastAsia="Arial" w:hAnsi="Arial"/>
          <w:sz w:val="11"/>
          <w:szCs w:val="11"/>
          <w:color w:val="auto"/>
          <w:vertAlign w:val="superscript"/>
        </w:rPr>
      </w:pPr>
      <w:r>
        <w:rPr>
          <w:rFonts w:ascii="Arial" w:cs="Arial" w:eastAsia="Arial" w:hAnsi="Arial"/>
          <w:sz w:val="8"/>
          <w:szCs w:val="8"/>
          <w:color w:val="auto"/>
        </w:rPr>
        <w:t>In light of the merger with UBP on August 18, 2023, adjusted debt metric calculations include legacy Regency results for the trailing 12 months and the annualized contribution from UBP post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635</wp:posOffset>
            </wp:positionV>
            <wp:extent cx="281305" cy="149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6" w:lineRule="exact"/>
        <w:rPr>
          <w:sz w:val="20"/>
          <w:szCs w:val="20"/>
          <w:color w:val="auto"/>
        </w:rPr>
      </w:pPr>
    </w:p>
    <w:p>
      <w:pPr>
        <w:ind w:left="10268"/>
        <w:spacing w:after="0"/>
        <w:tabs>
          <w:tab w:leader="none" w:pos="1116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2"/>
          <w:szCs w:val="12"/>
          <w:color w:val="auto"/>
          <w:highlight w:val="black"/>
        </w:rPr>
        <w:t xml:space="preserve">Real </w:t>
      </w:r>
      <w:r>
        <w:rPr>
          <w:rFonts w:ascii="Arial" w:cs="Arial" w:eastAsia="Arial" w:hAnsi="Arial"/>
          <w:sz w:val="12"/>
          <w:szCs w:val="12"/>
          <w:color w:val="auto"/>
        </w:rPr>
        <w:t>Estate Portfolio Summary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(GLA in thousands)</w:t>
      </w:r>
    </w:p>
    <w:p>
      <w:pPr>
        <w:spacing w:after="0" w:line="71" w:lineRule="exact"/>
        <w:rPr>
          <w:sz w:val="20"/>
          <w:szCs w:val="20"/>
          <w:color w:val="auto"/>
        </w:rPr>
      </w:pPr>
    </w:p>
    <w:tbl>
      <w:tblPr>
        <w:tblLayout w:type="fixed"/>
        <w:tblInd w:w="220" w:type="dxa"/>
        <w:tblCellMar>
          <w:top w:w="0" w:type="dxa"/>
          <w:left w:w="0" w:type="dxa"/>
          <w:bottom w:w="0" w:type="dxa"/>
          <w:right w:w="0" w:type="dxa"/>
        </w:tblCellMar>
      </w:tblPr>
      <w:tr>
        <w:trPr>
          <w:trHeight w:val="112"/>
        </w:trPr>
        <w:tc>
          <w:tcPr>
            <w:tcW w:w="1780" w:type="dxa"/>
            <w:vAlign w:val="bottom"/>
            <w:tcBorders>
              <w:bottom w:val="single" w:sz="8" w:color="auto"/>
            </w:tcBorders>
          </w:tcPr>
          <w:p>
            <w:pPr>
              <w:spacing w:after="0"/>
              <w:rPr>
                <w:sz w:val="20"/>
                <w:szCs w:val="20"/>
                <w:color w:val="auto"/>
              </w:rPr>
            </w:pPr>
            <w:r>
              <w:rPr>
                <w:rFonts w:ascii="Arial" w:cs="Arial" w:eastAsia="Arial" w:hAnsi="Arial"/>
                <w:sz w:val="8"/>
                <w:szCs w:val="8"/>
                <w:color w:val="auto"/>
                <w:w w:val="95"/>
              </w:rPr>
              <w:t>Consolidated and 100% of Real Estate Partnerships</w:t>
            </w:r>
          </w:p>
        </w:tc>
        <w:tc>
          <w:tcPr>
            <w:tcW w:w="3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highlight w:val="black"/>
              </w:rPr>
              <w:t>3/31/2026</w:t>
            </w:r>
          </w:p>
        </w:tc>
        <w:tc>
          <w:tcPr>
            <w:tcW w:w="66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highlight w:val="black"/>
                <w:w w:val="99"/>
              </w:rPr>
              <w:t>12/31/2025</w:t>
            </w:r>
          </w:p>
        </w:tc>
        <w:tc>
          <w:tcPr>
            <w:tcW w:w="64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highlight w:val="black"/>
              </w:rPr>
              <w:t>9/30/2025</w:t>
            </w:r>
          </w:p>
        </w:tc>
        <w:tc>
          <w:tcPr>
            <w:tcW w:w="66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highlight w:val="black"/>
              </w:rPr>
              <w:t>6/30/2025</w:t>
            </w:r>
          </w:p>
        </w:tc>
        <w:tc>
          <w:tcPr>
            <w:tcW w:w="660" w:type="dxa"/>
            <w:vAlign w:val="bottom"/>
          </w:tcPr>
          <w:p>
            <w:pPr>
              <w:spacing w:after="0"/>
              <w:rPr>
                <w:sz w:val="9"/>
                <w:szCs w:val="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highlight w:val="black"/>
              </w:rPr>
              <w:t>3/31/2025</w:t>
            </w:r>
          </w:p>
        </w:tc>
        <w:tc>
          <w:tcPr>
            <w:tcW w:w="340" w:type="dxa"/>
            <w:vAlign w:val="bottom"/>
          </w:tcPr>
          <w:p>
            <w:pPr>
              <w:spacing w:after="0"/>
              <w:rPr>
                <w:sz w:val="9"/>
                <w:szCs w:val="9"/>
                <w:color w:val="auto"/>
              </w:rPr>
            </w:pPr>
          </w:p>
        </w:tc>
      </w:tr>
      <w:tr>
        <w:trPr>
          <w:trHeight w:val="186"/>
        </w:trPr>
        <w:tc>
          <w:tcPr>
            <w:tcW w:w="6040" w:type="dxa"/>
            <w:vAlign w:val="bottom"/>
            <w:gridSpan w:val="3"/>
          </w:tcPr>
          <w:p>
            <w:pPr>
              <w:spacing w:after="0"/>
              <w:rPr>
                <w:sz w:val="20"/>
                <w:szCs w:val="20"/>
                <w:color w:val="auto"/>
              </w:rPr>
            </w:pPr>
            <w:r>
              <w:rPr>
                <w:rFonts w:ascii="Arial" w:cs="Arial" w:eastAsia="Arial" w:hAnsi="Arial"/>
                <w:sz w:val="8"/>
                <w:szCs w:val="8"/>
                <w:color w:val="auto"/>
              </w:rPr>
              <w:t>Number of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89"/>
              </w:rPr>
              <w:t>481</w:t>
            </w:r>
          </w:p>
        </w:tc>
        <w:tc>
          <w:tcPr>
            <w:tcW w:w="6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9"/>
              </w:rPr>
              <w:t>481</w:t>
            </w:r>
          </w:p>
        </w:tc>
        <w:tc>
          <w:tcPr>
            <w:tcW w:w="6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rPr>
              <w:t>485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483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483</w:t>
            </w:r>
          </w:p>
        </w:tc>
        <w:tc>
          <w:tcPr>
            <w:tcW w:w="340" w:type="dxa"/>
            <w:vAlign w:val="bottom"/>
          </w:tcPr>
          <w:p>
            <w:pPr>
              <w:spacing w:after="0"/>
              <w:rPr>
                <w:sz w:val="16"/>
                <w:szCs w:val="16"/>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Number of retail operating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89"/>
              </w:rPr>
              <w:t>474</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9"/>
              </w:rPr>
              <w:t>473</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rPr>
              <w:t>478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476</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475</w:t>
            </w:r>
          </w:p>
        </w:tc>
        <w:tc>
          <w:tcPr>
            <w:tcW w:w="340" w:type="dxa"/>
            <w:vAlign w:val="bottom"/>
          </w:tcPr>
          <w:p>
            <w:pPr>
              <w:spacing w:after="0"/>
              <w:rPr>
                <w:sz w:val="17"/>
                <w:szCs w:val="17"/>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Number of same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89"/>
              </w:rPr>
              <w:t>462</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9"/>
              </w:rPr>
              <w:t>459</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rPr>
              <w:t>466</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469</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470</w:t>
            </w:r>
          </w:p>
        </w:tc>
        <w:tc>
          <w:tcPr>
            <w:tcW w:w="340" w:type="dxa"/>
            <w:vAlign w:val="bottom"/>
          </w:tcPr>
          <w:p>
            <w:pPr>
              <w:spacing w:after="0"/>
              <w:rPr>
                <w:sz w:val="17"/>
                <w:szCs w:val="17"/>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8"/>
                <w:szCs w:val="8"/>
                <w:color w:val="auto"/>
              </w:rPr>
              <w:t>Number of properties in development</w:t>
            </w:r>
            <w:r>
              <w:rPr>
                <w:rFonts w:ascii="Arial" w:cs="Arial" w:eastAsia="Arial" w:hAnsi="Arial"/>
                <w:sz w:val="10"/>
                <w:szCs w:val="10"/>
                <w:color w:val="auto"/>
                <w:vertAlign w:val="superscript"/>
              </w:rPr>
              <w:t>(1)</w:t>
            </w:r>
          </w:p>
        </w:tc>
        <w:tc>
          <w:tcPr>
            <w:tcW w:w="360" w:type="dxa"/>
            <w:vAlign w:val="bottom"/>
          </w:tcPr>
          <w:p>
            <w:pPr>
              <w:jc w:val="center"/>
              <w:spacing w:after="0"/>
              <w:rPr>
                <w:sz w:val="20"/>
                <w:szCs w:val="20"/>
                <w:color w:val="auto"/>
              </w:rPr>
            </w:pPr>
            <w:r>
              <w:rPr>
                <w:rFonts w:ascii="Arial" w:cs="Arial" w:eastAsia="Arial" w:hAnsi="Arial"/>
                <w:sz w:val="8"/>
                <w:szCs w:val="8"/>
                <w:color w:val="auto"/>
                <w:w w:val="88"/>
              </w:rPr>
              <w:t>7</w:t>
            </w:r>
          </w:p>
        </w:tc>
        <w:tc>
          <w:tcPr>
            <w:tcW w:w="6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8"/>
              </w:rPr>
              <w:t>8</w:t>
            </w:r>
          </w:p>
        </w:tc>
        <w:tc>
          <w:tcPr>
            <w:tcW w:w="6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88"/>
              </w:rPr>
              <w:t>7</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8"/>
              </w:rPr>
              <w:t>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8"/>
              </w:rPr>
              <w:t>6</w:t>
            </w:r>
          </w:p>
        </w:tc>
        <w:tc>
          <w:tcPr>
            <w:tcW w:w="340" w:type="dxa"/>
            <w:vAlign w:val="bottom"/>
          </w:tcPr>
          <w:p>
            <w:pPr>
              <w:spacing w:after="0"/>
              <w:rPr>
                <w:sz w:val="20"/>
                <w:szCs w:val="20"/>
                <w:color w:val="auto"/>
              </w:rPr>
            </w:pPr>
          </w:p>
        </w:tc>
      </w:tr>
      <w:tr>
        <w:trPr>
          <w:trHeight w:val="66"/>
        </w:trPr>
        <w:tc>
          <w:tcPr>
            <w:tcW w:w="1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186"/>
        </w:trPr>
        <w:tc>
          <w:tcPr>
            <w:tcW w:w="6040" w:type="dxa"/>
            <w:vAlign w:val="bottom"/>
            <w:gridSpan w:val="3"/>
          </w:tcPr>
          <w:p>
            <w:pPr>
              <w:spacing w:after="0"/>
              <w:rPr>
                <w:sz w:val="20"/>
                <w:szCs w:val="20"/>
                <w:color w:val="auto"/>
              </w:rPr>
            </w:pPr>
            <w:r>
              <w:rPr>
                <w:rFonts w:ascii="Arial" w:cs="Arial" w:eastAsia="Arial" w:hAnsi="Arial"/>
                <w:sz w:val="8"/>
                <w:szCs w:val="8"/>
                <w:color w:val="auto"/>
              </w:rPr>
              <w:t>Gross Leasable Area (GLA) - All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58,508</w:t>
            </w:r>
          </w:p>
        </w:tc>
        <w:tc>
          <w:tcPr>
            <w:tcW w:w="6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58,377</w:t>
            </w:r>
          </w:p>
        </w:tc>
        <w:tc>
          <w:tcPr>
            <w:tcW w:w="6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58,615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57,643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57,654</w:t>
            </w:r>
          </w:p>
        </w:tc>
        <w:tc>
          <w:tcPr>
            <w:tcW w:w="340" w:type="dxa"/>
            <w:vAlign w:val="bottom"/>
          </w:tcPr>
          <w:p>
            <w:pPr>
              <w:spacing w:after="0"/>
              <w:rPr>
                <w:sz w:val="16"/>
                <w:szCs w:val="16"/>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GLA - Retail operating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57,618</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57,411</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57,732</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57,006</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56,863</w:t>
            </w:r>
          </w:p>
        </w:tc>
        <w:tc>
          <w:tcPr>
            <w:tcW w:w="340" w:type="dxa"/>
            <w:vAlign w:val="bottom"/>
          </w:tcPr>
          <w:p>
            <w:pPr>
              <w:spacing w:after="0"/>
              <w:rPr>
                <w:sz w:val="17"/>
                <w:szCs w:val="17"/>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GLA - Same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55,954</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55,147</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55,778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55,675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55,735</w:t>
            </w:r>
          </w:p>
        </w:tc>
        <w:tc>
          <w:tcPr>
            <w:tcW w:w="340" w:type="dxa"/>
            <w:vAlign w:val="bottom"/>
          </w:tcPr>
          <w:p>
            <w:pPr>
              <w:spacing w:after="0"/>
              <w:rPr>
                <w:sz w:val="17"/>
                <w:szCs w:val="17"/>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8"/>
                <w:szCs w:val="8"/>
                <w:color w:val="auto"/>
              </w:rPr>
              <w:t>GLA - Properties in development</w:t>
            </w:r>
            <w:r>
              <w:rPr>
                <w:rFonts w:ascii="Arial" w:cs="Arial" w:eastAsia="Arial" w:hAnsi="Arial"/>
                <w:sz w:val="10"/>
                <w:szCs w:val="10"/>
                <w:color w:val="auto"/>
                <w:vertAlign w:val="superscript"/>
              </w:rPr>
              <w:t>(1)</w:t>
            </w:r>
          </w:p>
        </w:tc>
        <w:tc>
          <w:tcPr>
            <w:tcW w:w="360" w:type="dxa"/>
            <w:vAlign w:val="bottom"/>
          </w:tcPr>
          <w:p>
            <w:pPr>
              <w:jc w:val="center"/>
              <w:spacing w:after="0"/>
              <w:rPr>
                <w:sz w:val="20"/>
                <w:szCs w:val="20"/>
                <w:color w:val="auto"/>
              </w:rPr>
            </w:pPr>
            <w:r>
              <w:rPr>
                <w:rFonts w:ascii="Arial" w:cs="Arial" w:eastAsia="Arial" w:hAnsi="Arial"/>
                <w:sz w:val="8"/>
                <w:szCs w:val="8"/>
                <w:color w:val="auto"/>
                <w:w w:val="89"/>
              </w:rPr>
              <w:t>889</w:t>
            </w:r>
          </w:p>
        </w:tc>
        <w:tc>
          <w:tcPr>
            <w:tcW w:w="6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9"/>
              </w:rPr>
              <w:t>967</w:t>
            </w:r>
          </w:p>
        </w:tc>
        <w:tc>
          <w:tcPr>
            <w:tcW w:w="6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rPr>
              <w:t>883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598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752</w:t>
            </w:r>
          </w:p>
        </w:tc>
        <w:tc>
          <w:tcPr>
            <w:tcW w:w="340" w:type="dxa"/>
            <w:vAlign w:val="bottom"/>
          </w:tcPr>
          <w:p>
            <w:pPr>
              <w:spacing w:after="0"/>
              <w:rPr>
                <w:sz w:val="20"/>
                <w:szCs w:val="20"/>
                <w:color w:val="auto"/>
              </w:rPr>
            </w:pPr>
          </w:p>
        </w:tc>
      </w:tr>
      <w:tr>
        <w:trPr>
          <w:trHeight w:val="66"/>
        </w:trPr>
        <w:tc>
          <w:tcPr>
            <w:tcW w:w="1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179"/>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w w:val="94"/>
              </w:rPr>
              <w:t>Consolidated and Pro-Rata Share of Real Estate Partnerships</w:t>
            </w:r>
          </w:p>
        </w:tc>
        <w:tc>
          <w:tcPr>
            <w:tcW w:w="3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186"/>
        </w:trPr>
        <w:tc>
          <w:tcPr>
            <w:tcW w:w="6040" w:type="dxa"/>
            <w:vAlign w:val="bottom"/>
            <w:gridSpan w:val="3"/>
          </w:tcPr>
          <w:p>
            <w:pPr>
              <w:spacing w:after="0"/>
              <w:rPr>
                <w:sz w:val="20"/>
                <w:szCs w:val="20"/>
                <w:color w:val="auto"/>
              </w:rPr>
            </w:pPr>
            <w:r>
              <w:rPr>
                <w:rFonts w:ascii="Arial" w:cs="Arial" w:eastAsia="Arial" w:hAnsi="Arial"/>
                <w:sz w:val="8"/>
                <w:szCs w:val="8"/>
                <w:color w:val="auto"/>
              </w:rPr>
              <w:t>GLA - All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50,654</w:t>
            </w:r>
          </w:p>
        </w:tc>
        <w:tc>
          <w:tcPr>
            <w:tcW w:w="6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50,489</w:t>
            </w:r>
          </w:p>
        </w:tc>
        <w:tc>
          <w:tcPr>
            <w:tcW w:w="6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50,218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49,166</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49,217</w:t>
            </w:r>
          </w:p>
        </w:tc>
        <w:tc>
          <w:tcPr>
            <w:tcW w:w="340" w:type="dxa"/>
            <w:vAlign w:val="bottom"/>
          </w:tcPr>
          <w:p>
            <w:pPr>
              <w:spacing w:after="0"/>
              <w:rPr>
                <w:sz w:val="16"/>
                <w:szCs w:val="16"/>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GLA - Retail operating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49,765</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49,522</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49,335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48,529</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48,502</w:t>
            </w:r>
          </w:p>
        </w:tc>
        <w:tc>
          <w:tcPr>
            <w:tcW w:w="340" w:type="dxa"/>
            <w:vAlign w:val="bottom"/>
          </w:tcPr>
          <w:p>
            <w:pPr>
              <w:spacing w:after="0"/>
              <w:rPr>
                <w:sz w:val="17"/>
                <w:szCs w:val="17"/>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8"/>
                <w:szCs w:val="8"/>
                <w:color w:val="auto"/>
              </w:rPr>
              <w:t>GLA - Same properties</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48,138</w:t>
            </w:r>
          </w:p>
        </w:tc>
        <w:tc>
          <w:tcPr>
            <w:tcW w:w="6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48,116</w:t>
            </w:r>
          </w:p>
        </w:tc>
        <w:tc>
          <w:tcPr>
            <w:tcW w:w="6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48,107</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47,951</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47,969</w:t>
            </w:r>
          </w:p>
        </w:tc>
        <w:tc>
          <w:tcPr>
            <w:tcW w:w="340" w:type="dxa"/>
            <w:vAlign w:val="bottom"/>
          </w:tcPr>
          <w:p>
            <w:pPr>
              <w:spacing w:after="0"/>
              <w:rPr>
                <w:sz w:val="20"/>
                <w:szCs w:val="20"/>
                <w:color w:val="auto"/>
              </w:rPr>
            </w:pPr>
          </w:p>
        </w:tc>
      </w:tr>
      <w:tr>
        <w:trPr>
          <w:trHeight w:val="199"/>
        </w:trPr>
        <w:tc>
          <w:tcPr>
            <w:tcW w:w="6040" w:type="dxa"/>
            <w:vAlign w:val="bottom"/>
            <w:gridSpan w:val="3"/>
          </w:tcPr>
          <w:p>
            <w:pPr>
              <w:ind w:left="420"/>
              <w:spacing w:after="0"/>
              <w:rPr>
                <w:sz w:val="20"/>
                <w:szCs w:val="20"/>
                <w:color w:val="auto"/>
              </w:rPr>
            </w:pPr>
            <w:r>
              <w:rPr>
                <w:rFonts w:ascii="Arial" w:cs="Arial" w:eastAsia="Arial" w:hAnsi="Arial"/>
                <w:sz w:val="8"/>
                <w:szCs w:val="8"/>
                <w:color w:val="auto"/>
              </w:rPr>
              <w:t>Anchor Spaces (≥ 10,000 SF)</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29,480</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29,493</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29,467</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29,481</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29,480</w:t>
            </w:r>
          </w:p>
        </w:tc>
        <w:tc>
          <w:tcPr>
            <w:tcW w:w="340" w:type="dxa"/>
            <w:vAlign w:val="bottom"/>
          </w:tcPr>
          <w:p>
            <w:pPr>
              <w:spacing w:after="0"/>
              <w:rPr>
                <w:sz w:val="17"/>
                <w:szCs w:val="17"/>
                <w:color w:val="auto"/>
              </w:rPr>
            </w:pPr>
          </w:p>
        </w:tc>
      </w:tr>
      <w:tr>
        <w:trPr>
          <w:trHeight w:val="199"/>
        </w:trPr>
        <w:tc>
          <w:tcPr>
            <w:tcW w:w="6040" w:type="dxa"/>
            <w:vAlign w:val="bottom"/>
            <w:gridSpan w:val="3"/>
          </w:tcPr>
          <w:p>
            <w:pPr>
              <w:ind w:left="420"/>
              <w:spacing w:after="0"/>
              <w:rPr>
                <w:sz w:val="20"/>
                <w:szCs w:val="20"/>
                <w:color w:val="auto"/>
              </w:rPr>
            </w:pPr>
            <w:r>
              <w:rPr>
                <w:rFonts w:ascii="Arial" w:cs="Arial" w:eastAsia="Arial" w:hAnsi="Arial"/>
                <w:sz w:val="8"/>
                <w:szCs w:val="8"/>
                <w:color w:val="auto"/>
              </w:rPr>
              <w:t>Shop Spaces (&lt; 10,000 SF)</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7"/>
              </w:rPr>
              <w:t>18,658</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7"/>
              </w:rPr>
              <w:t>18,623</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7"/>
              </w:rPr>
              <w:t>18,640</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18,470</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97"/>
              </w:rPr>
              <w:t>18,490</w:t>
            </w:r>
          </w:p>
        </w:tc>
        <w:tc>
          <w:tcPr>
            <w:tcW w:w="340" w:type="dxa"/>
            <w:vAlign w:val="bottom"/>
          </w:tcPr>
          <w:p>
            <w:pPr>
              <w:spacing w:after="0"/>
              <w:rPr>
                <w:sz w:val="17"/>
                <w:szCs w:val="17"/>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GLA - Properties in development</w:t>
            </w:r>
            <w:r>
              <w:rPr>
                <w:rFonts w:ascii="Arial" w:cs="Arial" w:eastAsia="Arial" w:hAnsi="Arial"/>
                <w:sz w:val="10"/>
                <w:szCs w:val="10"/>
                <w:color w:val="auto"/>
                <w:vertAlign w:val="superscript"/>
              </w:rPr>
              <w:t>(1)</w:t>
            </w:r>
          </w:p>
        </w:tc>
        <w:tc>
          <w:tcPr>
            <w:tcW w:w="360" w:type="dxa"/>
            <w:vAlign w:val="bottom"/>
          </w:tcPr>
          <w:p>
            <w:pPr>
              <w:jc w:val="center"/>
              <w:spacing w:after="0"/>
              <w:rPr>
                <w:sz w:val="20"/>
                <w:szCs w:val="20"/>
                <w:color w:val="auto"/>
              </w:rPr>
            </w:pPr>
            <w:r>
              <w:rPr>
                <w:rFonts w:ascii="Arial" w:cs="Arial" w:eastAsia="Arial" w:hAnsi="Arial"/>
                <w:sz w:val="8"/>
                <w:szCs w:val="8"/>
                <w:color w:val="auto"/>
                <w:w w:val="89"/>
              </w:rPr>
              <w:t>889</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89"/>
              </w:rPr>
              <w:t>967</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rPr>
              <w:t>883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598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w w:val="89"/>
              </w:rPr>
              <w:t>675</w:t>
            </w:r>
          </w:p>
        </w:tc>
        <w:tc>
          <w:tcPr>
            <w:tcW w:w="340" w:type="dxa"/>
            <w:vAlign w:val="bottom"/>
          </w:tcPr>
          <w:p>
            <w:pPr>
              <w:spacing w:after="0"/>
              <w:rPr>
                <w:sz w:val="17"/>
                <w:szCs w:val="17"/>
                <w:color w:val="auto"/>
              </w:rPr>
            </w:pPr>
          </w:p>
        </w:tc>
      </w:tr>
      <w:tr>
        <w:trPr>
          <w:trHeight w:val="66"/>
        </w:trPr>
        <w:tc>
          <w:tcPr>
            <w:tcW w:w="1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186"/>
        </w:trPr>
        <w:tc>
          <w:tcPr>
            <w:tcW w:w="6040" w:type="dxa"/>
            <w:vAlign w:val="bottom"/>
            <w:gridSpan w:val="3"/>
          </w:tcPr>
          <w:p>
            <w:pPr>
              <w:spacing w:after="0"/>
              <w:rPr>
                <w:sz w:val="20"/>
                <w:szCs w:val="20"/>
                <w:color w:val="auto"/>
              </w:rPr>
            </w:pPr>
            <w:r>
              <w:rPr>
                <w:rFonts w:ascii="Arial" w:cs="Arial" w:eastAsia="Arial" w:hAnsi="Arial"/>
                <w:sz w:val="8"/>
                <w:szCs w:val="8"/>
                <w:color w:val="auto"/>
              </w:rPr>
              <w:t>% leased - All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96.2%</w:t>
            </w:r>
          </w:p>
        </w:tc>
        <w:tc>
          <w:tcPr>
            <w:tcW w:w="6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96.1%</w:t>
            </w:r>
          </w:p>
        </w:tc>
        <w:tc>
          <w:tcPr>
            <w:tcW w:w="6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96.0%</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96.2%</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96.3%</w:t>
            </w:r>
          </w:p>
        </w:tc>
        <w:tc>
          <w:tcPr>
            <w:tcW w:w="340" w:type="dxa"/>
            <w:vAlign w:val="bottom"/>
          </w:tcPr>
          <w:p>
            <w:pPr>
              <w:spacing w:after="0"/>
              <w:rPr>
                <w:sz w:val="16"/>
                <w:szCs w:val="16"/>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 leased - Retail operating properties</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96.6%</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96.6%</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96.4%</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96.5%</w:t>
            </w:r>
          </w:p>
        </w:tc>
        <w:tc>
          <w:tcPr>
            <w:tcW w:w="340" w:type="dxa"/>
            <w:vAlign w:val="bottom"/>
          </w:tcPr>
          <w:p>
            <w:pPr>
              <w:spacing w:after="0"/>
              <w:rPr>
                <w:sz w:val="17"/>
                <w:szCs w:val="17"/>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8"/>
                <w:szCs w:val="8"/>
                <w:color w:val="auto"/>
              </w:rPr>
              <w:t>% leased - Same properties</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96.6%</w:t>
            </w:r>
          </w:p>
        </w:tc>
        <w:tc>
          <w:tcPr>
            <w:tcW w:w="6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96.5%</w:t>
            </w:r>
          </w:p>
        </w:tc>
        <w:tc>
          <w:tcPr>
            <w:tcW w:w="6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96.4%</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96.6%</w:t>
            </w:r>
          </w:p>
        </w:tc>
        <w:tc>
          <w:tcPr>
            <w:tcW w:w="340" w:type="dxa"/>
            <w:vAlign w:val="bottom"/>
          </w:tcPr>
          <w:p>
            <w:pPr>
              <w:spacing w:after="0"/>
              <w:rPr>
                <w:sz w:val="20"/>
                <w:szCs w:val="20"/>
                <w:color w:val="auto"/>
              </w:rPr>
            </w:pPr>
          </w:p>
        </w:tc>
      </w:tr>
      <w:tr>
        <w:trPr>
          <w:trHeight w:val="199"/>
        </w:trPr>
        <w:tc>
          <w:tcPr>
            <w:tcW w:w="6040" w:type="dxa"/>
            <w:vAlign w:val="bottom"/>
            <w:gridSpan w:val="3"/>
          </w:tcPr>
          <w:p>
            <w:pPr>
              <w:ind w:left="420"/>
              <w:spacing w:after="0"/>
              <w:rPr>
                <w:sz w:val="20"/>
                <w:szCs w:val="20"/>
                <w:color w:val="auto"/>
              </w:rPr>
            </w:pPr>
            <w:r>
              <w:rPr>
                <w:rFonts w:ascii="Arial" w:cs="Arial" w:eastAsia="Arial" w:hAnsi="Arial"/>
                <w:sz w:val="8"/>
                <w:szCs w:val="8"/>
                <w:color w:val="auto"/>
              </w:rPr>
              <w:t>Anchor Spaces (≥ 10,000 SF)</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98.2%</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98.0%</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98.1%</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98.3%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98.5%</w:t>
            </w:r>
          </w:p>
        </w:tc>
        <w:tc>
          <w:tcPr>
            <w:tcW w:w="340" w:type="dxa"/>
            <w:vAlign w:val="bottom"/>
          </w:tcPr>
          <w:p>
            <w:pPr>
              <w:spacing w:after="0"/>
              <w:rPr>
                <w:sz w:val="17"/>
                <w:szCs w:val="17"/>
                <w:color w:val="auto"/>
              </w:rPr>
            </w:pPr>
          </w:p>
        </w:tc>
      </w:tr>
      <w:tr>
        <w:trPr>
          <w:trHeight w:val="199"/>
        </w:trPr>
        <w:tc>
          <w:tcPr>
            <w:tcW w:w="6040" w:type="dxa"/>
            <w:vAlign w:val="bottom"/>
            <w:gridSpan w:val="3"/>
          </w:tcPr>
          <w:p>
            <w:pPr>
              <w:ind w:left="420"/>
              <w:spacing w:after="0"/>
              <w:rPr>
                <w:sz w:val="20"/>
                <w:szCs w:val="20"/>
                <w:color w:val="auto"/>
              </w:rPr>
            </w:pPr>
            <w:r>
              <w:rPr>
                <w:rFonts w:ascii="Arial" w:cs="Arial" w:eastAsia="Arial" w:hAnsi="Arial"/>
                <w:sz w:val="8"/>
                <w:szCs w:val="8"/>
                <w:color w:val="auto"/>
              </w:rPr>
              <w:t>Shop Spaces (&lt; 10,000 SF)</w:t>
            </w:r>
            <w:r>
              <w:rPr>
                <w:rFonts w:ascii="Arial" w:cs="Arial" w:eastAsia="Arial" w:hAnsi="Arial"/>
                <w:sz w:val="10"/>
                <w:szCs w:val="10"/>
                <w:color w:val="auto"/>
                <w:vertAlign w:val="superscript"/>
              </w:rPr>
              <w:t>(2)</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94.1%</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94.2%</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93.8%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93.8%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93.5%</w:t>
            </w:r>
          </w:p>
        </w:tc>
        <w:tc>
          <w:tcPr>
            <w:tcW w:w="340" w:type="dxa"/>
            <w:vAlign w:val="bottom"/>
          </w:tcPr>
          <w:p>
            <w:pPr>
              <w:spacing w:after="0"/>
              <w:rPr>
                <w:sz w:val="17"/>
                <w:szCs w:val="17"/>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 commenced - Same properties</w:t>
            </w:r>
            <w:r>
              <w:rPr>
                <w:rFonts w:ascii="Arial" w:cs="Arial" w:eastAsia="Arial" w:hAnsi="Arial"/>
                <w:sz w:val="10"/>
                <w:szCs w:val="10"/>
                <w:color w:val="auto"/>
                <w:vertAlign w:val="superscript"/>
              </w:rPr>
              <w:t>(2)(3)</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94.3%</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94.1%</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94.3%</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94.0%</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93.4%</w:t>
            </w:r>
          </w:p>
        </w:tc>
        <w:tc>
          <w:tcPr>
            <w:tcW w:w="340" w:type="dxa"/>
            <w:vAlign w:val="bottom"/>
          </w:tcPr>
          <w:p>
            <w:pPr>
              <w:spacing w:after="0"/>
              <w:rPr>
                <w:sz w:val="17"/>
                <w:szCs w:val="17"/>
                <w:color w:val="auto"/>
              </w:rPr>
            </w:pPr>
          </w:p>
        </w:tc>
      </w:tr>
      <w:tr>
        <w:trPr>
          <w:trHeight w:val="66"/>
        </w:trPr>
        <w:tc>
          <w:tcPr>
            <w:tcW w:w="1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186"/>
        </w:trPr>
        <w:tc>
          <w:tcPr>
            <w:tcW w:w="6040" w:type="dxa"/>
            <w:vAlign w:val="bottom"/>
            <w:gridSpan w:val="3"/>
          </w:tcPr>
          <w:p>
            <w:pPr>
              <w:spacing w:after="0"/>
              <w:rPr>
                <w:sz w:val="20"/>
                <w:szCs w:val="20"/>
                <w:color w:val="auto"/>
              </w:rPr>
            </w:pPr>
            <w:r>
              <w:rPr>
                <w:rFonts w:ascii="Arial" w:cs="Arial" w:eastAsia="Arial" w:hAnsi="Arial"/>
                <w:sz w:val="8"/>
                <w:szCs w:val="8"/>
                <w:color w:val="auto"/>
              </w:rPr>
              <w:t>Same property NOI Growth - YTD (see page 8)</w:t>
            </w:r>
          </w:p>
        </w:tc>
        <w:tc>
          <w:tcPr>
            <w:tcW w:w="360" w:type="dxa"/>
            <w:vAlign w:val="bottom"/>
          </w:tcPr>
          <w:p>
            <w:pPr>
              <w:jc w:val="center"/>
              <w:spacing w:after="0"/>
              <w:rPr>
                <w:sz w:val="20"/>
                <w:szCs w:val="20"/>
                <w:color w:val="auto"/>
              </w:rPr>
            </w:pPr>
            <w:r>
              <w:rPr>
                <w:rFonts w:ascii="Arial" w:cs="Arial" w:eastAsia="Arial" w:hAnsi="Arial"/>
                <w:sz w:val="8"/>
                <w:szCs w:val="8"/>
                <w:color w:val="auto"/>
                <w:w w:val="98"/>
              </w:rPr>
              <w:t>4.4%</w:t>
            </w:r>
          </w:p>
        </w:tc>
        <w:tc>
          <w:tcPr>
            <w:tcW w:w="6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8"/>
              </w:rPr>
              <w:t>5.3%</w:t>
            </w:r>
          </w:p>
        </w:tc>
        <w:tc>
          <w:tcPr>
            <w:tcW w:w="64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8"/>
              </w:rPr>
              <w:t>5.5%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5.8%</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4.3%</w:t>
            </w:r>
          </w:p>
        </w:tc>
        <w:tc>
          <w:tcPr>
            <w:tcW w:w="340" w:type="dxa"/>
            <w:vAlign w:val="bottom"/>
          </w:tcPr>
          <w:p>
            <w:pPr>
              <w:spacing w:after="0"/>
              <w:rPr>
                <w:sz w:val="16"/>
                <w:szCs w:val="16"/>
                <w:color w:val="auto"/>
              </w:rPr>
            </w:pPr>
          </w:p>
        </w:tc>
      </w:tr>
      <w:tr>
        <w:trPr>
          <w:trHeight w:val="199"/>
        </w:trPr>
        <w:tc>
          <w:tcPr>
            <w:tcW w:w="6040" w:type="dxa"/>
            <w:vAlign w:val="bottom"/>
            <w:gridSpan w:val="3"/>
          </w:tcPr>
          <w:p>
            <w:pPr>
              <w:spacing w:after="0"/>
              <w:rPr>
                <w:sz w:val="20"/>
                <w:szCs w:val="20"/>
                <w:color w:val="auto"/>
              </w:rPr>
            </w:pPr>
            <w:r>
              <w:rPr>
                <w:rFonts w:ascii="Arial" w:cs="Arial" w:eastAsia="Arial" w:hAnsi="Arial"/>
                <w:sz w:val="8"/>
                <w:szCs w:val="8"/>
                <w:color w:val="auto"/>
              </w:rPr>
              <w:t>Same property NOI Growth without Redevelopments - YTD (see page 8)</w:t>
            </w:r>
          </w:p>
        </w:tc>
        <w:tc>
          <w:tcPr>
            <w:tcW w:w="360" w:type="dxa"/>
            <w:vAlign w:val="bottom"/>
          </w:tcPr>
          <w:p>
            <w:pPr>
              <w:jc w:val="center"/>
              <w:spacing w:after="0"/>
              <w:rPr>
                <w:sz w:val="20"/>
                <w:szCs w:val="20"/>
                <w:color w:val="auto"/>
              </w:rPr>
            </w:pPr>
            <w:r>
              <w:rPr>
                <w:rFonts w:ascii="Arial" w:cs="Arial" w:eastAsia="Arial" w:hAnsi="Arial"/>
                <w:sz w:val="8"/>
                <w:szCs w:val="8"/>
                <w:color w:val="auto"/>
                <w:w w:val="98"/>
              </w:rPr>
              <w:t>2.8%</w:t>
            </w:r>
          </w:p>
        </w:tc>
        <w:tc>
          <w:tcPr>
            <w:tcW w:w="66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8"/>
              </w:rPr>
              <w:t>4.1%</w:t>
            </w:r>
          </w:p>
        </w:tc>
        <w:tc>
          <w:tcPr>
            <w:tcW w:w="64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8"/>
              </w:rPr>
              <w:t>4.5%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4.9%</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3.6%</w:t>
            </w:r>
          </w:p>
        </w:tc>
        <w:tc>
          <w:tcPr>
            <w:tcW w:w="340" w:type="dxa"/>
            <w:vAlign w:val="bottom"/>
          </w:tcPr>
          <w:p>
            <w:pPr>
              <w:spacing w:after="0"/>
              <w:rPr>
                <w:sz w:val="17"/>
                <w:szCs w:val="17"/>
                <w:color w:val="auto"/>
              </w:rPr>
            </w:pPr>
          </w:p>
        </w:tc>
      </w:tr>
      <w:tr>
        <w:trPr>
          <w:trHeight w:val="234"/>
        </w:trPr>
        <w:tc>
          <w:tcPr>
            <w:tcW w:w="6040" w:type="dxa"/>
            <w:vAlign w:val="bottom"/>
            <w:gridSpan w:val="3"/>
          </w:tcPr>
          <w:p>
            <w:pPr>
              <w:spacing w:after="0"/>
              <w:rPr>
                <w:sz w:val="20"/>
                <w:szCs w:val="20"/>
                <w:color w:val="auto"/>
              </w:rPr>
            </w:pPr>
            <w:r>
              <w:rPr>
                <w:rFonts w:ascii="Arial" w:cs="Arial" w:eastAsia="Arial" w:hAnsi="Arial"/>
                <w:sz w:val="8"/>
                <w:szCs w:val="8"/>
                <w:color w:val="auto"/>
              </w:rPr>
              <w:t>Rent spreads - Trailing 12 months</w:t>
            </w:r>
            <w:r>
              <w:rPr>
                <w:rFonts w:ascii="Arial" w:cs="Arial" w:eastAsia="Arial" w:hAnsi="Arial"/>
                <w:sz w:val="10"/>
                <w:szCs w:val="10"/>
                <w:color w:val="auto"/>
                <w:vertAlign w:val="superscript"/>
              </w:rPr>
              <w:t>(4)</w:t>
            </w:r>
            <w:r>
              <w:rPr>
                <w:rFonts w:ascii="Arial" w:cs="Arial" w:eastAsia="Arial" w:hAnsi="Arial"/>
                <w:sz w:val="8"/>
                <w:szCs w:val="8"/>
                <w:color w:val="auto"/>
              </w:rPr>
              <w:t xml:space="preserve"> (see page 19)</w:t>
            </w:r>
          </w:p>
        </w:tc>
        <w:tc>
          <w:tcPr>
            <w:tcW w:w="360" w:type="dxa"/>
            <w:vAlign w:val="bottom"/>
          </w:tcPr>
          <w:p>
            <w:pPr>
              <w:jc w:val="center"/>
              <w:spacing w:after="0"/>
              <w:rPr>
                <w:sz w:val="20"/>
                <w:szCs w:val="20"/>
                <w:color w:val="auto"/>
              </w:rPr>
            </w:pPr>
            <w:r>
              <w:rPr>
                <w:rFonts w:ascii="Arial" w:cs="Arial" w:eastAsia="Arial" w:hAnsi="Arial"/>
                <w:sz w:val="8"/>
                <w:szCs w:val="8"/>
                <w:color w:val="auto"/>
                <w:w w:val="96"/>
              </w:rPr>
              <w:t>11.7%</w:t>
            </w:r>
          </w:p>
        </w:tc>
        <w:tc>
          <w:tcPr>
            <w:tcW w:w="66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8"/>
                <w:szCs w:val="8"/>
                <w:color w:val="auto"/>
                <w:w w:val="96"/>
              </w:rPr>
              <w:t>10.8%</w:t>
            </w:r>
          </w:p>
        </w:tc>
        <w:tc>
          <w:tcPr>
            <w:tcW w:w="64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8"/>
                <w:szCs w:val="8"/>
                <w:color w:val="auto"/>
                <w:w w:val="96"/>
              </w:rPr>
              <w:t>10.5%</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9.7%</w:t>
            </w:r>
          </w:p>
        </w:tc>
        <w:tc>
          <w:tcPr>
            <w:tcW w:w="1020" w:type="dxa"/>
            <w:vAlign w:val="bottom"/>
            <w:gridSpan w:val="2"/>
          </w:tcPr>
          <w:p>
            <w:pPr>
              <w:jc w:val="center"/>
              <w:ind w:left="622"/>
              <w:spacing w:after="0"/>
              <w:rPr>
                <w:sz w:val="20"/>
                <w:szCs w:val="20"/>
                <w:color w:val="auto"/>
              </w:rPr>
            </w:pPr>
            <w:r>
              <w:rPr>
                <w:rFonts w:ascii="Arial" w:cs="Arial" w:eastAsia="Arial" w:hAnsi="Arial"/>
                <w:sz w:val="8"/>
                <w:szCs w:val="8"/>
                <w:color w:val="auto"/>
              </w:rPr>
              <w:t>9.5%</w:t>
            </w:r>
          </w:p>
        </w:tc>
        <w:tc>
          <w:tcPr>
            <w:tcW w:w="340" w:type="dxa"/>
            <w:vAlign w:val="bottom"/>
          </w:tcPr>
          <w:p>
            <w:pPr>
              <w:spacing w:after="0"/>
              <w:rPr>
                <w:sz w:val="20"/>
                <w:szCs w:val="20"/>
                <w:color w:val="auto"/>
              </w:rPr>
            </w:pPr>
          </w:p>
        </w:tc>
      </w:tr>
      <w:tr>
        <w:trPr>
          <w:trHeight w:val="66"/>
        </w:trPr>
        <w:tc>
          <w:tcPr>
            <w:tcW w:w="17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9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69"/>
        </w:trPr>
        <w:tc>
          <w:tcPr>
            <w:tcW w:w="180" w:type="dxa"/>
            <w:vAlign w:val="bottom"/>
          </w:tcPr>
          <w:p>
            <w:pPr>
              <w:spacing w:after="0"/>
              <w:rPr>
                <w:sz w:val="20"/>
                <w:szCs w:val="20"/>
                <w:color w:val="auto"/>
              </w:rPr>
            </w:pPr>
            <w:r>
              <w:rPr>
                <w:rFonts w:ascii="Arial" w:cs="Arial" w:eastAsia="Arial" w:hAnsi="Arial"/>
                <w:sz w:val="6"/>
                <w:szCs w:val="6"/>
                <w:color w:val="auto"/>
              </w:rPr>
              <w:t>(1)</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Includes current ground-up developments.</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180" w:type="dxa"/>
            <w:vAlign w:val="bottom"/>
          </w:tcPr>
          <w:p>
            <w:pPr>
              <w:spacing w:after="0"/>
              <w:rPr>
                <w:sz w:val="20"/>
                <w:szCs w:val="20"/>
                <w:color w:val="auto"/>
              </w:rPr>
            </w:pPr>
            <w:r>
              <w:rPr>
                <w:rFonts w:ascii="Arial" w:cs="Arial" w:eastAsia="Arial" w:hAnsi="Arial"/>
                <w:sz w:val="6"/>
                <w:szCs w:val="6"/>
                <w:color w:val="auto"/>
              </w:rPr>
              <w:t>(2)</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Prior periods adjusted for current same property pool.</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180" w:type="dxa"/>
            <w:vAlign w:val="bottom"/>
          </w:tcPr>
          <w:p>
            <w:pPr>
              <w:spacing w:after="0"/>
              <w:rPr>
                <w:sz w:val="20"/>
                <w:szCs w:val="20"/>
                <w:color w:val="auto"/>
              </w:rPr>
            </w:pPr>
            <w:r>
              <w:rPr>
                <w:rFonts w:ascii="Arial" w:cs="Arial" w:eastAsia="Arial" w:hAnsi="Arial"/>
                <w:sz w:val="6"/>
                <w:szCs w:val="6"/>
                <w:color w:val="auto"/>
              </w:rPr>
              <w:t>(3)</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Excludes leases that are signed but have not yet commenced.</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180" w:type="dxa"/>
            <w:vAlign w:val="bottom"/>
          </w:tcPr>
          <w:p>
            <w:pPr>
              <w:spacing w:after="0"/>
              <w:rPr>
                <w:sz w:val="20"/>
                <w:szCs w:val="20"/>
                <w:color w:val="auto"/>
              </w:rPr>
            </w:pPr>
            <w:r>
              <w:rPr>
                <w:rFonts w:ascii="Arial" w:cs="Arial" w:eastAsia="Arial" w:hAnsi="Arial"/>
                <w:sz w:val="6"/>
                <w:szCs w:val="6"/>
                <w:color w:val="auto"/>
              </w:rPr>
              <w:t>(4)</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Retail operating properties only. Rent spreads are calculated on a comparable-space, cash basis for new and renewal leases executed.</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1300" w:type="dxa"/>
            <w:vAlign w:val="bottom"/>
            <w:gridSpan w:val="2"/>
          </w:tcPr>
          <w:p>
            <w:pPr>
              <w:spacing w:after="0"/>
              <w:rPr>
                <w:sz w:val="20"/>
                <w:szCs w:val="20"/>
                <w:color w:val="auto"/>
              </w:rPr>
            </w:pPr>
            <w:r>
              <w:rPr>
                <w:rFonts w:ascii="Arial" w:cs="Arial" w:eastAsia="Arial" w:hAnsi="Arial"/>
                <w:sz w:val="8"/>
                <w:szCs w:val="8"/>
                <w:color w:val="auto"/>
              </w:rPr>
              <w:t>Amounts may not total due to rounding.</w:t>
            </w:r>
          </w:p>
        </w:tc>
        <w:tc>
          <w:tcPr>
            <w:tcW w:w="0" w:type="dxa"/>
            <w:vAlign w:val="bottom"/>
          </w:tcPr>
          <w:p>
            <w:pPr>
              <w:spacing w:after="0"/>
              <w:rPr>
                <w:sz w:val="1"/>
                <w:szCs w:val="1"/>
                <w:color w:val="auto"/>
              </w:rPr>
            </w:pPr>
          </w:p>
        </w:tc>
      </w:tr>
      <w:tr>
        <w:trPr>
          <w:trHeight w:val="272"/>
        </w:trPr>
        <w:tc>
          <w:tcPr>
            <w:tcW w:w="180" w:type="dxa"/>
            <w:vAlign w:val="bottom"/>
          </w:tcPr>
          <w:p>
            <w:pPr>
              <w:spacing w:after="0"/>
              <w:rPr>
                <w:sz w:val="23"/>
                <w:szCs w:val="23"/>
                <w:color w:val="auto"/>
              </w:rPr>
            </w:pPr>
          </w:p>
        </w:tc>
        <w:tc>
          <w:tcPr>
            <w:tcW w:w="11120" w:type="dxa"/>
            <w:vAlign w:val="bottom"/>
          </w:tcPr>
          <w:p>
            <w:pPr>
              <w:ind w:left="10080"/>
              <w:spacing w:after="0"/>
              <w:rPr>
                <w:sz w:val="20"/>
                <w:szCs w:val="20"/>
                <w:color w:val="auto"/>
              </w:rPr>
            </w:pPr>
            <w:r>
              <w:rPr>
                <w:rFonts w:ascii="Arial" w:cs="Arial" w:eastAsia="Arial" w:hAnsi="Arial"/>
                <w:sz w:val="7"/>
                <w:szCs w:val="7"/>
                <w:color w:val="404040"/>
              </w:rPr>
              <w:t xml:space="preserve">Supplemental Information   </w:t>
            </w:r>
            <w:r>
              <w:rPr>
                <w:rFonts w:ascii="Times New Roman" w:cs="Times New Roman" w:eastAsia="Times New Roman" w:hAnsi="Times New Roman"/>
                <w:sz w:val="12"/>
                <w:szCs w:val="12"/>
                <w:color w:val="000000"/>
              </w:rPr>
              <w:t>2</w:t>
            </w:r>
          </w:p>
        </w:tc>
        <w:tc>
          <w:tcPr>
            <w:tcW w:w="0" w:type="dxa"/>
            <w:vAlign w:val="bottom"/>
          </w:tcPr>
          <w:p>
            <w:pPr>
              <w:spacing w:after="0"/>
              <w:rPr>
                <w:sz w:val="1"/>
                <w:szCs w:val="1"/>
                <w:color w:val="auto"/>
              </w:rPr>
            </w:pPr>
          </w:p>
        </w:tc>
      </w:tr>
      <w:tr>
        <w:trPr>
          <w:trHeight w:val="507"/>
        </w:trPr>
        <w:tc>
          <w:tcPr>
            <w:tcW w:w="180" w:type="dxa"/>
            <w:vAlign w:val="bottom"/>
            <w:tcBorders>
              <w:bottom w:val="single" w:sz="8" w:color="9A9A9A"/>
            </w:tcBorders>
          </w:tcPr>
          <w:p>
            <w:pPr>
              <w:spacing w:after="0"/>
              <w:rPr>
                <w:sz w:val="24"/>
                <w:szCs w:val="24"/>
                <w:color w:val="auto"/>
              </w:rPr>
            </w:pPr>
          </w:p>
        </w:tc>
        <w:tc>
          <w:tcPr>
            <w:tcW w:w="1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-504825</wp:posOffset>
            </wp:positionV>
            <wp:extent cx="281305" cy="149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24" w:name="page25"/>
    <w:bookmarkEnd w:id="24"/>
    <w:p>
      <w:pPr>
        <w:jc w:val="center"/>
        <w:ind w:left="3760"/>
        <w:spacing w:after="0"/>
        <w:rPr>
          <w:sz w:val="20"/>
          <w:szCs w:val="20"/>
          <w:color w:val="auto"/>
        </w:rPr>
      </w:pPr>
      <w:r>
        <w:rPr>
          <w:rFonts w:ascii="Arial" w:cs="Arial" w:eastAsia="Arial" w:hAnsi="Arial"/>
          <w:sz w:val="12"/>
          <w:szCs w:val="12"/>
          <w:color w:val="auto"/>
          <w:highlight w:val="black"/>
        </w:rPr>
        <w:t xml:space="preserve">Consolidated </w:t>
      </w:r>
      <w:r>
        <w:rPr>
          <w:rFonts w:ascii="Arial" w:cs="Arial" w:eastAsia="Arial" w:hAnsi="Arial"/>
          <w:sz w:val="12"/>
          <w:szCs w:val="12"/>
          <w:color w:val="auto"/>
        </w:rPr>
        <w:t>Balance Sheets</w:t>
      </w:r>
    </w:p>
    <w:p>
      <w:pPr>
        <w:spacing w:after="0" w:line="7" w:lineRule="exact"/>
        <w:rPr>
          <w:sz w:val="20"/>
          <w:szCs w:val="20"/>
          <w:color w:val="auto"/>
        </w:rPr>
      </w:pPr>
    </w:p>
    <w:p>
      <w:pPr>
        <w:jc w:val="center"/>
        <w:ind w:left="3760"/>
        <w:spacing w:after="0"/>
        <w:rPr>
          <w:sz w:val="20"/>
          <w:szCs w:val="20"/>
          <w:color w:val="auto"/>
        </w:rPr>
      </w:pPr>
      <w:r>
        <w:rPr>
          <w:rFonts w:ascii="Arial" w:cs="Arial" w:eastAsia="Arial" w:hAnsi="Arial"/>
          <w:sz w:val="12"/>
          <w:szCs w:val="12"/>
          <w:color w:val="auto"/>
        </w:rPr>
        <w:t>March 31, 2026 and December 31, 2025</w:t>
      </w:r>
    </w:p>
    <w:p>
      <w:pPr>
        <w:spacing w:after="0" w:line="7" w:lineRule="exact"/>
        <w:rPr>
          <w:sz w:val="20"/>
          <w:szCs w:val="20"/>
          <w:color w:val="auto"/>
        </w:rPr>
      </w:pPr>
    </w:p>
    <w:p>
      <w:pPr>
        <w:jc w:val="center"/>
        <w:ind w:left="3760"/>
        <w:spacing w:after="0"/>
        <w:rPr>
          <w:sz w:val="20"/>
          <w:szCs w:val="20"/>
          <w:color w:val="auto"/>
        </w:rPr>
      </w:pPr>
      <w:r>
        <w:rPr>
          <w:rFonts w:ascii="Arial" w:cs="Arial" w:eastAsia="Arial" w:hAnsi="Arial"/>
          <w:sz w:val="12"/>
          <w:szCs w:val="12"/>
          <w:color w:val="auto"/>
        </w:rPr>
        <w:t>(in thousands)</w:t>
      </w:r>
    </w:p>
    <w:p>
      <w:pPr>
        <w:spacing w:after="0" w:line="344" w:lineRule="exact"/>
        <w:rPr>
          <w:sz w:val="20"/>
          <w:szCs w:val="20"/>
          <w:color w:val="auto"/>
        </w:rPr>
      </w:pPr>
    </w:p>
    <w:p>
      <w:pPr>
        <w:spacing w:after="0"/>
        <w:rPr>
          <w:sz w:val="20"/>
          <w:szCs w:val="20"/>
          <w:color w:val="auto"/>
        </w:rPr>
      </w:pPr>
      <w:r>
        <w:rPr>
          <w:rFonts w:ascii="Arial" w:cs="Arial" w:eastAsia="Arial" w:hAnsi="Arial"/>
          <w:sz w:val="9"/>
          <w:szCs w:val="9"/>
          <w:color w:val="auto"/>
          <w:highlight w:val="black"/>
        </w:rPr>
        <w:t>Assets:</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Net real estate investments: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Real estate assets at cost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9"/>
          <w:szCs w:val="9"/>
          <w:color w:val="auto"/>
        </w:rPr>
        <w:t>Less: accumulated depreciation</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Real estate assets, net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Investments in sales-type lease,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9"/>
          <w:szCs w:val="9"/>
          <w:color w:val="auto"/>
        </w:rPr>
        <w:t>Investments in real estate partnerships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Net real estate investments</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color w:val="auto"/>
        </w:rPr>
        <w:t>Cash, cash equivalents, and restricted cash</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color w:val="auto"/>
        </w:rPr>
        <w:t>Tenant receivables, net</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Straight-line rent receivables, net</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Other receivables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Tenant and other receivables</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color w:val="auto"/>
        </w:rPr>
        <w:t>Deferred leasing costs, net</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Acquired lease intangible assets, net</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Right of use assets, net</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Other assets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9"/>
          <w:szCs w:val="9"/>
          <w:color w:val="auto"/>
        </w:rPr>
        <w:t>Total assets</w:t>
      </w:r>
    </w:p>
    <w:p>
      <w:pPr>
        <w:spacing w:after="0" w:line="123" w:lineRule="exact"/>
        <w:rPr>
          <w:sz w:val="20"/>
          <w:szCs w:val="20"/>
          <w:color w:val="auto"/>
        </w:rPr>
      </w:pPr>
    </w:p>
    <w:p>
      <w:pPr>
        <w:spacing w:after="0"/>
        <w:rPr>
          <w:sz w:val="20"/>
          <w:szCs w:val="20"/>
          <w:color w:val="auto"/>
        </w:rPr>
      </w:pPr>
      <w:r>
        <w:rPr>
          <w:rFonts w:ascii="Arial" w:cs="Arial" w:eastAsia="Arial" w:hAnsi="Arial"/>
          <w:sz w:val="9"/>
          <w:szCs w:val="9"/>
          <w:color w:val="auto"/>
          <w:highlight w:val="black"/>
        </w:rPr>
        <w:t>Liabilities and Equity:</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color w:val="auto"/>
        </w:rPr>
        <w:t>Liabilities: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Notes payable,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9"/>
          <w:szCs w:val="9"/>
          <w:color w:val="auto"/>
        </w:rPr>
        <w:t>Unsecured credit facility</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Total notes payable</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9"/>
          <w:szCs w:val="9"/>
          <w:color w:val="auto"/>
        </w:rPr>
        <w:t>Accounts payable and other liabilities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Acquired lease intangible liabilities, net</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Lease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9"/>
          <w:szCs w:val="9"/>
          <w:color w:val="auto"/>
        </w:rPr>
        <w:t>Tenants' security, escrow deposits, and prepaid rent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9"/>
          <w:szCs w:val="9"/>
          <w:color w:val="auto"/>
        </w:rPr>
        <w:t>Total liabilities</w:t>
      </w:r>
    </w:p>
    <w:p>
      <w:pPr>
        <w:spacing w:after="0" w:line="68" w:lineRule="exact"/>
        <w:rPr>
          <w:sz w:val="20"/>
          <w:szCs w:val="20"/>
          <w:color w:val="auto"/>
        </w:rPr>
      </w:pPr>
    </w:p>
    <w:p>
      <w:pPr>
        <w:spacing w:after="0"/>
        <w:rPr>
          <w:sz w:val="20"/>
          <w:szCs w:val="20"/>
          <w:color w:val="auto"/>
        </w:rPr>
      </w:pPr>
      <w:r>
        <w:rPr>
          <w:rFonts w:ascii="Arial" w:cs="Arial" w:eastAsia="Arial" w:hAnsi="Arial"/>
          <w:sz w:val="9"/>
          <w:szCs w:val="9"/>
          <w:color w:val="auto"/>
        </w:rPr>
        <w:t>Equity:</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9"/>
          <w:szCs w:val="9"/>
          <w:color w:val="auto"/>
        </w:rPr>
        <w:t>Shareholders' Equity:</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Preferred stock</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Common stock</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Treasury stock</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Additional paid in capital</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Accumulated other comprehensive (loss) income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9"/>
          <w:szCs w:val="9"/>
          <w:color w:val="auto"/>
        </w:rPr>
        <w:t>Distributions in excess of net income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9"/>
          <w:szCs w:val="9"/>
          <w:color w:val="auto"/>
        </w:rPr>
        <w:t>Total shareholders' equity</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9"/>
          <w:szCs w:val="9"/>
          <w:color w:val="auto"/>
        </w:rPr>
        <w:t>Noncontrolling Interests: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9"/>
          <w:szCs w:val="9"/>
          <w:color w:val="auto"/>
        </w:rPr>
        <w:t>Exchangeable operating partnership units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9"/>
          <w:szCs w:val="9"/>
          <w:color w:val="auto"/>
        </w:rPr>
        <w:t>Limited partners' interests in consolidated partnerships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9"/>
          <w:szCs w:val="9"/>
          <w:color w:val="auto"/>
        </w:rPr>
        <w:t>Total noncontrolling interests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9"/>
          <w:szCs w:val="9"/>
          <w:color w:val="auto"/>
        </w:rPr>
        <w:t>Total equity</w:t>
      </w:r>
    </w:p>
    <w:p>
      <w:pPr>
        <w:spacing w:after="0" w:line="95" w:lineRule="exact"/>
        <w:rPr>
          <w:sz w:val="20"/>
          <w:szCs w:val="20"/>
          <w:color w:val="auto"/>
        </w:rPr>
      </w:pPr>
    </w:p>
    <w:p>
      <w:pPr>
        <w:ind w:left="700"/>
        <w:spacing w:after="0"/>
        <w:rPr>
          <w:sz w:val="20"/>
          <w:szCs w:val="20"/>
          <w:color w:val="auto"/>
        </w:rPr>
      </w:pPr>
      <w:r>
        <w:rPr>
          <w:rFonts w:ascii="Arial" w:cs="Arial" w:eastAsia="Arial" w:hAnsi="Arial"/>
          <w:sz w:val="9"/>
          <w:szCs w:val="9"/>
          <w:color w:val="auto"/>
        </w:rPr>
        <w:t>Total liabilities and equity</w:t>
      </w:r>
    </w:p>
    <w:p>
      <w:pPr>
        <w:spacing w:after="0" w:line="95" w:lineRule="exact"/>
        <w:rPr>
          <w:sz w:val="20"/>
          <w:szCs w:val="20"/>
          <w:color w:val="auto"/>
        </w:rPr>
      </w:pPr>
    </w:p>
    <w:p>
      <w:pPr>
        <w:spacing w:after="0"/>
        <w:rPr>
          <w:sz w:val="20"/>
          <w:szCs w:val="20"/>
          <w:color w:val="auto"/>
        </w:rPr>
      </w:pPr>
      <w:r>
        <w:rPr>
          <w:rFonts w:ascii="Arial" w:cs="Arial" w:eastAsia="Arial" w:hAnsi="Arial"/>
          <w:sz w:val="9"/>
          <w:szCs w:val="9"/>
          <w:color w:val="auto"/>
        </w:rPr>
        <w:t>These consolidated balance sheets should be read in conjunction with the Company's most recent Form 10-Q and Form 10-K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480060</wp:posOffset>
            </wp:positionV>
            <wp:extent cx="720280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3055620</wp:posOffset>
            </wp:positionH>
            <wp:positionV relativeFrom="paragraph">
              <wp:posOffset>-635</wp:posOffset>
            </wp:positionV>
            <wp:extent cx="281305" cy="149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w w:val="99"/>
              </w:rPr>
              <w:t>2026</w:t>
            </w:r>
          </w:p>
        </w:tc>
        <w:tc>
          <w:tcPr>
            <w:tcW w:w="1600" w:type="dxa"/>
            <w:vAlign w:val="bottom"/>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w w:val="99"/>
              </w:rPr>
              <w:t>2025</w:t>
            </w:r>
          </w:p>
        </w:tc>
        <w:tc>
          <w:tcPr>
            <w:tcW w:w="820" w:type="dxa"/>
            <w:vAlign w:val="bottom"/>
          </w:tcPr>
          <w:p>
            <w:pPr>
              <w:spacing w:after="0"/>
              <w:rPr>
                <w:sz w:val="10"/>
                <w:szCs w:val="10"/>
                <w:color w:val="auto"/>
              </w:rPr>
            </w:pPr>
          </w:p>
        </w:tc>
      </w:tr>
      <w:tr>
        <w:trPr>
          <w:trHeight w:val="108"/>
        </w:trPr>
        <w:tc>
          <w:tcPr>
            <w:tcW w:w="300" w:type="dxa"/>
            <w:vAlign w:val="bottom"/>
          </w:tcPr>
          <w:p>
            <w:pPr>
              <w:spacing w:after="0"/>
              <w:rPr>
                <w:sz w:val="9"/>
                <w:szCs w:val="9"/>
                <w:color w:val="auto"/>
              </w:rPr>
            </w:pPr>
          </w:p>
        </w:tc>
        <w:tc>
          <w:tcPr>
            <w:tcW w:w="2200" w:type="dxa"/>
            <w:vAlign w:val="bottom"/>
            <w:gridSpan w:val="3"/>
          </w:tcPr>
          <w:p>
            <w:pPr>
              <w:jc w:val="center"/>
              <w:ind w:right="1220"/>
              <w:spacing w:after="0"/>
              <w:rPr>
                <w:sz w:val="20"/>
                <w:szCs w:val="20"/>
                <w:color w:val="auto"/>
              </w:rPr>
            </w:pPr>
            <w:r>
              <w:rPr>
                <w:rFonts w:ascii="Arial" w:cs="Arial" w:eastAsia="Arial" w:hAnsi="Arial"/>
                <w:sz w:val="9"/>
                <w:szCs w:val="9"/>
                <w:color w:val="auto"/>
              </w:rPr>
              <w:t>(unaudited)</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353"/>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14,657,529</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14,561,924</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3,352,228</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3,267,728</w:t>
            </w:r>
          </w:p>
        </w:tc>
      </w:tr>
      <w:tr>
        <w:trPr>
          <w:trHeight w:val="108"/>
        </w:trPr>
        <w:tc>
          <w:tcPr>
            <w:tcW w:w="300" w:type="dxa"/>
            <w:vAlign w:val="bottom"/>
          </w:tcPr>
          <w:p>
            <w:pPr>
              <w:spacing w:after="0"/>
              <w:rPr>
                <w:sz w:val="9"/>
                <w:szCs w:val="9"/>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11,305,301</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11,294,196</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16,788</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16,727</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358,620</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349,856</w:t>
            </w:r>
          </w:p>
        </w:tc>
      </w:tr>
      <w:tr>
        <w:trPr>
          <w:trHeight w:val="108"/>
        </w:trPr>
        <w:tc>
          <w:tcPr>
            <w:tcW w:w="300" w:type="dxa"/>
            <w:vAlign w:val="bottom"/>
          </w:tcPr>
          <w:p>
            <w:pPr>
              <w:spacing w:after="0"/>
              <w:rPr>
                <w:sz w:val="9"/>
                <w:szCs w:val="9"/>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11,680,709</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11,660,779</w:t>
            </w:r>
          </w:p>
        </w:tc>
      </w:tr>
      <w:tr>
        <w:trPr>
          <w:trHeight w:val="172"/>
        </w:trPr>
        <w:tc>
          <w:tcPr>
            <w:tcW w:w="300" w:type="dxa"/>
            <w:vAlign w:val="bottom"/>
          </w:tcPr>
          <w:p>
            <w:pPr>
              <w:spacing w:after="0"/>
              <w:rPr>
                <w:sz w:val="14"/>
                <w:szCs w:val="1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145,560</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120,661</w:t>
            </w:r>
          </w:p>
        </w:tc>
      </w:tr>
      <w:tr>
        <w:trPr>
          <w:trHeight w:val="172"/>
        </w:trPr>
        <w:tc>
          <w:tcPr>
            <w:tcW w:w="300" w:type="dxa"/>
            <w:vAlign w:val="bottom"/>
          </w:tcPr>
          <w:p>
            <w:pPr>
              <w:spacing w:after="0"/>
              <w:rPr>
                <w:sz w:val="14"/>
                <w:szCs w:val="1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22,947</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29,578</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185,366</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180,871</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59,326</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63,413</w:t>
            </w:r>
          </w:p>
        </w:tc>
      </w:tr>
      <w:tr>
        <w:trPr>
          <w:trHeight w:val="108"/>
        </w:trPr>
        <w:tc>
          <w:tcPr>
            <w:tcW w:w="300" w:type="dxa"/>
            <w:vAlign w:val="bottom"/>
          </w:tcPr>
          <w:p>
            <w:pPr>
              <w:spacing w:after="0"/>
              <w:rPr>
                <w:sz w:val="9"/>
                <w:szCs w:val="9"/>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267,639</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273,862</w:t>
            </w:r>
          </w:p>
        </w:tc>
      </w:tr>
      <w:tr>
        <w:trPr>
          <w:trHeight w:val="172"/>
        </w:trPr>
        <w:tc>
          <w:tcPr>
            <w:tcW w:w="300" w:type="dxa"/>
            <w:vAlign w:val="bottom"/>
          </w:tcPr>
          <w:p>
            <w:pPr>
              <w:spacing w:after="0"/>
              <w:rPr>
                <w:sz w:val="14"/>
                <w:szCs w:val="1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99,462</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97,253</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244,876</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254,201</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313,508</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315,804</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294,730</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278,723</w:t>
            </w:r>
          </w:p>
        </w:tc>
      </w:tr>
      <w:tr>
        <w:trPr>
          <w:trHeight w:val="168"/>
        </w:trPr>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220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9"/>
                <w:szCs w:val="9"/>
                <w:color w:val="auto"/>
              </w:rPr>
              <w:t>13,046,484</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color w:val="auto"/>
              </w:rPr>
              <w:t>13,001,283</w:t>
            </w:r>
          </w:p>
        </w:tc>
      </w:tr>
      <w:tr>
        <w:trPr>
          <w:trHeight w:val="463"/>
        </w:trPr>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4,973,934</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4,619,301</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30,000</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120,000</w:t>
            </w:r>
          </w:p>
        </w:tc>
      </w:tr>
      <w:tr>
        <w:trPr>
          <w:trHeight w:val="108"/>
        </w:trPr>
        <w:tc>
          <w:tcPr>
            <w:tcW w:w="300" w:type="dxa"/>
            <w:vAlign w:val="bottom"/>
          </w:tcPr>
          <w:p>
            <w:pPr>
              <w:spacing w:after="0"/>
              <w:rPr>
                <w:sz w:val="9"/>
                <w:szCs w:val="9"/>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5,003,934</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4,739,301</w:t>
            </w:r>
          </w:p>
        </w:tc>
      </w:tr>
      <w:tr>
        <w:trPr>
          <w:trHeight w:val="172"/>
        </w:trPr>
        <w:tc>
          <w:tcPr>
            <w:tcW w:w="300" w:type="dxa"/>
            <w:vAlign w:val="bottom"/>
          </w:tcPr>
          <w:p>
            <w:pPr>
              <w:spacing w:after="0"/>
              <w:rPr>
                <w:sz w:val="14"/>
                <w:szCs w:val="1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200,885</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391,847</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352,202</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356,454</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241,012</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242,368</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83,544</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89,707</w:t>
            </w:r>
          </w:p>
        </w:tc>
      </w:tr>
      <w:tr>
        <w:trPr>
          <w:trHeight w:val="107"/>
        </w:trPr>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jc w:val="right"/>
              <w:ind w:right="940"/>
              <w:spacing w:after="0" w:line="94" w:lineRule="exact"/>
              <w:rPr>
                <w:sz w:val="20"/>
                <w:szCs w:val="20"/>
                <w:color w:val="auto"/>
              </w:rPr>
            </w:pPr>
            <w:r>
              <w:rPr>
                <w:rFonts w:ascii="Arial" w:cs="Arial" w:eastAsia="Arial" w:hAnsi="Arial"/>
                <w:sz w:val="9"/>
                <w:szCs w:val="9"/>
                <w:color w:val="auto"/>
              </w:rPr>
              <w:t>5,881,577</w:t>
            </w:r>
          </w:p>
        </w:tc>
        <w:tc>
          <w:tcPr>
            <w:tcW w:w="10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5,819,677</w:t>
            </w:r>
          </w:p>
        </w:tc>
      </w:tr>
      <w:tr>
        <w:trPr>
          <w:trHeight w:val="398"/>
        </w:trPr>
        <w:tc>
          <w:tcPr>
            <w:tcW w:w="300" w:type="dxa"/>
            <w:vAlign w:val="bottom"/>
          </w:tcPr>
          <w:p>
            <w:pPr>
              <w:spacing w:after="0"/>
              <w:rPr>
                <w:sz w:val="24"/>
                <w:szCs w:val="2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225,000</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225,000</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1,831</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1,829</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880"/>
              <w:spacing w:after="0"/>
              <w:rPr>
                <w:sz w:val="20"/>
                <w:szCs w:val="20"/>
                <w:color w:val="auto"/>
              </w:rPr>
            </w:pPr>
            <w:r>
              <w:rPr>
                <w:rFonts w:ascii="Arial" w:cs="Arial" w:eastAsia="Arial" w:hAnsi="Arial"/>
                <w:sz w:val="9"/>
                <w:szCs w:val="9"/>
                <w:color w:val="auto"/>
              </w:rPr>
              <w:t>(32,207)</w:t>
            </w:r>
          </w:p>
        </w:tc>
        <w:tc>
          <w:tcPr>
            <w:tcW w:w="1040" w:type="dxa"/>
            <w:vAlign w:val="bottom"/>
            <w:gridSpan w:val="2"/>
          </w:tcPr>
          <w:p>
            <w:pPr>
              <w:jc w:val="right"/>
              <w:ind w:right="80"/>
              <w:spacing w:after="0"/>
              <w:rPr>
                <w:sz w:val="20"/>
                <w:szCs w:val="20"/>
                <w:color w:val="auto"/>
              </w:rPr>
            </w:pPr>
            <w:r>
              <w:rPr>
                <w:rFonts w:ascii="Arial" w:cs="Arial" w:eastAsia="Arial" w:hAnsi="Arial"/>
                <w:sz w:val="9"/>
                <w:szCs w:val="9"/>
                <w:color w:val="auto"/>
              </w:rPr>
              <w:t>(31,075)</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8,702,768</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8,704,138</w:t>
            </w:r>
          </w:p>
        </w:tc>
      </w:tr>
      <w:tr>
        <w:trPr>
          <w:trHeight w:val="118"/>
        </w:trPr>
        <w:tc>
          <w:tcPr>
            <w:tcW w:w="300" w:type="dxa"/>
            <w:vAlign w:val="bottom"/>
          </w:tcPr>
          <w:p>
            <w:pPr>
              <w:spacing w:after="0"/>
              <w:rPr>
                <w:sz w:val="10"/>
                <w:szCs w:val="10"/>
                <w:color w:val="auto"/>
              </w:rPr>
            </w:pPr>
          </w:p>
        </w:tc>
        <w:tc>
          <w:tcPr>
            <w:tcW w:w="2200" w:type="dxa"/>
            <w:vAlign w:val="bottom"/>
            <w:gridSpan w:val="3"/>
          </w:tcPr>
          <w:p>
            <w:pPr>
              <w:jc w:val="right"/>
              <w:ind w:right="880"/>
              <w:spacing w:after="0"/>
              <w:rPr>
                <w:sz w:val="20"/>
                <w:szCs w:val="20"/>
                <w:color w:val="auto"/>
              </w:rPr>
            </w:pPr>
            <w:r>
              <w:rPr>
                <w:rFonts w:ascii="Arial" w:cs="Arial" w:eastAsia="Arial" w:hAnsi="Arial"/>
                <w:sz w:val="9"/>
                <w:szCs w:val="9"/>
                <w:color w:val="auto"/>
              </w:rPr>
              <w:t>(2,687)</w:t>
            </w:r>
          </w:p>
        </w:tc>
        <w:tc>
          <w:tcPr>
            <w:tcW w:w="1040" w:type="dxa"/>
            <w:vAlign w:val="bottom"/>
            <w:gridSpan w:val="2"/>
          </w:tcPr>
          <w:p>
            <w:pPr>
              <w:jc w:val="right"/>
              <w:ind w:right="80"/>
              <w:spacing w:after="0"/>
              <w:rPr>
                <w:sz w:val="20"/>
                <w:szCs w:val="20"/>
                <w:color w:val="auto"/>
              </w:rPr>
            </w:pPr>
            <w:r>
              <w:rPr>
                <w:rFonts w:ascii="Arial" w:cs="Arial" w:eastAsia="Arial" w:hAnsi="Arial"/>
                <w:sz w:val="9"/>
                <w:szCs w:val="9"/>
                <w:color w:val="auto"/>
              </w:rPr>
              <w:t>(4,220)</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880"/>
              <w:spacing w:after="0" w:line="96" w:lineRule="exact"/>
              <w:rPr>
                <w:sz w:val="20"/>
                <w:szCs w:val="20"/>
                <w:color w:val="auto"/>
              </w:rPr>
            </w:pPr>
            <w:r>
              <w:rPr>
                <w:rFonts w:ascii="Arial" w:cs="Arial" w:eastAsia="Arial" w:hAnsi="Arial"/>
                <w:sz w:val="9"/>
                <w:szCs w:val="9"/>
                <w:color w:val="auto"/>
              </w:rPr>
              <w:t>(2,001,870)</w:t>
            </w:r>
          </w:p>
        </w:tc>
        <w:tc>
          <w:tcPr>
            <w:tcW w:w="1040" w:type="dxa"/>
            <w:vAlign w:val="bottom"/>
            <w:tcBorders>
              <w:bottom w:val="single" w:sz="8" w:color="auto"/>
            </w:tcBorders>
            <w:gridSpan w:val="2"/>
          </w:tcPr>
          <w:p>
            <w:pPr>
              <w:jc w:val="right"/>
              <w:ind w:right="80"/>
              <w:spacing w:after="0" w:line="96" w:lineRule="exact"/>
              <w:rPr>
                <w:sz w:val="20"/>
                <w:szCs w:val="20"/>
                <w:color w:val="auto"/>
              </w:rPr>
            </w:pPr>
            <w:r>
              <w:rPr>
                <w:rFonts w:ascii="Arial" w:cs="Arial" w:eastAsia="Arial" w:hAnsi="Arial"/>
                <w:sz w:val="9"/>
                <w:szCs w:val="9"/>
                <w:color w:val="auto"/>
              </w:rPr>
              <w:t>(1,988,782)</w:t>
            </w:r>
          </w:p>
        </w:tc>
      </w:tr>
      <w:tr>
        <w:trPr>
          <w:trHeight w:val="107"/>
        </w:trPr>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jc w:val="right"/>
              <w:ind w:right="940"/>
              <w:spacing w:after="0" w:line="94" w:lineRule="exact"/>
              <w:rPr>
                <w:sz w:val="20"/>
                <w:szCs w:val="20"/>
                <w:color w:val="auto"/>
              </w:rPr>
            </w:pPr>
            <w:r>
              <w:rPr>
                <w:rFonts w:ascii="Arial" w:cs="Arial" w:eastAsia="Arial" w:hAnsi="Arial"/>
                <w:sz w:val="9"/>
                <w:szCs w:val="9"/>
                <w:color w:val="auto"/>
              </w:rPr>
              <w:t>6,892,835</w:t>
            </w:r>
          </w:p>
        </w:tc>
        <w:tc>
          <w:tcPr>
            <w:tcW w:w="10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6,906,890</w:t>
            </w:r>
          </w:p>
        </w:tc>
      </w:tr>
      <w:tr>
        <w:trPr>
          <w:trHeight w:val="344"/>
        </w:trPr>
        <w:tc>
          <w:tcPr>
            <w:tcW w:w="300" w:type="dxa"/>
            <w:vAlign w:val="bottom"/>
          </w:tcPr>
          <w:p>
            <w:pPr>
              <w:spacing w:after="0"/>
              <w:rPr>
                <w:sz w:val="24"/>
                <w:szCs w:val="24"/>
                <w:color w:val="auto"/>
              </w:rPr>
            </w:pPr>
          </w:p>
        </w:tc>
        <w:tc>
          <w:tcPr>
            <w:tcW w:w="2200" w:type="dxa"/>
            <w:vAlign w:val="bottom"/>
            <w:gridSpan w:val="3"/>
          </w:tcPr>
          <w:p>
            <w:pPr>
              <w:jc w:val="right"/>
              <w:ind w:right="940"/>
              <w:spacing w:after="0"/>
              <w:rPr>
                <w:sz w:val="20"/>
                <w:szCs w:val="20"/>
                <w:color w:val="auto"/>
              </w:rPr>
            </w:pPr>
            <w:r>
              <w:rPr>
                <w:rFonts w:ascii="Arial" w:cs="Arial" w:eastAsia="Arial" w:hAnsi="Arial"/>
                <w:sz w:val="9"/>
                <w:szCs w:val="9"/>
                <w:color w:val="auto"/>
              </w:rPr>
              <w:t>144,705</w:t>
            </w:r>
          </w:p>
        </w:tc>
        <w:tc>
          <w:tcPr>
            <w:tcW w:w="1040" w:type="dxa"/>
            <w:vAlign w:val="bottom"/>
            <w:gridSpan w:val="2"/>
          </w:tcPr>
          <w:p>
            <w:pPr>
              <w:jc w:val="right"/>
              <w:ind w:right="120"/>
              <w:spacing w:after="0"/>
              <w:rPr>
                <w:sz w:val="20"/>
                <w:szCs w:val="20"/>
                <w:color w:val="auto"/>
              </w:rPr>
            </w:pPr>
            <w:r>
              <w:rPr>
                <w:rFonts w:ascii="Arial" w:cs="Arial" w:eastAsia="Arial" w:hAnsi="Arial"/>
                <w:sz w:val="9"/>
                <w:szCs w:val="9"/>
                <w:color w:val="auto"/>
              </w:rPr>
              <w:t>144,940</w:t>
            </w:r>
          </w:p>
        </w:tc>
      </w:tr>
      <w:tr>
        <w:trPr>
          <w:trHeight w:val="116"/>
        </w:trPr>
        <w:tc>
          <w:tcPr>
            <w:tcW w:w="3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tcPr>
          <w:p>
            <w:pPr>
              <w:jc w:val="right"/>
              <w:ind w:right="940"/>
              <w:spacing w:after="0" w:line="96" w:lineRule="exact"/>
              <w:rPr>
                <w:sz w:val="20"/>
                <w:szCs w:val="20"/>
                <w:color w:val="auto"/>
              </w:rPr>
            </w:pPr>
            <w:r>
              <w:rPr>
                <w:rFonts w:ascii="Arial" w:cs="Arial" w:eastAsia="Arial" w:hAnsi="Arial"/>
                <w:sz w:val="9"/>
                <w:szCs w:val="9"/>
                <w:color w:val="auto"/>
              </w:rPr>
              <w:t>127,367</w:t>
            </w:r>
          </w:p>
        </w:tc>
        <w:tc>
          <w:tcPr>
            <w:tcW w:w="10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129,776</w:t>
            </w:r>
          </w:p>
        </w:tc>
      </w:tr>
      <w:tr>
        <w:trPr>
          <w:trHeight w:val="107"/>
        </w:trPr>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jc w:val="right"/>
              <w:ind w:right="940"/>
              <w:spacing w:after="0" w:line="94" w:lineRule="exact"/>
              <w:rPr>
                <w:sz w:val="20"/>
                <w:szCs w:val="20"/>
                <w:color w:val="auto"/>
              </w:rPr>
            </w:pPr>
            <w:r>
              <w:rPr>
                <w:rFonts w:ascii="Arial" w:cs="Arial" w:eastAsia="Arial" w:hAnsi="Arial"/>
                <w:sz w:val="9"/>
                <w:szCs w:val="9"/>
                <w:color w:val="auto"/>
              </w:rPr>
              <w:t>272,072</w:t>
            </w:r>
          </w:p>
        </w:tc>
        <w:tc>
          <w:tcPr>
            <w:tcW w:w="10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274,716</w:t>
            </w:r>
          </w:p>
        </w:tc>
      </w:tr>
      <w:tr>
        <w:trPr>
          <w:trHeight w:val="107"/>
        </w:trPr>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3"/>
          </w:tcPr>
          <w:p>
            <w:pPr>
              <w:jc w:val="right"/>
              <w:ind w:right="940"/>
              <w:spacing w:after="0" w:line="94" w:lineRule="exact"/>
              <w:rPr>
                <w:sz w:val="20"/>
                <w:szCs w:val="20"/>
                <w:color w:val="auto"/>
              </w:rPr>
            </w:pPr>
            <w:r>
              <w:rPr>
                <w:rFonts w:ascii="Arial" w:cs="Arial" w:eastAsia="Arial" w:hAnsi="Arial"/>
                <w:sz w:val="9"/>
                <w:szCs w:val="9"/>
                <w:color w:val="auto"/>
              </w:rPr>
              <w:t>7,164,907</w:t>
            </w:r>
          </w:p>
        </w:tc>
        <w:tc>
          <w:tcPr>
            <w:tcW w:w="10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7,181,606</w:t>
            </w:r>
          </w:p>
        </w:tc>
      </w:tr>
      <w:tr>
        <w:trPr>
          <w:trHeight w:val="168"/>
        </w:trPr>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220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9"/>
                <w:szCs w:val="9"/>
                <w:color w:val="auto"/>
              </w:rPr>
              <w:t>13,046,484</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9"/>
                <w:szCs w:val="9"/>
                <w:color w:val="auto"/>
              </w:rPr>
              <w:t>13,001,283</w:t>
            </w:r>
          </w:p>
        </w:tc>
      </w:tr>
    </w:tbl>
    <w:p>
      <w:pPr>
        <w:spacing w:after="0" w:line="315" w:lineRule="exact"/>
        <w:rPr>
          <w:sz w:val="20"/>
          <w:szCs w:val="20"/>
          <w:color w:val="auto"/>
        </w:rPr>
      </w:pPr>
    </w:p>
    <w:p>
      <w:pPr>
        <w:ind w:left="2500"/>
        <w:spacing w:after="0"/>
        <w:tabs>
          <w:tab w:leader="none" w:pos="340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3</w:t>
      </w:r>
    </w:p>
    <w:p>
      <w:pPr>
        <w:sectPr>
          <w:pgSz w:w="11900" w:h="16838" w:orient="portrait"/>
          <w:cols w:equalWidth="0" w:num="2">
            <w:col w:w="7520" w:space="240"/>
            <w:col w:w="3540"/>
          </w:cols>
          <w:pgMar w:left="300" w:top="732"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2"/>
          <w:szCs w:val="12"/>
          <w:color w:val="auto"/>
          <w:highlight w:val="black"/>
        </w:rPr>
        <w:t xml:space="preserve">Supplemental </w:t>
      </w:r>
      <w:r>
        <w:rPr>
          <w:rFonts w:ascii="Arial" w:cs="Arial" w:eastAsia="Arial" w:hAnsi="Arial"/>
          <w:sz w:val="12"/>
          <w:szCs w:val="12"/>
          <w:color w:val="auto"/>
        </w:rPr>
        <w:t>Details of Assets and Liabilities (Real Estate Partnerships Only)</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March 31, 2026 and December 31, 2025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Share of Unconsolidated</w:t>
            </w: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18"/>
        </w:trPr>
        <w:tc>
          <w:tcPr>
            <w:tcW w:w="4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3"/>
          </w:tcPr>
          <w:p>
            <w:pPr>
              <w:ind w:left="120"/>
              <w:spacing w:after="0"/>
              <w:rPr>
                <w:sz w:val="20"/>
                <w:szCs w:val="20"/>
                <w:color w:val="auto"/>
              </w:rPr>
            </w:pPr>
            <w:r>
              <w:rPr>
                <w:rFonts w:ascii="Arial" w:cs="Arial" w:eastAsia="Arial" w:hAnsi="Arial"/>
                <w:sz w:val="9"/>
                <w:szCs w:val="9"/>
                <w:color w:val="auto"/>
              </w:rPr>
              <w:t>Noncontrolling Interests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Real Estate Partnerships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07"/>
        </w:trPr>
        <w:tc>
          <w:tcPr>
            <w:tcW w:w="4020" w:type="dxa"/>
            <w:vAlign w:val="bottom"/>
          </w:tcPr>
          <w:p>
            <w:pPr>
              <w:spacing w:after="0"/>
              <w:rPr>
                <w:sz w:val="9"/>
                <w:szCs w:val="9"/>
                <w:color w:val="auto"/>
              </w:rPr>
            </w:pPr>
          </w:p>
        </w:tc>
        <w:tc>
          <w:tcPr>
            <w:tcW w:w="2280" w:type="dxa"/>
            <w:vAlign w:val="bottom"/>
            <w:gridSpan w:val="2"/>
          </w:tcPr>
          <w:p>
            <w:pPr>
              <w:spacing w:after="0"/>
              <w:rPr>
                <w:sz w:val="9"/>
                <w:szCs w:val="9"/>
                <w:color w:val="auto"/>
              </w:rPr>
            </w:pPr>
          </w:p>
        </w:tc>
        <w:tc>
          <w:tcPr>
            <w:tcW w:w="20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9"/>
                <w:szCs w:val="9"/>
                <w:color w:val="auto"/>
                <w:highlight w:val="black"/>
                <w:w w:val="89"/>
              </w:rPr>
              <w:t>2026</w:t>
            </w:r>
          </w:p>
        </w:tc>
        <w:tc>
          <w:tcPr>
            <w:tcW w:w="1200" w:type="dxa"/>
            <w:vAlign w:val="bottom"/>
          </w:tcPr>
          <w:p>
            <w:pPr>
              <w:spacing w:after="0"/>
              <w:rPr>
                <w:sz w:val="9"/>
                <w:szCs w:val="9"/>
                <w:color w:val="auto"/>
              </w:rPr>
            </w:pPr>
          </w:p>
        </w:tc>
        <w:tc>
          <w:tcPr>
            <w:tcW w:w="2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9"/>
                <w:szCs w:val="9"/>
                <w:color w:val="auto"/>
                <w:highlight w:val="black"/>
                <w:w w:val="99"/>
              </w:rPr>
              <w:t>2025</w:t>
            </w: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9"/>
                <w:szCs w:val="9"/>
                <w:color w:val="auto"/>
                <w:highlight w:val="black"/>
                <w:w w:val="89"/>
              </w:rPr>
              <w:t>2026</w:t>
            </w: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9"/>
                <w:szCs w:val="9"/>
                <w:color w:val="auto"/>
                <w:highlight w:val="black"/>
                <w:w w:val="99"/>
              </w:rPr>
              <w:t>2025</w:t>
            </w:r>
          </w:p>
        </w:tc>
        <w:tc>
          <w:tcPr>
            <w:tcW w:w="600" w:type="dxa"/>
            <w:vAlign w:val="bottom"/>
          </w:tcPr>
          <w:p>
            <w:pPr>
              <w:spacing w:after="0"/>
              <w:rPr>
                <w:sz w:val="9"/>
                <w:szCs w:val="9"/>
                <w:color w:val="auto"/>
              </w:rPr>
            </w:pPr>
          </w:p>
        </w:tc>
      </w:tr>
      <w:tr>
        <w:trPr>
          <w:trHeight w:val="108"/>
        </w:trPr>
        <w:tc>
          <w:tcPr>
            <w:tcW w:w="4020" w:type="dxa"/>
            <w:vAlign w:val="bottom"/>
          </w:tcPr>
          <w:p>
            <w:pPr>
              <w:spacing w:after="0"/>
              <w:rPr>
                <w:sz w:val="20"/>
                <w:szCs w:val="20"/>
                <w:color w:val="auto"/>
              </w:rPr>
            </w:pPr>
            <w:r>
              <w:rPr>
                <w:rFonts w:ascii="Arial" w:cs="Arial" w:eastAsia="Arial" w:hAnsi="Arial"/>
                <w:sz w:val="9"/>
                <w:szCs w:val="9"/>
                <w:color w:val="auto"/>
                <w:highlight w:val="black"/>
              </w:rPr>
              <w:t>Assets:</w:t>
            </w:r>
          </w:p>
        </w:tc>
        <w:tc>
          <w:tcPr>
            <w:tcW w:w="1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Real estate assets at cost</w:t>
            </w:r>
          </w:p>
        </w:tc>
        <w:tc>
          <w:tcPr>
            <w:tcW w:w="2280" w:type="dxa"/>
            <w:vAlign w:val="bottom"/>
            <w:gridSpan w:val="2"/>
          </w:tcPr>
          <w:p>
            <w:pPr>
              <w:jc w:val="right"/>
              <w:ind w:right="396"/>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(117,290)</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(115,552)</w:t>
            </w:r>
          </w:p>
        </w:tc>
        <w:tc>
          <w:tcPr>
            <w:tcW w:w="600" w:type="dxa"/>
            <w:vAlign w:val="bottom"/>
            <w:gridSpan w:val="2"/>
          </w:tcPr>
          <w:p>
            <w:pPr>
              <w:jc w:val="right"/>
              <w:ind w:right="353"/>
              <w:spacing w:after="0"/>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1,306,669</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1,305,006</w:t>
            </w:r>
          </w:p>
        </w:tc>
      </w:tr>
      <w:tr>
        <w:trPr>
          <w:trHeight w:val="116"/>
        </w:trPr>
        <w:tc>
          <w:tcPr>
            <w:tcW w:w="4020" w:type="dxa"/>
            <w:vAlign w:val="bottom"/>
          </w:tcPr>
          <w:p>
            <w:pPr>
              <w:spacing w:after="0"/>
              <w:rPr>
                <w:sz w:val="20"/>
                <w:szCs w:val="20"/>
                <w:color w:val="auto"/>
              </w:rPr>
            </w:pPr>
            <w:r>
              <w:rPr>
                <w:rFonts w:ascii="Arial" w:cs="Arial" w:eastAsia="Arial" w:hAnsi="Arial"/>
                <w:sz w:val="9"/>
                <w:szCs w:val="9"/>
                <w:color w:val="auto"/>
              </w:rPr>
              <w:t>Less: accumulated depreciation</w:t>
            </w:r>
          </w:p>
        </w:tc>
        <w:tc>
          <w:tcPr>
            <w:tcW w:w="18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53"/>
              <w:spacing w:after="0" w:line="96" w:lineRule="exact"/>
              <w:rPr>
                <w:sz w:val="20"/>
                <w:szCs w:val="20"/>
                <w:color w:val="auto"/>
              </w:rPr>
            </w:pPr>
            <w:r>
              <w:rPr>
                <w:rFonts w:ascii="Arial" w:cs="Arial" w:eastAsia="Arial" w:hAnsi="Arial"/>
                <w:sz w:val="9"/>
                <w:szCs w:val="9"/>
                <w:color w:val="auto"/>
              </w:rPr>
              <w:t>(19,067)</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(18,280)</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633"/>
              <w:spacing w:after="0" w:line="96" w:lineRule="exact"/>
              <w:rPr>
                <w:sz w:val="20"/>
                <w:szCs w:val="20"/>
                <w:color w:val="auto"/>
              </w:rPr>
            </w:pPr>
            <w:r>
              <w:rPr>
                <w:rFonts w:ascii="Arial" w:cs="Arial" w:eastAsia="Arial" w:hAnsi="Arial"/>
                <w:sz w:val="9"/>
                <w:szCs w:val="9"/>
                <w:color w:val="auto"/>
              </w:rPr>
              <w:t>509,298</w:t>
            </w:r>
          </w:p>
        </w:tc>
        <w:tc>
          <w:tcPr>
            <w:tcW w:w="84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504,568</w:t>
            </w:r>
          </w:p>
        </w:tc>
      </w:tr>
      <w:tr>
        <w:trPr>
          <w:trHeight w:val="108"/>
        </w:trPr>
        <w:tc>
          <w:tcPr>
            <w:tcW w:w="4020" w:type="dxa"/>
            <w:vAlign w:val="bottom"/>
          </w:tcPr>
          <w:p>
            <w:pPr>
              <w:ind w:left="100"/>
              <w:spacing w:after="0"/>
              <w:rPr>
                <w:sz w:val="20"/>
                <w:szCs w:val="20"/>
                <w:color w:val="auto"/>
              </w:rPr>
            </w:pPr>
            <w:r>
              <w:rPr>
                <w:rFonts w:ascii="Arial" w:cs="Arial" w:eastAsia="Arial" w:hAnsi="Arial"/>
                <w:sz w:val="9"/>
                <w:szCs w:val="9"/>
                <w:color w:val="auto"/>
              </w:rPr>
              <w:t>Real estate assets, net</w:t>
            </w:r>
          </w:p>
        </w:tc>
        <w:tc>
          <w:tcPr>
            <w:tcW w:w="1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(98,223)</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(97,272)</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797,371</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800,438</w:t>
            </w:r>
          </w:p>
        </w:tc>
      </w:tr>
      <w:tr>
        <w:trPr>
          <w:trHeight w:val="116"/>
        </w:trPr>
        <w:tc>
          <w:tcPr>
            <w:tcW w:w="4020" w:type="dxa"/>
            <w:vAlign w:val="bottom"/>
          </w:tcPr>
          <w:p>
            <w:pPr>
              <w:spacing w:after="0"/>
              <w:rPr>
                <w:sz w:val="20"/>
                <w:szCs w:val="20"/>
                <w:color w:val="auto"/>
              </w:rPr>
            </w:pPr>
            <w:r>
              <w:rPr>
                <w:rFonts w:ascii="Arial" w:cs="Arial" w:eastAsia="Arial" w:hAnsi="Arial"/>
                <w:sz w:val="9"/>
                <w:szCs w:val="9"/>
                <w:color w:val="auto"/>
              </w:rPr>
              <w:t>Investments in sales-type lease, net</w:t>
            </w:r>
          </w:p>
        </w:tc>
        <w:tc>
          <w:tcPr>
            <w:tcW w:w="18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53"/>
              <w:spacing w:after="0" w:line="96" w:lineRule="exact"/>
              <w:rPr>
                <w:sz w:val="20"/>
                <w:szCs w:val="20"/>
                <w:color w:val="auto"/>
              </w:rPr>
            </w:pPr>
            <w:r>
              <w:rPr>
                <w:rFonts w:ascii="Arial" w:cs="Arial" w:eastAsia="Arial" w:hAnsi="Arial"/>
                <w:sz w:val="9"/>
                <w:szCs w:val="9"/>
                <w:color w:val="auto"/>
              </w:rPr>
              <w:t>(2,885)</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(2,878)</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633"/>
              <w:spacing w:after="0" w:line="96" w:lineRule="exact"/>
              <w:rPr>
                <w:sz w:val="20"/>
                <w:szCs w:val="20"/>
                <w:color w:val="auto"/>
              </w:rPr>
            </w:pPr>
            <w:r>
              <w:rPr>
                <w:rFonts w:ascii="Arial" w:cs="Arial" w:eastAsia="Arial" w:hAnsi="Arial"/>
                <w:sz w:val="9"/>
                <w:szCs w:val="9"/>
                <w:color w:val="auto"/>
              </w:rPr>
              <w:t>38,183</w:t>
            </w:r>
          </w:p>
        </w:tc>
        <w:tc>
          <w:tcPr>
            <w:tcW w:w="84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38,045</w:t>
            </w:r>
          </w:p>
        </w:tc>
      </w:tr>
      <w:tr>
        <w:trPr>
          <w:trHeight w:val="108"/>
        </w:trPr>
        <w:tc>
          <w:tcPr>
            <w:tcW w:w="4020" w:type="dxa"/>
            <w:vAlign w:val="bottom"/>
          </w:tcPr>
          <w:p>
            <w:pPr>
              <w:ind w:left="100"/>
              <w:spacing w:after="0"/>
              <w:rPr>
                <w:sz w:val="20"/>
                <w:szCs w:val="20"/>
                <w:color w:val="auto"/>
              </w:rPr>
            </w:pPr>
            <w:r>
              <w:rPr>
                <w:rFonts w:ascii="Arial" w:cs="Arial" w:eastAsia="Arial" w:hAnsi="Arial"/>
                <w:sz w:val="9"/>
                <w:szCs w:val="9"/>
                <w:color w:val="auto"/>
              </w:rPr>
              <w:t>Net real estate investments</w:t>
            </w:r>
          </w:p>
        </w:tc>
        <w:tc>
          <w:tcPr>
            <w:tcW w:w="1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(101,108)</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(100,150)</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835,554</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838,483</w:t>
            </w:r>
          </w:p>
        </w:tc>
      </w:tr>
      <w:tr>
        <w:trPr>
          <w:trHeight w:val="172"/>
        </w:trPr>
        <w:tc>
          <w:tcPr>
            <w:tcW w:w="4020" w:type="dxa"/>
            <w:vAlign w:val="bottom"/>
          </w:tcPr>
          <w:p>
            <w:pPr>
              <w:spacing w:after="0"/>
              <w:rPr>
                <w:sz w:val="20"/>
                <w:szCs w:val="20"/>
                <w:color w:val="auto"/>
              </w:rPr>
            </w:pPr>
            <w:r>
              <w:rPr>
                <w:rFonts w:ascii="Arial" w:cs="Arial" w:eastAsia="Arial" w:hAnsi="Arial"/>
                <w:sz w:val="9"/>
                <w:szCs w:val="9"/>
                <w:color w:val="auto"/>
              </w:rPr>
              <w:t>Cash, cash equivalents, and restricted cash</w:t>
            </w: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(46,879)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(51,238)</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18,408</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12,005</w:t>
            </w:r>
          </w:p>
        </w:tc>
      </w:tr>
      <w:tr>
        <w:trPr>
          <w:trHeight w:val="172"/>
        </w:trPr>
        <w:tc>
          <w:tcPr>
            <w:tcW w:w="4020" w:type="dxa"/>
            <w:vAlign w:val="bottom"/>
          </w:tcPr>
          <w:p>
            <w:pPr>
              <w:spacing w:after="0"/>
              <w:rPr>
                <w:sz w:val="20"/>
                <w:szCs w:val="20"/>
                <w:color w:val="auto"/>
              </w:rPr>
            </w:pPr>
            <w:r>
              <w:rPr>
                <w:rFonts w:ascii="Arial" w:cs="Arial" w:eastAsia="Arial" w:hAnsi="Arial"/>
                <w:sz w:val="9"/>
                <w:szCs w:val="9"/>
                <w:color w:val="auto"/>
              </w:rPr>
              <w:t>Tenant receivables, net</w:t>
            </w: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(484)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(391)</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1,755</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3,411</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Straight-line rent receivables, net</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(2,575)</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(2,468)</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21,905</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21,809</w:t>
            </w:r>
          </w:p>
        </w:tc>
      </w:tr>
      <w:tr>
        <w:trPr>
          <w:trHeight w:val="116"/>
        </w:trPr>
        <w:tc>
          <w:tcPr>
            <w:tcW w:w="4020" w:type="dxa"/>
            <w:vAlign w:val="bottom"/>
          </w:tcPr>
          <w:p>
            <w:pPr>
              <w:spacing w:after="0"/>
              <w:rPr>
                <w:sz w:val="20"/>
                <w:szCs w:val="20"/>
                <w:color w:val="auto"/>
              </w:rPr>
            </w:pPr>
            <w:r>
              <w:rPr>
                <w:rFonts w:ascii="Arial" w:cs="Arial" w:eastAsia="Arial" w:hAnsi="Arial"/>
                <w:sz w:val="9"/>
                <w:szCs w:val="9"/>
                <w:color w:val="auto"/>
              </w:rPr>
              <w:t>Other receivables</w:t>
            </w:r>
          </w:p>
        </w:tc>
        <w:tc>
          <w:tcPr>
            <w:tcW w:w="18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53"/>
              <w:spacing w:after="0" w:line="96" w:lineRule="exact"/>
              <w:rPr>
                <w:sz w:val="20"/>
                <w:szCs w:val="20"/>
                <w:color w:val="auto"/>
              </w:rPr>
            </w:pPr>
            <w:r>
              <w:rPr>
                <w:rFonts w:ascii="Arial" w:cs="Arial" w:eastAsia="Arial" w:hAnsi="Arial"/>
                <w:sz w:val="9"/>
                <w:szCs w:val="9"/>
                <w:color w:val="auto"/>
              </w:rPr>
              <w:t>(1,225)</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(1,238)</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633"/>
              <w:spacing w:after="0" w:line="96" w:lineRule="exact"/>
              <w:rPr>
                <w:sz w:val="20"/>
                <w:szCs w:val="20"/>
                <w:color w:val="auto"/>
              </w:rPr>
            </w:pPr>
            <w:r>
              <w:rPr>
                <w:rFonts w:ascii="Arial" w:cs="Arial" w:eastAsia="Arial" w:hAnsi="Arial"/>
                <w:sz w:val="9"/>
                <w:szCs w:val="9"/>
                <w:color w:val="auto"/>
              </w:rPr>
              <w:t>127</w:t>
            </w:r>
          </w:p>
        </w:tc>
        <w:tc>
          <w:tcPr>
            <w:tcW w:w="84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786</w:t>
            </w:r>
          </w:p>
        </w:tc>
      </w:tr>
      <w:tr>
        <w:trPr>
          <w:trHeight w:val="108"/>
        </w:trPr>
        <w:tc>
          <w:tcPr>
            <w:tcW w:w="4020" w:type="dxa"/>
            <w:vAlign w:val="bottom"/>
          </w:tcPr>
          <w:p>
            <w:pPr>
              <w:ind w:left="100"/>
              <w:spacing w:after="0"/>
              <w:rPr>
                <w:sz w:val="20"/>
                <w:szCs w:val="20"/>
                <w:color w:val="auto"/>
              </w:rPr>
            </w:pPr>
            <w:r>
              <w:rPr>
                <w:rFonts w:ascii="Arial" w:cs="Arial" w:eastAsia="Arial" w:hAnsi="Arial"/>
                <w:sz w:val="9"/>
                <w:szCs w:val="9"/>
                <w:color w:val="auto"/>
              </w:rPr>
              <w:t>Tenant and other receivables</w:t>
            </w:r>
          </w:p>
        </w:tc>
        <w:tc>
          <w:tcPr>
            <w:tcW w:w="1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(4,284)</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(4,097)</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23,787</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26,006</w:t>
            </w:r>
          </w:p>
        </w:tc>
      </w:tr>
      <w:tr>
        <w:trPr>
          <w:trHeight w:val="172"/>
        </w:trPr>
        <w:tc>
          <w:tcPr>
            <w:tcW w:w="4020" w:type="dxa"/>
            <w:vAlign w:val="bottom"/>
          </w:tcPr>
          <w:p>
            <w:pPr>
              <w:spacing w:after="0"/>
              <w:rPr>
                <w:sz w:val="20"/>
                <w:szCs w:val="20"/>
                <w:color w:val="auto"/>
              </w:rPr>
            </w:pPr>
            <w:r>
              <w:rPr>
                <w:rFonts w:ascii="Arial" w:cs="Arial" w:eastAsia="Arial" w:hAnsi="Arial"/>
                <w:sz w:val="9"/>
                <w:szCs w:val="9"/>
                <w:color w:val="auto"/>
              </w:rPr>
              <w:t>Deferred leasing costs, net</w:t>
            </w: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(2,446)</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(2,432)</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15,098</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15,396</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Acquired lease intangible assets, net</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(803)</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(832)</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7,206</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7,549</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Right of use assets, net</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(1,565)</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(1,570)</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4,651</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4,665</w:t>
            </w:r>
          </w:p>
        </w:tc>
      </w:tr>
      <w:tr>
        <w:trPr>
          <w:trHeight w:val="116"/>
        </w:trPr>
        <w:tc>
          <w:tcPr>
            <w:tcW w:w="4020" w:type="dxa"/>
            <w:vAlign w:val="bottom"/>
          </w:tcPr>
          <w:p>
            <w:pPr>
              <w:spacing w:after="0"/>
              <w:rPr>
                <w:sz w:val="20"/>
                <w:szCs w:val="20"/>
                <w:color w:val="auto"/>
              </w:rPr>
            </w:pPr>
            <w:r>
              <w:rPr>
                <w:rFonts w:ascii="Arial" w:cs="Arial" w:eastAsia="Arial" w:hAnsi="Arial"/>
                <w:sz w:val="9"/>
                <w:szCs w:val="9"/>
                <w:color w:val="auto"/>
              </w:rPr>
              <w:t>Other assets</w:t>
            </w:r>
          </w:p>
        </w:tc>
        <w:tc>
          <w:tcPr>
            <w:tcW w:w="18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53"/>
              <w:spacing w:after="0" w:line="96" w:lineRule="exact"/>
              <w:rPr>
                <w:sz w:val="20"/>
                <w:szCs w:val="20"/>
                <w:color w:val="auto"/>
              </w:rPr>
            </w:pPr>
            <w:r>
              <w:rPr>
                <w:rFonts w:ascii="Arial" w:cs="Arial" w:eastAsia="Arial" w:hAnsi="Arial"/>
                <w:sz w:val="9"/>
                <w:szCs w:val="9"/>
                <w:color w:val="auto"/>
              </w:rPr>
              <w:t>(564)</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(320)</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633"/>
              <w:spacing w:after="0" w:line="96" w:lineRule="exact"/>
              <w:rPr>
                <w:sz w:val="20"/>
                <w:szCs w:val="20"/>
                <w:color w:val="auto"/>
              </w:rPr>
            </w:pPr>
            <w:r>
              <w:rPr>
                <w:rFonts w:ascii="Arial" w:cs="Arial" w:eastAsia="Arial" w:hAnsi="Arial"/>
                <w:sz w:val="9"/>
                <w:szCs w:val="9"/>
                <w:color w:val="auto"/>
              </w:rPr>
              <w:t>27,627</w:t>
            </w:r>
          </w:p>
        </w:tc>
        <w:tc>
          <w:tcPr>
            <w:tcW w:w="84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26,026</w:t>
            </w:r>
          </w:p>
        </w:tc>
      </w:tr>
      <w:tr>
        <w:trPr>
          <w:trHeight w:val="170"/>
        </w:trPr>
        <w:tc>
          <w:tcPr>
            <w:tcW w:w="4020" w:type="dxa"/>
            <w:vAlign w:val="bottom"/>
          </w:tcPr>
          <w:p>
            <w:pPr>
              <w:ind w:left="300"/>
              <w:spacing w:after="0"/>
              <w:rPr>
                <w:sz w:val="20"/>
                <w:szCs w:val="20"/>
                <w:color w:val="auto"/>
              </w:rPr>
            </w:pPr>
            <w:r>
              <w:rPr>
                <w:rFonts w:ascii="Arial" w:cs="Arial" w:eastAsia="Arial" w:hAnsi="Arial"/>
                <w:sz w:val="9"/>
                <w:szCs w:val="9"/>
                <w:color w:val="auto"/>
              </w:rPr>
              <w:t>Total assets</w:t>
            </w:r>
          </w:p>
        </w:tc>
        <w:tc>
          <w:tcPr>
            <w:tcW w:w="1820" w:type="dxa"/>
            <w:vAlign w:val="bottom"/>
          </w:tcPr>
          <w:p>
            <w:pPr>
              <w:spacing w:after="0"/>
              <w:rPr>
                <w:sz w:val="14"/>
                <w:szCs w:val="14"/>
                <w:color w:val="auto"/>
              </w:rPr>
            </w:pPr>
          </w:p>
        </w:tc>
        <w:tc>
          <w:tcPr>
            <w:tcW w:w="460" w:type="dxa"/>
            <w:vAlign w:val="bottom"/>
            <w:tcBorders>
              <w:bottom w:val="single" w:sz="8" w:color="auto"/>
            </w:tcBorders>
          </w:tcPr>
          <w:p>
            <w:pPr>
              <w:jc w:val="right"/>
              <w:ind w:right="396"/>
              <w:spacing w:after="0"/>
              <w:rPr>
                <w:sz w:val="20"/>
                <w:szCs w:val="20"/>
                <w:color w:val="auto"/>
              </w:rPr>
            </w:pPr>
            <w:r>
              <w:rPr>
                <w:rFonts w:ascii="Arial" w:cs="Arial" w:eastAsia="Arial" w:hAnsi="Arial"/>
                <w:sz w:val="5"/>
                <w:szCs w:val="5"/>
                <w:color w:val="auto"/>
                <w:w w:val="70"/>
              </w:rPr>
              <w:t>$</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9"/>
                <w:szCs w:val="9"/>
                <w:color w:val="auto"/>
              </w:rPr>
              <w:t>(157,649)</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(160,639)</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353"/>
              <w:spacing w:after="0"/>
              <w:rPr>
                <w:sz w:val="20"/>
                <w:szCs w:val="20"/>
                <w:color w:val="auto"/>
              </w:rPr>
            </w:pPr>
            <w:r>
              <w:rPr>
                <w:rFonts w:ascii="Arial" w:cs="Arial" w:eastAsia="Arial" w:hAnsi="Arial"/>
                <w:sz w:val="9"/>
                <w:szCs w:val="9"/>
                <w:color w:val="auto"/>
                <w:w w:val="78"/>
              </w:rPr>
              <w:t>$</w:t>
            </w:r>
          </w:p>
        </w:tc>
        <w:tc>
          <w:tcPr>
            <w:tcW w:w="134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9"/>
                <w:szCs w:val="9"/>
                <w:color w:val="auto"/>
              </w:rPr>
              <w:t>932,331</w:t>
            </w: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930,130</w:t>
            </w:r>
          </w:p>
        </w:tc>
      </w:tr>
      <w:tr>
        <w:trPr>
          <w:trHeight w:val="226"/>
        </w:trPr>
        <w:tc>
          <w:tcPr>
            <w:tcW w:w="4020" w:type="dxa"/>
            <w:vAlign w:val="bottom"/>
          </w:tcPr>
          <w:p>
            <w:pPr>
              <w:spacing w:after="0"/>
              <w:rPr>
                <w:sz w:val="20"/>
                <w:szCs w:val="20"/>
                <w:color w:val="auto"/>
              </w:rPr>
            </w:pPr>
            <w:r>
              <w:rPr>
                <w:rFonts w:ascii="Arial" w:cs="Arial" w:eastAsia="Arial" w:hAnsi="Arial"/>
                <w:sz w:val="9"/>
                <w:szCs w:val="9"/>
                <w:color w:val="auto"/>
                <w:highlight w:val="black"/>
              </w:rPr>
              <w:t>Liabilities:</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Notes payable, net</w:t>
            </w:r>
          </w:p>
        </w:tc>
        <w:tc>
          <w:tcPr>
            <w:tcW w:w="2280" w:type="dxa"/>
            <w:vAlign w:val="bottom"/>
            <w:gridSpan w:val="2"/>
          </w:tcPr>
          <w:p>
            <w:pPr>
              <w:jc w:val="right"/>
              <w:ind w:right="396"/>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(25,282)</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(25,297)</w:t>
            </w:r>
          </w:p>
        </w:tc>
        <w:tc>
          <w:tcPr>
            <w:tcW w:w="600" w:type="dxa"/>
            <w:vAlign w:val="bottom"/>
            <w:gridSpan w:val="2"/>
          </w:tcPr>
          <w:p>
            <w:pPr>
              <w:jc w:val="right"/>
              <w:ind w:right="353"/>
              <w:spacing w:after="0"/>
              <w:rPr>
                <w:sz w:val="20"/>
                <w:szCs w:val="20"/>
                <w:color w:val="auto"/>
              </w:rPr>
            </w:pPr>
            <w:r>
              <w:rPr>
                <w:rFonts w:ascii="Arial" w:cs="Arial" w:eastAsia="Arial" w:hAnsi="Arial"/>
                <w:sz w:val="9"/>
                <w:szCs w:val="9"/>
                <w:color w:val="auto"/>
              </w:rPr>
              <w:t>$</w:t>
            </w: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538,471</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541,006</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Accounts payable and other liabilities</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(2,404)</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(2,989)</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22,634</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25,952</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Acquired lease intangible liabilities, net</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(124)</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(131)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5,384</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5,624</w:t>
            </w:r>
          </w:p>
        </w:tc>
      </w:tr>
      <w:tr>
        <w:trPr>
          <w:trHeight w:val="118"/>
        </w:trPr>
        <w:tc>
          <w:tcPr>
            <w:tcW w:w="4020" w:type="dxa"/>
            <w:vAlign w:val="bottom"/>
          </w:tcPr>
          <w:p>
            <w:pPr>
              <w:spacing w:after="0"/>
              <w:rPr>
                <w:sz w:val="20"/>
                <w:szCs w:val="20"/>
                <w:color w:val="auto"/>
              </w:rPr>
            </w:pPr>
            <w:r>
              <w:rPr>
                <w:rFonts w:ascii="Arial" w:cs="Arial" w:eastAsia="Arial" w:hAnsi="Arial"/>
                <w:sz w:val="9"/>
                <w:szCs w:val="9"/>
                <w:color w:val="auto"/>
              </w:rPr>
              <w:t>Lease liabilities</w:t>
            </w:r>
          </w:p>
        </w:tc>
        <w:tc>
          <w:tcPr>
            <w:tcW w:w="1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653"/>
              <w:spacing w:after="0"/>
              <w:rPr>
                <w:sz w:val="20"/>
                <w:szCs w:val="20"/>
                <w:color w:val="auto"/>
              </w:rPr>
            </w:pPr>
            <w:r>
              <w:rPr>
                <w:rFonts w:ascii="Arial" w:cs="Arial" w:eastAsia="Arial" w:hAnsi="Arial"/>
                <w:sz w:val="9"/>
                <w:szCs w:val="9"/>
                <w:color w:val="auto"/>
              </w:rPr>
              <w:t>(2,043)</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33"/>
              <w:spacing w:after="0"/>
              <w:rPr>
                <w:sz w:val="20"/>
                <w:szCs w:val="20"/>
                <w:color w:val="auto"/>
              </w:rPr>
            </w:pPr>
            <w:r>
              <w:rPr>
                <w:rFonts w:ascii="Arial" w:cs="Arial" w:eastAsia="Arial" w:hAnsi="Arial"/>
                <w:sz w:val="9"/>
                <w:szCs w:val="9"/>
                <w:color w:val="auto"/>
              </w:rPr>
              <w:t>(2,037)</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40" w:type="dxa"/>
            <w:vAlign w:val="bottom"/>
            <w:gridSpan w:val="2"/>
          </w:tcPr>
          <w:p>
            <w:pPr>
              <w:jc w:val="right"/>
              <w:ind w:right="633"/>
              <w:spacing w:after="0"/>
              <w:rPr>
                <w:sz w:val="20"/>
                <w:szCs w:val="20"/>
                <w:color w:val="auto"/>
              </w:rPr>
            </w:pPr>
            <w:r>
              <w:rPr>
                <w:rFonts w:ascii="Arial" w:cs="Arial" w:eastAsia="Arial" w:hAnsi="Arial"/>
                <w:sz w:val="9"/>
                <w:szCs w:val="9"/>
                <w:color w:val="auto"/>
              </w:rPr>
              <w:t>3,136</w:t>
            </w:r>
          </w:p>
        </w:tc>
        <w:tc>
          <w:tcPr>
            <w:tcW w:w="840" w:type="dxa"/>
            <w:vAlign w:val="bottom"/>
            <w:gridSpan w:val="3"/>
          </w:tcPr>
          <w:p>
            <w:pPr>
              <w:jc w:val="right"/>
              <w:ind w:right="120"/>
              <w:spacing w:after="0"/>
              <w:rPr>
                <w:sz w:val="20"/>
                <w:szCs w:val="20"/>
                <w:color w:val="auto"/>
              </w:rPr>
            </w:pPr>
            <w:r>
              <w:rPr>
                <w:rFonts w:ascii="Arial" w:cs="Arial" w:eastAsia="Arial" w:hAnsi="Arial"/>
                <w:sz w:val="9"/>
                <w:szCs w:val="9"/>
                <w:color w:val="auto"/>
              </w:rPr>
              <w:t>3,139</w:t>
            </w:r>
          </w:p>
        </w:tc>
      </w:tr>
      <w:tr>
        <w:trPr>
          <w:trHeight w:val="116"/>
        </w:trPr>
        <w:tc>
          <w:tcPr>
            <w:tcW w:w="4020" w:type="dxa"/>
            <w:vAlign w:val="bottom"/>
          </w:tcPr>
          <w:p>
            <w:pPr>
              <w:spacing w:after="0"/>
              <w:rPr>
                <w:sz w:val="20"/>
                <w:szCs w:val="20"/>
                <w:color w:val="auto"/>
              </w:rPr>
            </w:pPr>
            <w:r>
              <w:rPr>
                <w:rFonts w:ascii="Arial" w:cs="Arial" w:eastAsia="Arial" w:hAnsi="Arial"/>
                <w:sz w:val="9"/>
                <w:szCs w:val="9"/>
                <w:color w:val="auto"/>
              </w:rPr>
              <w:t>Tenants' security, escrow deposits, and prepaid rent</w:t>
            </w:r>
          </w:p>
        </w:tc>
        <w:tc>
          <w:tcPr>
            <w:tcW w:w="18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53"/>
              <w:spacing w:after="0" w:line="96" w:lineRule="exact"/>
              <w:rPr>
                <w:sz w:val="20"/>
                <w:szCs w:val="20"/>
                <w:color w:val="auto"/>
              </w:rPr>
            </w:pPr>
            <w:r>
              <w:rPr>
                <w:rFonts w:ascii="Arial" w:cs="Arial" w:eastAsia="Arial" w:hAnsi="Arial"/>
                <w:sz w:val="9"/>
                <w:szCs w:val="9"/>
                <w:color w:val="auto"/>
              </w:rPr>
              <w:t>(429)</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(409)</w:t>
            </w:r>
          </w:p>
        </w:tc>
        <w:tc>
          <w:tcPr>
            <w:tcW w:w="1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2"/>
          </w:tcPr>
          <w:p>
            <w:pPr>
              <w:jc w:val="right"/>
              <w:ind w:right="633"/>
              <w:spacing w:after="0" w:line="96" w:lineRule="exact"/>
              <w:rPr>
                <w:sz w:val="20"/>
                <w:szCs w:val="20"/>
                <w:color w:val="auto"/>
              </w:rPr>
            </w:pPr>
            <w:r>
              <w:rPr>
                <w:rFonts w:ascii="Arial" w:cs="Arial" w:eastAsia="Arial" w:hAnsi="Arial"/>
                <w:sz w:val="9"/>
                <w:szCs w:val="9"/>
                <w:color w:val="auto"/>
              </w:rPr>
              <w:t>4,086</w:t>
            </w:r>
          </w:p>
        </w:tc>
        <w:tc>
          <w:tcPr>
            <w:tcW w:w="84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4,553</w:t>
            </w:r>
          </w:p>
        </w:tc>
      </w:tr>
      <w:tr>
        <w:trPr>
          <w:trHeight w:val="170"/>
        </w:trPr>
        <w:tc>
          <w:tcPr>
            <w:tcW w:w="4020" w:type="dxa"/>
            <w:vAlign w:val="bottom"/>
          </w:tcPr>
          <w:p>
            <w:pPr>
              <w:ind w:left="300"/>
              <w:spacing w:after="0"/>
              <w:rPr>
                <w:sz w:val="20"/>
                <w:szCs w:val="20"/>
                <w:color w:val="auto"/>
              </w:rPr>
            </w:pPr>
            <w:r>
              <w:rPr>
                <w:rFonts w:ascii="Arial" w:cs="Arial" w:eastAsia="Arial" w:hAnsi="Arial"/>
                <w:sz w:val="9"/>
                <w:szCs w:val="9"/>
                <w:color w:val="auto"/>
              </w:rPr>
              <w:t>Total liabilities</w:t>
            </w:r>
          </w:p>
        </w:tc>
        <w:tc>
          <w:tcPr>
            <w:tcW w:w="1820" w:type="dxa"/>
            <w:vAlign w:val="bottom"/>
          </w:tcPr>
          <w:p>
            <w:pPr>
              <w:spacing w:after="0"/>
              <w:rPr>
                <w:sz w:val="14"/>
                <w:szCs w:val="14"/>
                <w:color w:val="auto"/>
              </w:rPr>
            </w:pPr>
          </w:p>
        </w:tc>
        <w:tc>
          <w:tcPr>
            <w:tcW w:w="460" w:type="dxa"/>
            <w:vAlign w:val="bottom"/>
            <w:tcBorders>
              <w:bottom w:val="single" w:sz="8" w:color="auto"/>
            </w:tcBorders>
          </w:tcPr>
          <w:p>
            <w:pPr>
              <w:jc w:val="right"/>
              <w:ind w:right="396"/>
              <w:spacing w:after="0"/>
              <w:rPr>
                <w:sz w:val="20"/>
                <w:szCs w:val="20"/>
                <w:color w:val="auto"/>
              </w:rPr>
            </w:pPr>
            <w:r>
              <w:rPr>
                <w:rFonts w:ascii="Arial" w:cs="Arial" w:eastAsia="Arial" w:hAnsi="Arial"/>
                <w:sz w:val="5"/>
                <w:szCs w:val="5"/>
                <w:color w:val="auto"/>
                <w:w w:val="70"/>
              </w:rPr>
              <w:t>$</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9"/>
                <w:szCs w:val="9"/>
                <w:color w:val="auto"/>
              </w:rPr>
              <w:t>(30,282)</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rPr>
              <w:t>(30,863)</w:t>
            </w: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ind w:right="353"/>
              <w:spacing w:after="0"/>
              <w:rPr>
                <w:sz w:val="20"/>
                <w:szCs w:val="20"/>
                <w:color w:val="auto"/>
              </w:rPr>
            </w:pPr>
            <w:r>
              <w:rPr>
                <w:rFonts w:ascii="Arial" w:cs="Arial" w:eastAsia="Arial" w:hAnsi="Arial"/>
                <w:sz w:val="9"/>
                <w:szCs w:val="9"/>
                <w:color w:val="auto"/>
                <w:w w:val="78"/>
              </w:rPr>
              <w:t>$</w:t>
            </w:r>
          </w:p>
        </w:tc>
        <w:tc>
          <w:tcPr>
            <w:tcW w:w="1340" w:type="dxa"/>
            <w:vAlign w:val="bottom"/>
            <w:tcBorders>
              <w:bottom w:val="single" w:sz="8" w:color="auto"/>
            </w:tcBorders>
            <w:gridSpan w:val="2"/>
          </w:tcPr>
          <w:p>
            <w:pPr>
              <w:jc w:val="right"/>
              <w:ind w:right="633"/>
              <w:spacing w:after="0"/>
              <w:rPr>
                <w:sz w:val="20"/>
                <w:szCs w:val="20"/>
                <w:color w:val="auto"/>
              </w:rPr>
            </w:pPr>
            <w:r>
              <w:rPr>
                <w:rFonts w:ascii="Arial" w:cs="Arial" w:eastAsia="Arial" w:hAnsi="Arial"/>
                <w:sz w:val="9"/>
                <w:szCs w:val="9"/>
                <w:color w:val="auto"/>
              </w:rPr>
              <w:t>573,711</w:t>
            </w:r>
          </w:p>
        </w:tc>
        <w:tc>
          <w:tcPr>
            <w:tcW w:w="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580,274</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9"/>
          <w:szCs w:val="9"/>
          <w:color w:val="auto"/>
          <w:highlight w:val="black"/>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2700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0" cy="5715"/>
                    </a:xfrm>
                    <a:prstGeom prst="rect">
                      <a:avLst/>
                    </a:prstGeom>
                    <a:noFill/>
                  </pic:spPr>
                </pic:pic>
              </a:graphicData>
            </a:graphic>
          </wp:anchor>
        </w:drawing>
      </w:r>
    </w:p>
    <w:p>
      <w:pPr>
        <w:spacing w:after="0" w:line="3" w:lineRule="exact"/>
        <w:rPr>
          <w:sz w:val="20"/>
          <w:szCs w:val="20"/>
          <w:color w:val="auto"/>
        </w:rPr>
      </w:pPr>
    </w:p>
    <w:p>
      <w:pPr>
        <w:ind w:right="400"/>
        <w:spacing w:after="0" w:line="250" w:lineRule="auto"/>
        <w:rPr>
          <w:sz w:val="20"/>
          <w:szCs w:val="20"/>
          <w:color w:val="auto"/>
        </w:rPr>
      </w:pPr>
      <w:r>
        <w:rPr>
          <w:rFonts w:ascii="Arial" w:cs="Arial" w:eastAsia="Arial" w:hAnsi="Arial"/>
          <w:sz w:val="9"/>
          <w:szCs w:val="9"/>
          <w:color w:val="auto"/>
        </w:rPr>
        <w:t>Noncontrolling interests represent limited partners' interests in consolidated Real Estate Partnerships' activities and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-3175</wp:posOffset>
            </wp:positionV>
            <wp:extent cx="281305" cy="149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0" w:lineRule="exact"/>
        <w:rPr>
          <w:sz w:val="20"/>
          <w:szCs w:val="20"/>
          <w:color w:val="auto"/>
        </w:rPr>
      </w:pPr>
    </w:p>
    <w:p>
      <w:pPr>
        <w:ind w:left="10260"/>
        <w:spacing w:after="0"/>
        <w:tabs>
          <w:tab w:leader="none" w:pos="1116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0280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2"/>
          <w:szCs w:val="12"/>
          <w:color w:val="auto"/>
          <w:highlight w:val="black"/>
        </w:rPr>
        <w:t xml:space="preserve">Consolidated </w:t>
      </w:r>
      <w:r>
        <w:rPr>
          <w:rFonts w:ascii="Arial" w:cs="Arial" w:eastAsia="Arial" w:hAnsi="Arial"/>
          <w:sz w:val="12"/>
          <w:szCs w:val="12"/>
          <w:color w:val="auto"/>
        </w:rPr>
        <w:t>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 the Periods Ended March 31, 2026 and 2025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4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rPr>
              <w:t>Three Months Ended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98"/>
        </w:trPr>
        <w:tc>
          <w:tcPr>
            <w:tcW w:w="5460" w:type="dxa"/>
            <w:vAlign w:val="bottom"/>
          </w:tcPr>
          <w:p>
            <w:pPr>
              <w:spacing w:after="0"/>
              <w:rPr>
                <w:sz w:val="8"/>
                <w:szCs w:val="8"/>
                <w:color w:val="auto"/>
              </w:rPr>
            </w:pPr>
          </w:p>
        </w:tc>
        <w:tc>
          <w:tcPr>
            <w:tcW w:w="3320" w:type="dxa"/>
            <w:vAlign w:val="bottom"/>
            <w:gridSpan w:val="2"/>
          </w:tcPr>
          <w:p>
            <w:pPr>
              <w:spacing w:after="0"/>
              <w:rPr>
                <w:sz w:val="8"/>
                <w:szCs w:val="8"/>
                <w:color w:val="auto"/>
              </w:rPr>
            </w:pPr>
          </w:p>
        </w:tc>
        <w:tc>
          <w:tcPr>
            <w:tcW w:w="22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2026</w:t>
            </w: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2025</w:t>
            </w:r>
          </w:p>
        </w:tc>
        <w:tc>
          <w:tcPr>
            <w:tcW w:w="640" w:type="dxa"/>
            <w:vAlign w:val="bottom"/>
          </w:tcPr>
          <w:p>
            <w:pPr>
              <w:spacing w:after="0"/>
              <w:rPr>
                <w:sz w:val="8"/>
                <w:szCs w:val="8"/>
                <w:color w:val="auto"/>
              </w:rPr>
            </w:pPr>
          </w:p>
        </w:tc>
      </w:tr>
      <w:tr>
        <w:trPr>
          <w:trHeight w:val="108"/>
        </w:trPr>
        <w:tc>
          <w:tcPr>
            <w:tcW w:w="5460" w:type="dxa"/>
            <w:vAlign w:val="bottom"/>
          </w:tcPr>
          <w:p>
            <w:pPr>
              <w:spacing w:after="0"/>
              <w:rPr>
                <w:sz w:val="20"/>
                <w:szCs w:val="20"/>
                <w:color w:val="auto"/>
              </w:rPr>
            </w:pPr>
            <w:r>
              <w:rPr>
                <w:rFonts w:ascii="Arial" w:cs="Arial" w:eastAsia="Arial" w:hAnsi="Arial"/>
                <w:sz w:val="9"/>
                <w:szCs w:val="9"/>
                <w:color w:val="auto"/>
                <w:highlight w:val="black"/>
              </w:rPr>
              <w:t>Revenues:</w:t>
            </w:r>
          </w:p>
        </w:tc>
        <w:tc>
          <w:tcPr>
            <w:tcW w:w="2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Lease income</w:t>
            </w:r>
          </w:p>
        </w:tc>
        <w:tc>
          <w:tcPr>
            <w:tcW w:w="3320" w:type="dxa"/>
            <w:vAlign w:val="bottom"/>
            <w:gridSpan w:val="2"/>
          </w:tcPr>
          <w:p>
            <w:pPr>
              <w:jc w:val="right"/>
              <w:ind w:right="433"/>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402,613</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371,079</w:t>
            </w: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Other property income</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2,907</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3,021</w:t>
            </w:r>
          </w:p>
        </w:tc>
      </w:tr>
      <w:tr>
        <w:trPr>
          <w:trHeight w:val="116"/>
        </w:trPr>
        <w:tc>
          <w:tcPr>
            <w:tcW w:w="5460" w:type="dxa"/>
            <w:vAlign w:val="bottom"/>
          </w:tcPr>
          <w:p>
            <w:pPr>
              <w:ind w:left="200"/>
              <w:spacing w:after="0"/>
              <w:rPr>
                <w:sz w:val="20"/>
                <w:szCs w:val="20"/>
                <w:color w:val="auto"/>
              </w:rPr>
            </w:pPr>
            <w:r>
              <w:rPr>
                <w:rFonts w:ascii="Arial" w:cs="Arial" w:eastAsia="Arial" w:hAnsi="Arial"/>
                <w:sz w:val="9"/>
                <w:szCs w:val="9"/>
                <w:color w:val="auto"/>
              </w:rPr>
              <w:t>Management, transaction, and other fees</w:t>
            </w:r>
          </w:p>
        </w:tc>
        <w:tc>
          <w:tcPr>
            <w:tcW w:w="27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533"/>
              <w:spacing w:after="0" w:line="96" w:lineRule="exact"/>
              <w:rPr>
                <w:sz w:val="20"/>
                <w:szCs w:val="20"/>
                <w:color w:val="auto"/>
              </w:rPr>
            </w:pPr>
            <w:r>
              <w:rPr>
                <w:rFonts w:ascii="Arial" w:cs="Arial" w:eastAsia="Arial" w:hAnsi="Arial"/>
                <w:sz w:val="9"/>
                <w:szCs w:val="9"/>
                <w:color w:val="auto"/>
              </w:rPr>
              <w:t>6,933</w:t>
            </w:r>
          </w:p>
        </w:tc>
        <w:tc>
          <w:tcPr>
            <w:tcW w:w="116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6,812</w:t>
            </w:r>
          </w:p>
        </w:tc>
      </w:tr>
      <w:tr>
        <w:trPr>
          <w:trHeight w:val="107"/>
        </w:trPr>
        <w:tc>
          <w:tcPr>
            <w:tcW w:w="5460" w:type="dxa"/>
            <w:vAlign w:val="bottom"/>
          </w:tcPr>
          <w:p>
            <w:pPr>
              <w:ind w:left="520"/>
              <w:spacing w:after="0"/>
              <w:rPr>
                <w:sz w:val="20"/>
                <w:szCs w:val="20"/>
                <w:color w:val="auto"/>
              </w:rPr>
            </w:pPr>
            <w:r>
              <w:rPr>
                <w:rFonts w:ascii="Arial" w:cs="Arial" w:eastAsia="Arial" w:hAnsi="Arial"/>
                <w:sz w:val="9"/>
                <w:szCs w:val="9"/>
                <w:color w:val="auto"/>
              </w:rPr>
              <w:t>Total revenues</w:t>
            </w:r>
          </w:p>
        </w:tc>
        <w:tc>
          <w:tcPr>
            <w:tcW w:w="2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jc w:val="right"/>
              <w:ind w:right="533"/>
              <w:spacing w:after="0" w:line="94" w:lineRule="exact"/>
              <w:rPr>
                <w:sz w:val="20"/>
                <w:szCs w:val="20"/>
                <w:color w:val="auto"/>
              </w:rPr>
            </w:pPr>
            <w:r>
              <w:rPr>
                <w:rFonts w:ascii="Arial" w:cs="Arial" w:eastAsia="Arial" w:hAnsi="Arial"/>
                <w:sz w:val="9"/>
                <w:szCs w:val="9"/>
                <w:color w:val="auto"/>
              </w:rPr>
              <w:t>412,453</w:t>
            </w:r>
          </w:p>
        </w:tc>
        <w:tc>
          <w:tcPr>
            <w:tcW w:w="116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380,912</w:t>
            </w:r>
          </w:p>
        </w:tc>
      </w:tr>
      <w:tr>
        <w:trPr>
          <w:trHeight w:val="163"/>
        </w:trPr>
        <w:tc>
          <w:tcPr>
            <w:tcW w:w="5460" w:type="dxa"/>
            <w:vAlign w:val="bottom"/>
          </w:tcPr>
          <w:p>
            <w:pPr>
              <w:spacing w:after="0"/>
              <w:rPr>
                <w:sz w:val="20"/>
                <w:szCs w:val="20"/>
                <w:color w:val="auto"/>
              </w:rPr>
            </w:pPr>
            <w:r>
              <w:rPr>
                <w:rFonts w:ascii="Arial" w:cs="Arial" w:eastAsia="Arial" w:hAnsi="Arial"/>
                <w:sz w:val="9"/>
                <w:szCs w:val="9"/>
                <w:color w:val="auto"/>
                <w:highlight w:val="black"/>
              </w:rPr>
              <w:t>Operating Expenses:</w:t>
            </w: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Depreciation and amortization</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106,422</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96,774</w:t>
            </w: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Property operating expense</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73,300</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68,459</w:t>
            </w: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Real estate taxes</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51,410</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46,360</w:t>
            </w: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General and administrative</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25,606</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21,600</w:t>
            </w:r>
          </w:p>
        </w:tc>
      </w:tr>
      <w:tr>
        <w:trPr>
          <w:trHeight w:val="116"/>
        </w:trPr>
        <w:tc>
          <w:tcPr>
            <w:tcW w:w="5460" w:type="dxa"/>
            <w:vAlign w:val="bottom"/>
          </w:tcPr>
          <w:p>
            <w:pPr>
              <w:ind w:left="200"/>
              <w:spacing w:after="0"/>
              <w:rPr>
                <w:sz w:val="20"/>
                <w:szCs w:val="20"/>
                <w:color w:val="auto"/>
              </w:rPr>
            </w:pPr>
            <w:r>
              <w:rPr>
                <w:rFonts w:ascii="Arial" w:cs="Arial" w:eastAsia="Arial" w:hAnsi="Arial"/>
                <w:sz w:val="9"/>
                <w:szCs w:val="9"/>
                <w:color w:val="auto"/>
              </w:rPr>
              <w:t>Other operating expenses</w:t>
            </w:r>
          </w:p>
        </w:tc>
        <w:tc>
          <w:tcPr>
            <w:tcW w:w="27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533"/>
              <w:spacing w:after="0" w:line="96" w:lineRule="exact"/>
              <w:rPr>
                <w:sz w:val="20"/>
                <w:szCs w:val="20"/>
                <w:color w:val="auto"/>
              </w:rPr>
            </w:pPr>
            <w:r>
              <w:rPr>
                <w:rFonts w:ascii="Arial" w:cs="Arial" w:eastAsia="Arial" w:hAnsi="Arial"/>
                <w:sz w:val="9"/>
                <w:szCs w:val="9"/>
                <w:color w:val="auto"/>
              </w:rPr>
              <w:t>1,001</w:t>
            </w:r>
          </w:p>
        </w:tc>
        <w:tc>
          <w:tcPr>
            <w:tcW w:w="116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1,688</w:t>
            </w:r>
          </w:p>
        </w:tc>
      </w:tr>
      <w:tr>
        <w:trPr>
          <w:trHeight w:val="107"/>
        </w:trPr>
        <w:tc>
          <w:tcPr>
            <w:tcW w:w="5460" w:type="dxa"/>
            <w:vAlign w:val="bottom"/>
          </w:tcPr>
          <w:p>
            <w:pPr>
              <w:ind w:left="520"/>
              <w:spacing w:after="0"/>
              <w:rPr>
                <w:sz w:val="20"/>
                <w:szCs w:val="20"/>
                <w:color w:val="auto"/>
              </w:rPr>
            </w:pPr>
            <w:r>
              <w:rPr>
                <w:rFonts w:ascii="Arial" w:cs="Arial" w:eastAsia="Arial" w:hAnsi="Arial"/>
                <w:sz w:val="9"/>
                <w:szCs w:val="9"/>
                <w:color w:val="auto"/>
              </w:rPr>
              <w:t>Total operating expenses</w:t>
            </w:r>
          </w:p>
        </w:tc>
        <w:tc>
          <w:tcPr>
            <w:tcW w:w="2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jc w:val="right"/>
              <w:ind w:right="533"/>
              <w:spacing w:after="0" w:line="94" w:lineRule="exact"/>
              <w:rPr>
                <w:sz w:val="20"/>
                <w:szCs w:val="20"/>
                <w:color w:val="auto"/>
              </w:rPr>
            </w:pPr>
            <w:r>
              <w:rPr>
                <w:rFonts w:ascii="Arial" w:cs="Arial" w:eastAsia="Arial" w:hAnsi="Arial"/>
                <w:sz w:val="9"/>
                <w:szCs w:val="9"/>
                <w:color w:val="auto"/>
              </w:rPr>
              <w:t>257,739</w:t>
            </w:r>
          </w:p>
        </w:tc>
        <w:tc>
          <w:tcPr>
            <w:tcW w:w="116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234,881</w:t>
            </w:r>
          </w:p>
        </w:tc>
      </w:tr>
      <w:tr>
        <w:trPr>
          <w:trHeight w:val="163"/>
        </w:trPr>
        <w:tc>
          <w:tcPr>
            <w:tcW w:w="5460" w:type="dxa"/>
            <w:vAlign w:val="bottom"/>
          </w:tcPr>
          <w:p>
            <w:pPr>
              <w:spacing w:after="0"/>
              <w:rPr>
                <w:sz w:val="20"/>
                <w:szCs w:val="20"/>
                <w:color w:val="auto"/>
              </w:rPr>
            </w:pPr>
            <w:r>
              <w:rPr>
                <w:rFonts w:ascii="Arial" w:cs="Arial" w:eastAsia="Arial" w:hAnsi="Arial"/>
                <w:sz w:val="9"/>
                <w:szCs w:val="9"/>
                <w:color w:val="auto"/>
                <w:highlight w:val="black"/>
              </w:rPr>
              <w:t>Other Expense, net:</w:t>
            </w: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Interest expense, net</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52,185</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48,013</w:t>
            </w: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Gain on sale of real estate, net of tax</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493"/>
              <w:spacing w:after="0"/>
              <w:rPr>
                <w:sz w:val="20"/>
                <w:szCs w:val="20"/>
                <w:color w:val="auto"/>
              </w:rPr>
            </w:pPr>
            <w:r>
              <w:rPr>
                <w:rFonts w:ascii="Arial" w:cs="Arial" w:eastAsia="Arial" w:hAnsi="Arial"/>
                <w:sz w:val="9"/>
                <w:szCs w:val="9"/>
                <w:color w:val="auto"/>
              </w:rPr>
              <w:t>(7,194)</w:t>
            </w:r>
          </w:p>
        </w:tc>
        <w:tc>
          <w:tcPr>
            <w:tcW w:w="1160" w:type="dxa"/>
            <w:vAlign w:val="bottom"/>
            <w:gridSpan w:val="3"/>
          </w:tcPr>
          <w:p>
            <w:pPr>
              <w:jc w:val="right"/>
              <w:ind w:right="80"/>
              <w:spacing w:after="0"/>
              <w:rPr>
                <w:sz w:val="20"/>
                <w:szCs w:val="20"/>
                <w:color w:val="auto"/>
              </w:rPr>
            </w:pPr>
            <w:r>
              <w:rPr>
                <w:rFonts w:ascii="Arial" w:cs="Arial" w:eastAsia="Arial" w:hAnsi="Arial"/>
                <w:sz w:val="9"/>
                <w:szCs w:val="9"/>
                <w:color w:val="auto"/>
              </w:rPr>
              <w:t>(101)</w:t>
            </w:r>
          </w:p>
        </w:tc>
      </w:tr>
      <w:tr>
        <w:trPr>
          <w:trHeight w:val="116"/>
        </w:trPr>
        <w:tc>
          <w:tcPr>
            <w:tcW w:w="5460" w:type="dxa"/>
            <w:vAlign w:val="bottom"/>
          </w:tcPr>
          <w:p>
            <w:pPr>
              <w:ind w:left="200"/>
              <w:spacing w:after="0"/>
              <w:rPr>
                <w:sz w:val="20"/>
                <w:szCs w:val="20"/>
                <w:color w:val="auto"/>
              </w:rPr>
            </w:pPr>
            <w:r>
              <w:rPr>
                <w:rFonts w:ascii="Arial" w:cs="Arial" w:eastAsia="Arial" w:hAnsi="Arial"/>
                <w:sz w:val="9"/>
                <w:szCs w:val="9"/>
                <w:color w:val="auto"/>
              </w:rPr>
              <w:t>Net investment (income) expense</w:t>
            </w:r>
          </w:p>
        </w:tc>
        <w:tc>
          <w:tcPr>
            <w:tcW w:w="27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93"/>
              <w:spacing w:after="0" w:line="96" w:lineRule="exact"/>
              <w:rPr>
                <w:sz w:val="20"/>
                <w:szCs w:val="20"/>
                <w:color w:val="auto"/>
              </w:rPr>
            </w:pPr>
            <w:r>
              <w:rPr>
                <w:rFonts w:ascii="Arial" w:cs="Arial" w:eastAsia="Arial" w:hAnsi="Arial"/>
                <w:sz w:val="9"/>
                <w:szCs w:val="9"/>
                <w:color w:val="auto"/>
              </w:rPr>
              <w:t>(695)</w:t>
            </w:r>
          </w:p>
        </w:tc>
        <w:tc>
          <w:tcPr>
            <w:tcW w:w="116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761</w:t>
            </w:r>
          </w:p>
        </w:tc>
      </w:tr>
      <w:tr>
        <w:trPr>
          <w:trHeight w:val="107"/>
        </w:trPr>
        <w:tc>
          <w:tcPr>
            <w:tcW w:w="5460" w:type="dxa"/>
            <w:vAlign w:val="bottom"/>
          </w:tcPr>
          <w:p>
            <w:pPr>
              <w:ind w:left="500"/>
              <w:spacing w:after="0"/>
              <w:rPr>
                <w:sz w:val="20"/>
                <w:szCs w:val="20"/>
                <w:color w:val="auto"/>
              </w:rPr>
            </w:pPr>
            <w:r>
              <w:rPr>
                <w:rFonts w:ascii="Arial" w:cs="Arial" w:eastAsia="Arial" w:hAnsi="Arial"/>
                <w:sz w:val="9"/>
                <w:szCs w:val="9"/>
                <w:color w:val="auto"/>
              </w:rPr>
              <w:t>Total other expense, net</w:t>
            </w:r>
          </w:p>
        </w:tc>
        <w:tc>
          <w:tcPr>
            <w:tcW w:w="2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jc w:val="right"/>
              <w:ind w:right="533"/>
              <w:spacing w:after="0" w:line="94" w:lineRule="exact"/>
              <w:rPr>
                <w:sz w:val="20"/>
                <w:szCs w:val="20"/>
                <w:color w:val="auto"/>
              </w:rPr>
            </w:pPr>
            <w:r>
              <w:rPr>
                <w:rFonts w:ascii="Arial" w:cs="Arial" w:eastAsia="Arial" w:hAnsi="Arial"/>
                <w:sz w:val="9"/>
                <w:szCs w:val="9"/>
                <w:color w:val="auto"/>
              </w:rPr>
              <w:t>44,296</w:t>
            </w:r>
          </w:p>
        </w:tc>
        <w:tc>
          <w:tcPr>
            <w:tcW w:w="116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48,673</w:t>
            </w:r>
          </w:p>
        </w:tc>
      </w:tr>
      <w:tr>
        <w:trPr>
          <w:trHeight w:val="163"/>
        </w:trPr>
        <w:tc>
          <w:tcPr>
            <w:tcW w:w="5460" w:type="dxa"/>
            <w:vAlign w:val="bottom"/>
          </w:tcPr>
          <w:p>
            <w:pPr>
              <w:ind w:left="500"/>
              <w:spacing w:after="0"/>
              <w:rPr>
                <w:sz w:val="20"/>
                <w:szCs w:val="20"/>
                <w:color w:val="auto"/>
              </w:rPr>
            </w:pPr>
            <w:r>
              <w:rPr>
                <w:rFonts w:ascii="Arial" w:cs="Arial" w:eastAsia="Arial" w:hAnsi="Arial"/>
                <w:sz w:val="9"/>
                <w:szCs w:val="9"/>
                <w:color w:val="auto"/>
              </w:rPr>
              <w:t>Income before equity in income of</w:t>
            </w: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18"/>
        </w:trPr>
        <w:tc>
          <w:tcPr>
            <w:tcW w:w="5460" w:type="dxa"/>
            <w:vAlign w:val="bottom"/>
          </w:tcPr>
          <w:p>
            <w:pPr>
              <w:ind w:left="680"/>
              <w:spacing w:after="0"/>
              <w:rPr>
                <w:sz w:val="20"/>
                <w:szCs w:val="20"/>
                <w:color w:val="auto"/>
              </w:rPr>
            </w:pPr>
            <w:r>
              <w:rPr>
                <w:rFonts w:ascii="Arial" w:cs="Arial" w:eastAsia="Arial" w:hAnsi="Arial"/>
                <w:sz w:val="9"/>
                <w:szCs w:val="9"/>
                <w:color w:val="auto"/>
              </w:rPr>
              <w:t>investments in real estate partnerships</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110,418</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97,358</w:t>
            </w:r>
          </w:p>
        </w:tc>
      </w:tr>
      <w:tr>
        <w:trPr>
          <w:trHeight w:val="170"/>
        </w:trPr>
        <w:tc>
          <w:tcPr>
            <w:tcW w:w="5460" w:type="dxa"/>
            <w:vAlign w:val="bottom"/>
          </w:tcPr>
          <w:p>
            <w:pPr>
              <w:ind w:left="200"/>
              <w:spacing w:after="0"/>
              <w:rPr>
                <w:sz w:val="20"/>
                <w:szCs w:val="20"/>
                <w:color w:val="auto"/>
              </w:rPr>
            </w:pPr>
            <w:r>
              <w:rPr>
                <w:rFonts w:ascii="Arial" w:cs="Arial" w:eastAsia="Arial" w:hAnsi="Arial"/>
                <w:sz w:val="9"/>
                <w:szCs w:val="9"/>
                <w:color w:val="auto"/>
              </w:rPr>
              <w:t>Equity in income of investments in real estate partnerships</w:t>
            </w:r>
          </w:p>
        </w:tc>
        <w:tc>
          <w:tcPr>
            <w:tcW w:w="2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9"/>
                <w:szCs w:val="9"/>
                <w:color w:val="auto"/>
              </w:rPr>
              <w:t>22,380</w:t>
            </w: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14,495</w:t>
            </w:r>
          </w:p>
        </w:tc>
      </w:tr>
      <w:tr>
        <w:trPr>
          <w:trHeight w:val="161"/>
        </w:trPr>
        <w:tc>
          <w:tcPr>
            <w:tcW w:w="5460" w:type="dxa"/>
            <w:vAlign w:val="bottom"/>
          </w:tcPr>
          <w:p>
            <w:pPr>
              <w:ind w:left="520"/>
              <w:spacing w:after="0"/>
              <w:rPr>
                <w:sz w:val="20"/>
                <w:szCs w:val="20"/>
                <w:color w:val="auto"/>
              </w:rPr>
            </w:pPr>
            <w:r>
              <w:rPr>
                <w:rFonts w:ascii="Arial" w:cs="Arial" w:eastAsia="Arial" w:hAnsi="Arial"/>
                <w:sz w:val="9"/>
                <w:szCs w:val="9"/>
                <w:color w:val="auto"/>
              </w:rPr>
              <w:t>Net income</w:t>
            </w:r>
          </w:p>
        </w:tc>
        <w:tc>
          <w:tcPr>
            <w:tcW w:w="27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9"/>
                <w:szCs w:val="9"/>
                <w:color w:val="auto"/>
              </w:rPr>
              <w:t>132,798</w:t>
            </w: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111,853</w:t>
            </w:r>
          </w:p>
        </w:tc>
      </w:tr>
      <w:tr>
        <w:trPr>
          <w:trHeight w:val="163"/>
        </w:trPr>
        <w:tc>
          <w:tcPr>
            <w:tcW w:w="5460" w:type="dxa"/>
            <w:vAlign w:val="bottom"/>
          </w:tcPr>
          <w:p>
            <w:pPr>
              <w:spacing w:after="0"/>
              <w:rPr>
                <w:sz w:val="20"/>
                <w:szCs w:val="20"/>
                <w:color w:val="auto"/>
              </w:rPr>
            </w:pPr>
            <w:r>
              <w:rPr>
                <w:rFonts w:ascii="Arial" w:cs="Arial" w:eastAsia="Arial" w:hAnsi="Arial"/>
                <w:sz w:val="9"/>
                <w:szCs w:val="9"/>
                <w:color w:val="auto"/>
              </w:rPr>
              <w:t>Noncontrolling Interests:</w:t>
            </w: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18"/>
        </w:trPr>
        <w:tc>
          <w:tcPr>
            <w:tcW w:w="5460" w:type="dxa"/>
            <w:vAlign w:val="bottom"/>
          </w:tcPr>
          <w:p>
            <w:pPr>
              <w:ind w:left="200"/>
              <w:spacing w:after="0"/>
              <w:rPr>
                <w:sz w:val="20"/>
                <w:szCs w:val="20"/>
                <w:color w:val="auto"/>
              </w:rPr>
            </w:pPr>
            <w:r>
              <w:rPr>
                <w:rFonts w:ascii="Arial" w:cs="Arial" w:eastAsia="Arial" w:hAnsi="Arial"/>
                <w:sz w:val="9"/>
                <w:szCs w:val="9"/>
                <w:color w:val="auto"/>
              </w:rPr>
              <w:t>Exchangeable operating partnership units</w:t>
            </w:r>
          </w:p>
        </w:tc>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right"/>
              <w:ind w:right="493"/>
              <w:spacing w:after="0"/>
              <w:rPr>
                <w:sz w:val="20"/>
                <w:szCs w:val="20"/>
                <w:color w:val="auto"/>
              </w:rPr>
            </w:pPr>
            <w:r>
              <w:rPr>
                <w:rFonts w:ascii="Arial" w:cs="Arial" w:eastAsia="Arial" w:hAnsi="Arial"/>
                <w:sz w:val="9"/>
                <w:szCs w:val="9"/>
                <w:color w:val="auto"/>
              </w:rPr>
              <w:t>(2,617)</w:t>
            </w:r>
          </w:p>
        </w:tc>
        <w:tc>
          <w:tcPr>
            <w:tcW w:w="1160" w:type="dxa"/>
            <w:vAlign w:val="bottom"/>
            <w:gridSpan w:val="3"/>
          </w:tcPr>
          <w:p>
            <w:pPr>
              <w:jc w:val="right"/>
              <w:ind w:right="80"/>
              <w:spacing w:after="0"/>
              <w:rPr>
                <w:sz w:val="20"/>
                <w:szCs w:val="20"/>
                <w:color w:val="auto"/>
              </w:rPr>
            </w:pPr>
            <w:r>
              <w:rPr>
                <w:rFonts w:ascii="Arial" w:cs="Arial" w:eastAsia="Arial" w:hAnsi="Arial"/>
                <w:sz w:val="9"/>
                <w:szCs w:val="9"/>
                <w:color w:val="auto"/>
              </w:rPr>
              <w:t>(642)</w:t>
            </w:r>
          </w:p>
        </w:tc>
      </w:tr>
      <w:tr>
        <w:trPr>
          <w:trHeight w:val="116"/>
        </w:trPr>
        <w:tc>
          <w:tcPr>
            <w:tcW w:w="5460" w:type="dxa"/>
            <w:vAlign w:val="bottom"/>
          </w:tcPr>
          <w:p>
            <w:pPr>
              <w:ind w:left="200"/>
              <w:spacing w:after="0"/>
              <w:rPr>
                <w:sz w:val="20"/>
                <w:szCs w:val="20"/>
                <w:color w:val="auto"/>
              </w:rPr>
            </w:pPr>
            <w:r>
              <w:rPr>
                <w:rFonts w:ascii="Arial" w:cs="Arial" w:eastAsia="Arial" w:hAnsi="Arial"/>
                <w:sz w:val="9"/>
                <w:szCs w:val="9"/>
                <w:color w:val="auto"/>
              </w:rPr>
              <w:t>Limited partners' interests in consolidated partnerships</w:t>
            </w:r>
          </w:p>
        </w:tc>
        <w:tc>
          <w:tcPr>
            <w:tcW w:w="27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493"/>
              <w:spacing w:after="0" w:line="96" w:lineRule="exact"/>
              <w:rPr>
                <w:sz w:val="20"/>
                <w:szCs w:val="20"/>
                <w:color w:val="auto"/>
              </w:rPr>
            </w:pPr>
            <w:r>
              <w:rPr>
                <w:rFonts w:ascii="Arial" w:cs="Arial" w:eastAsia="Arial" w:hAnsi="Arial"/>
                <w:sz w:val="9"/>
                <w:szCs w:val="9"/>
                <w:color w:val="auto"/>
              </w:rPr>
              <w:t>(1,632)</w:t>
            </w:r>
          </w:p>
        </w:tc>
        <w:tc>
          <w:tcPr>
            <w:tcW w:w="1160" w:type="dxa"/>
            <w:vAlign w:val="bottom"/>
            <w:tcBorders>
              <w:bottom w:val="single" w:sz="8" w:color="auto"/>
            </w:tcBorders>
            <w:gridSpan w:val="3"/>
          </w:tcPr>
          <w:p>
            <w:pPr>
              <w:jc w:val="right"/>
              <w:ind w:right="80"/>
              <w:spacing w:after="0" w:line="96" w:lineRule="exact"/>
              <w:rPr>
                <w:sz w:val="20"/>
                <w:szCs w:val="20"/>
                <w:color w:val="auto"/>
              </w:rPr>
            </w:pPr>
            <w:r>
              <w:rPr>
                <w:rFonts w:ascii="Arial" w:cs="Arial" w:eastAsia="Arial" w:hAnsi="Arial"/>
                <w:sz w:val="9"/>
                <w:szCs w:val="9"/>
                <w:color w:val="auto"/>
              </w:rPr>
              <w:t>(1,624)</w:t>
            </w:r>
          </w:p>
        </w:tc>
      </w:tr>
      <w:tr>
        <w:trPr>
          <w:trHeight w:val="107"/>
        </w:trPr>
        <w:tc>
          <w:tcPr>
            <w:tcW w:w="5460" w:type="dxa"/>
            <w:vAlign w:val="bottom"/>
          </w:tcPr>
          <w:p>
            <w:pPr>
              <w:ind w:left="520"/>
              <w:spacing w:after="0"/>
              <w:rPr>
                <w:sz w:val="20"/>
                <w:szCs w:val="20"/>
                <w:color w:val="auto"/>
              </w:rPr>
            </w:pPr>
            <w:r>
              <w:rPr>
                <w:rFonts w:ascii="Arial" w:cs="Arial" w:eastAsia="Arial" w:hAnsi="Arial"/>
                <w:sz w:val="9"/>
                <w:szCs w:val="9"/>
                <w:color w:val="auto"/>
              </w:rPr>
              <w:t>Net income attributable to noncontrolling interests</w:t>
            </w:r>
          </w:p>
        </w:tc>
        <w:tc>
          <w:tcPr>
            <w:tcW w:w="27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jc w:val="right"/>
              <w:ind w:right="493"/>
              <w:spacing w:after="0" w:line="94" w:lineRule="exact"/>
              <w:rPr>
                <w:sz w:val="20"/>
                <w:szCs w:val="20"/>
                <w:color w:val="auto"/>
              </w:rPr>
            </w:pPr>
            <w:r>
              <w:rPr>
                <w:rFonts w:ascii="Arial" w:cs="Arial" w:eastAsia="Arial" w:hAnsi="Arial"/>
                <w:sz w:val="9"/>
                <w:szCs w:val="9"/>
                <w:color w:val="auto"/>
              </w:rPr>
              <w:t>(4,249)</w:t>
            </w:r>
          </w:p>
        </w:tc>
        <w:tc>
          <w:tcPr>
            <w:tcW w:w="1160" w:type="dxa"/>
            <w:vAlign w:val="bottom"/>
            <w:tcBorders>
              <w:bottom w:val="single" w:sz="8" w:color="auto"/>
            </w:tcBorders>
            <w:gridSpan w:val="3"/>
          </w:tcPr>
          <w:p>
            <w:pPr>
              <w:jc w:val="right"/>
              <w:ind w:right="80"/>
              <w:spacing w:after="0" w:line="94" w:lineRule="exact"/>
              <w:rPr>
                <w:sz w:val="20"/>
                <w:szCs w:val="20"/>
                <w:color w:val="auto"/>
              </w:rPr>
            </w:pPr>
            <w:r>
              <w:rPr>
                <w:rFonts w:ascii="Arial" w:cs="Arial" w:eastAsia="Arial" w:hAnsi="Arial"/>
                <w:sz w:val="9"/>
                <w:szCs w:val="9"/>
                <w:color w:val="auto"/>
              </w:rPr>
              <w:t>(2,266)</w:t>
            </w:r>
          </w:p>
        </w:tc>
      </w:tr>
      <w:tr>
        <w:trPr>
          <w:trHeight w:val="163"/>
        </w:trPr>
        <w:tc>
          <w:tcPr>
            <w:tcW w:w="5460" w:type="dxa"/>
            <w:vAlign w:val="bottom"/>
          </w:tcPr>
          <w:p>
            <w:pPr>
              <w:ind w:left="520"/>
              <w:spacing w:after="0"/>
              <w:rPr>
                <w:sz w:val="20"/>
                <w:szCs w:val="20"/>
                <w:color w:val="auto"/>
              </w:rPr>
            </w:pPr>
            <w:r>
              <w:rPr>
                <w:rFonts w:ascii="Arial" w:cs="Arial" w:eastAsia="Arial" w:hAnsi="Arial"/>
                <w:sz w:val="9"/>
                <w:szCs w:val="9"/>
                <w:color w:val="auto"/>
              </w:rPr>
              <w:t>Net income attributable to the Company</w:t>
            </w: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33"/>
              <w:spacing w:after="0"/>
              <w:rPr>
                <w:sz w:val="20"/>
                <w:szCs w:val="20"/>
                <w:color w:val="auto"/>
              </w:rPr>
            </w:pPr>
            <w:r>
              <w:rPr>
                <w:rFonts w:ascii="Arial" w:cs="Arial" w:eastAsia="Arial" w:hAnsi="Arial"/>
                <w:sz w:val="9"/>
                <w:szCs w:val="9"/>
                <w:color w:val="auto"/>
              </w:rPr>
              <w:t>128,549</w:t>
            </w:r>
          </w:p>
        </w:tc>
        <w:tc>
          <w:tcPr>
            <w:tcW w:w="1160" w:type="dxa"/>
            <w:vAlign w:val="bottom"/>
            <w:gridSpan w:val="3"/>
          </w:tcPr>
          <w:p>
            <w:pPr>
              <w:jc w:val="right"/>
              <w:ind w:right="120"/>
              <w:spacing w:after="0"/>
              <w:rPr>
                <w:sz w:val="20"/>
                <w:szCs w:val="20"/>
                <w:color w:val="auto"/>
              </w:rPr>
            </w:pPr>
            <w:r>
              <w:rPr>
                <w:rFonts w:ascii="Arial" w:cs="Arial" w:eastAsia="Arial" w:hAnsi="Arial"/>
                <w:sz w:val="9"/>
                <w:szCs w:val="9"/>
                <w:color w:val="auto"/>
              </w:rPr>
              <w:t>109,587</w:t>
            </w:r>
          </w:p>
        </w:tc>
      </w:tr>
      <w:tr>
        <w:trPr>
          <w:trHeight w:val="170"/>
        </w:trPr>
        <w:tc>
          <w:tcPr>
            <w:tcW w:w="5460" w:type="dxa"/>
            <w:vAlign w:val="bottom"/>
          </w:tcPr>
          <w:p>
            <w:pPr>
              <w:ind w:left="200"/>
              <w:spacing w:after="0"/>
              <w:rPr>
                <w:sz w:val="20"/>
                <w:szCs w:val="20"/>
                <w:color w:val="auto"/>
              </w:rPr>
            </w:pPr>
            <w:r>
              <w:rPr>
                <w:rFonts w:ascii="Arial" w:cs="Arial" w:eastAsia="Arial" w:hAnsi="Arial"/>
                <w:sz w:val="9"/>
                <w:szCs w:val="9"/>
                <w:color w:val="auto"/>
              </w:rPr>
              <w:t>Preferred stock dividends</w:t>
            </w:r>
          </w:p>
        </w:tc>
        <w:tc>
          <w:tcPr>
            <w:tcW w:w="2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93"/>
              <w:spacing w:after="0"/>
              <w:rPr>
                <w:sz w:val="20"/>
                <w:szCs w:val="20"/>
                <w:color w:val="auto"/>
              </w:rPr>
            </w:pPr>
            <w:r>
              <w:rPr>
                <w:rFonts w:ascii="Arial" w:cs="Arial" w:eastAsia="Arial" w:hAnsi="Arial"/>
                <w:sz w:val="9"/>
                <w:szCs w:val="9"/>
                <w:color w:val="auto"/>
              </w:rPr>
              <w:t>(3,413)</w:t>
            </w: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9"/>
                <w:szCs w:val="9"/>
                <w:color w:val="auto"/>
              </w:rPr>
              <w:t>(3,413)</w:t>
            </w:r>
          </w:p>
        </w:tc>
      </w:tr>
      <w:tr>
        <w:trPr>
          <w:trHeight w:val="116"/>
        </w:trPr>
        <w:tc>
          <w:tcPr>
            <w:tcW w:w="5460" w:type="dxa"/>
            <w:vAlign w:val="bottom"/>
          </w:tcPr>
          <w:p>
            <w:pPr>
              <w:ind w:left="520"/>
              <w:spacing w:after="0"/>
              <w:rPr>
                <w:sz w:val="20"/>
                <w:szCs w:val="20"/>
                <w:color w:val="auto"/>
              </w:rPr>
            </w:pPr>
            <w:r>
              <w:rPr>
                <w:rFonts w:ascii="Arial" w:cs="Arial" w:eastAsia="Arial" w:hAnsi="Arial"/>
                <w:sz w:val="9"/>
                <w:szCs w:val="9"/>
                <w:color w:val="auto"/>
              </w:rPr>
              <w:t>Net income attributable to common shareholders</w:t>
            </w:r>
          </w:p>
        </w:tc>
        <w:tc>
          <w:tcPr>
            <w:tcW w:w="2780" w:type="dxa"/>
            <w:vAlign w:val="bottom"/>
          </w:tcPr>
          <w:p>
            <w:pPr>
              <w:spacing w:after="0"/>
              <w:rPr>
                <w:sz w:val="10"/>
                <w:szCs w:val="10"/>
                <w:color w:val="auto"/>
              </w:rPr>
            </w:pPr>
          </w:p>
        </w:tc>
        <w:tc>
          <w:tcPr>
            <w:tcW w:w="540" w:type="dxa"/>
            <w:vAlign w:val="bottom"/>
            <w:tcBorders>
              <w:bottom w:val="single" w:sz="8" w:color="auto"/>
            </w:tcBorders>
          </w:tcPr>
          <w:p>
            <w:pPr>
              <w:jc w:val="right"/>
              <w:ind w:right="433"/>
              <w:spacing w:after="0" w:line="94" w:lineRule="exact"/>
              <w:rPr>
                <w:sz w:val="20"/>
                <w:szCs w:val="20"/>
                <w:color w:val="auto"/>
              </w:rPr>
            </w:pPr>
            <w:r>
              <w:rPr>
                <w:rFonts w:ascii="Arial" w:cs="Arial" w:eastAsia="Arial" w:hAnsi="Arial"/>
                <w:sz w:val="9"/>
                <w:szCs w:val="9"/>
                <w:color w:val="auto"/>
                <w:w w:val="78"/>
              </w:rPr>
              <w:t>$</w:t>
            </w: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533"/>
              <w:spacing w:after="0" w:line="94" w:lineRule="exact"/>
              <w:rPr>
                <w:sz w:val="20"/>
                <w:szCs w:val="20"/>
                <w:color w:val="auto"/>
              </w:rPr>
            </w:pPr>
            <w:r>
              <w:rPr>
                <w:rFonts w:ascii="Arial" w:cs="Arial" w:eastAsia="Arial" w:hAnsi="Arial"/>
                <w:sz w:val="9"/>
                <w:szCs w:val="9"/>
                <w:color w:val="auto"/>
              </w:rPr>
              <w:t>125,136</w:t>
            </w:r>
          </w:p>
        </w:tc>
        <w:tc>
          <w:tcPr>
            <w:tcW w:w="116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106,174</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9"/>
          <w:szCs w:val="9"/>
          <w:color w:val="auto"/>
        </w:rPr>
        <w:t>These consolidated statements of operations should be read in conjunction with the Company's most recent Form 10-Q and Form 10-K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-635</wp:posOffset>
            </wp:positionV>
            <wp:extent cx="281305" cy="149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4" w:lineRule="exact"/>
        <w:rPr>
          <w:sz w:val="20"/>
          <w:szCs w:val="20"/>
          <w:color w:val="auto"/>
        </w:rPr>
      </w:pPr>
    </w:p>
    <w:p>
      <w:pPr>
        <w:ind w:left="10260"/>
        <w:spacing w:after="0"/>
        <w:tabs>
          <w:tab w:leader="none" w:pos="1116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0280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27" w:name="page28"/>
    <w:bookmarkEnd w:id="27"/>
    <w:p>
      <w:pPr>
        <w:jc w:val="center"/>
        <w:ind w:right="12"/>
        <w:spacing w:after="0"/>
        <w:rPr>
          <w:sz w:val="20"/>
          <w:szCs w:val="20"/>
          <w:color w:val="auto"/>
        </w:rPr>
      </w:pPr>
      <w:r>
        <w:rPr>
          <w:rFonts w:ascii="Arial" w:cs="Arial" w:eastAsia="Arial" w:hAnsi="Arial"/>
          <w:sz w:val="11"/>
          <w:szCs w:val="11"/>
          <w:color w:val="auto"/>
          <w:highlight w:val="black"/>
        </w:rPr>
        <w:t xml:space="preserve">Supplemental </w:t>
      </w:r>
      <w:r>
        <w:rPr>
          <w:rFonts w:ascii="Arial" w:cs="Arial" w:eastAsia="Arial" w:hAnsi="Arial"/>
          <w:sz w:val="11"/>
          <w:szCs w:val="11"/>
          <w:color w:val="auto"/>
        </w:rPr>
        <w:t>Details of Operations (Consolidated Only)</w:t>
      </w:r>
    </w:p>
    <w:p>
      <w:pPr>
        <w:spacing w:after="0" w:line="7"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For the Periods Ended March 31, 2026 and 2025</w:t>
      </w:r>
    </w:p>
    <w:p>
      <w:pPr>
        <w:spacing w:after="0" w:line="7"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(in thousands)</w:t>
      </w:r>
    </w:p>
    <w:p>
      <w:pPr>
        <w:sectPr>
          <w:pgSz w:w="11900" w:h="16838" w:orient="portrait"/>
          <w:cols w:equalWidth="0" w:num="1">
            <w:col w:w="11308"/>
          </w:cols>
          <w:pgMar w:left="292" w:top="743" w:right="299" w:bottom="1440" w:gutter="0" w:footer="0" w:header="0"/>
        </w:sectPr>
      </w:pPr>
    </w:p>
    <w:p>
      <w:pPr>
        <w:spacing w:after="0" w:line="315" w:lineRule="exact"/>
        <w:rPr>
          <w:sz w:val="20"/>
          <w:szCs w:val="20"/>
          <w:color w:val="auto"/>
        </w:rPr>
      </w:pPr>
    </w:p>
    <w:p>
      <w:pPr>
        <w:ind w:left="308"/>
        <w:spacing w:after="0"/>
        <w:rPr>
          <w:sz w:val="20"/>
          <w:szCs w:val="20"/>
          <w:color w:val="auto"/>
        </w:rPr>
      </w:pPr>
      <w:r>
        <w:rPr>
          <w:rFonts w:ascii="Arial" w:cs="Arial" w:eastAsia="Arial" w:hAnsi="Arial"/>
          <w:sz w:val="9"/>
          <w:szCs w:val="9"/>
          <w:color w:val="auto"/>
          <w:highlight w:val="black"/>
        </w:rPr>
        <w:t>Revenues:</w:t>
      </w:r>
    </w:p>
    <w:p>
      <w:pPr>
        <w:spacing w:after="0" w:line="5" w:lineRule="exact"/>
        <w:rPr>
          <w:sz w:val="20"/>
          <w:szCs w:val="20"/>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Base rent</w:t>
      </w:r>
    </w:p>
    <w:p>
      <w:pPr>
        <w:spacing w:after="0" w:line="5" w:lineRule="exact"/>
        <w:rPr>
          <w:rFonts w:ascii="Arial" w:cs="Arial" w:eastAsia="Arial" w:hAnsi="Arial"/>
          <w:sz w:val="9"/>
          <w:szCs w:val="9"/>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Recoveries from tenants</w:t>
      </w:r>
    </w:p>
    <w:p>
      <w:pPr>
        <w:spacing w:after="0" w:line="5" w:lineRule="exact"/>
        <w:rPr>
          <w:rFonts w:ascii="Arial" w:cs="Arial" w:eastAsia="Arial" w:hAnsi="Arial"/>
          <w:sz w:val="9"/>
          <w:szCs w:val="9"/>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Percentage rent</w:t>
      </w:r>
    </w:p>
    <w:p>
      <w:pPr>
        <w:spacing w:after="0" w:line="5" w:lineRule="exact"/>
        <w:rPr>
          <w:rFonts w:ascii="Arial" w:cs="Arial" w:eastAsia="Arial" w:hAnsi="Arial"/>
          <w:sz w:val="9"/>
          <w:szCs w:val="9"/>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Termination fees</w:t>
      </w:r>
    </w:p>
    <w:p>
      <w:pPr>
        <w:spacing w:after="0" w:line="5" w:lineRule="exact"/>
        <w:rPr>
          <w:rFonts w:ascii="Arial" w:cs="Arial" w:eastAsia="Arial" w:hAnsi="Arial"/>
          <w:sz w:val="9"/>
          <w:szCs w:val="9"/>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Uncollectible lease income</w:t>
      </w:r>
    </w:p>
    <w:p>
      <w:pPr>
        <w:spacing w:after="0" w:line="20" w:lineRule="exact"/>
        <w:rPr>
          <w:rFonts w:ascii="Arial" w:cs="Arial" w:eastAsia="Arial" w:hAnsi="Arial"/>
          <w:sz w:val="9"/>
          <w:szCs w:val="9"/>
          <w:color w:val="auto"/>
        </w:rPr>
      </w:pPr>
    </w:p>
    <w:p>
      <w:pPr>
        <w:ind w:left="468" w:right="5760" w:hanging="209"/>
        <w:spacing w:after="0" w:line="244" w:lineRule="auto"/>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Other lease income Straight-line rent on lease income Above/below market rent amortization</w:t>
      </w:r>
    </w:p>
    <w:p>
      <w:pPr>
        <w:spacing w:after="0" w:line="3" w:lineRule="exact"/>
        <w:rPr>
          <w:rFonts w:ascii="Arial" w:cs="Arial" w:eastAsia="Arial" w:hAnsi="Arial"/>
          <w:sz w:val="9"/>
          <w:szCs w:val="9"/>
          <w:color w:val="auto"/>
        </w:rPr>
      </w:pPr>
    </w:p>
    <w:p>
      <w:pPr>
        <w:ind w:left="628"/>
        <w:spacing w:after="0"/>
        <w:rPr>
          <w:rFonts w:ascii="Arial" w:cs="Arial" w:eastAsia="Arial" w:hAnsi="Arial"/>
          <w:sz w:val="9"/>
          <w:szCs w:val="9"/>
          <w:color w:val="auto"/>
        </w:rPr>
      </w:pPr>
      <w:r>
        <w:rPr>
          <w:rFonts w:ascii="Arial" w:cs="Arial" w:eastAsia="Arial" w:hAnsi="Arial"/>
          <w:sz w:val="9"/>
          <w:szCs w:val="9"/>
          <w:color w:val="auto"/>
        </w:rPr>
        <w:t>Lease income, net</w:t>
      </w:r>
    </w:p>
    <w:p>
      <w:pPr>
        <w:spacing w:after="0" w:line="41" w:lineRule="exact"/>
        <w:rPr>
          <w:rFonts w:ascii="Arial" w:cs="Arial" w:eastAsia="Arial" w:hAnsi="Arial"/>
          <w:sz w:val="9"/>
          <w:szCs w:val="9"/>
          <w:color w:val="auto"/>
        </w:rPr>
      </w:pPr>
    </w:p>
    <w:p>
      <w:pPr>
        <w:ind w:left="468" w:hanging="209"/>
        <w:spacing w:after="0"/>
        <w:tabs>
          <w:tab w:leader="none" w:pos="468" w:val="left"/>
        </w:tabs>
        <w:numPr>
          <w:ilvl w:val="0"/>
          <w:numId w:val="33"/>
        </w:numPr>
        <w:rPr>
          <w:rFonts w:ascii="Arial" w:cs="Arial" w:eastAsia="Arial" w:hAnsi="Arial"/>
          <w:sz w:val="9"/>
          <w:szCs w:val="9"/>
          <w:color w:val="auto"/>
        </w:rPr>
      </w:pPr>
      <w:r>
        <w:rPr>
          <w:rFonts w:ascii="Arial" w:cs="Arial" w:eastAsia="Arial" w:hAnsi="Arial"/>
          <w:sz w:val="9"/>
          <w:szCs w:val="9"/>
          <w:color w:val="auto"/>
        </w:rPr>
        <w:t>Other property income</w:t>
      </w:r>
    </w:p>
    <w:p>
      <w:pPr>
        <w:spacing w:after="0" w:line="56" w:lineRule="exact"/>
        <w:rPr>
          <w:rFonts w:ascii="Arial" w:cs="Arial" w:eastAsia="Arial" w:hAnsi="Arial"/>
          <w:sz w:val="9"/>
          <w:szCs w:val="9"/>
          <w:color w:val="auto"/>
        </w:rPr>
      </w:pPr>
    </w:p>
    <w:p>
      <w:pPr>
        <w:ind w:left="468" w:right="6220"/>
        <w:spacing w:after="0" w:line="273" w:lineRule="auto"/>
        <w:rPr>
          <w:rFonts w:ascii="Arial" w:cs="Arial" w:eastAsia="Arial" w:hAnsi="Arial"/>
          <w:sz w:val="9"/>
          <w:szCs w:val="9"/>
          <w:color w:val="auto"/>
        </w:rPr>
      </w:pPr>
      <w:r>
        <w:rPr>
          <w:rFonts w:ascii="Arial" w:cs="Arial" w:eastAsia="Arial" w:hAnsi="Arial"/>
          <w:sz w:val="8"/>
          <w:szCs w:val="8"/>
          <w:color w:val="auto"/>
        </w:rPr>
        <w:t>Property management fees Asset management fees</w:t>
      </w:r>
    </w:p>
    <w:p>
      <w:pPr>
        <w:spacing w:after="0" w:line="7" w:lineRule="exact"/>
        <w:rPr>
          <w:rFonts w:ascii="Arial" w:cs="Arial" w:eastAsia="Arial" w:hAnsi="Arial"/>
          <w:sz w:val="9"/>
          <w:szCs w:val="9"/>
          <w:color w:val="auto"/>
        </w:rPr>
      </w:pPr>
    </w:p>
    <w:p>
      <w:pPr>
        <w:ind w:left="628" w:right="5500" w:hanging="151"/>
        <w:spacing w:after="0" w:line="296" w:lineRule="auto"/>
        <w:rPr>
          <w:rFonts w:ascii="Arial" w:cs="Arial" w:eastAsia="Arial" w:hAnsi="Arial"/>
          <w:sz w:val="9"/>
          <w:szCs w:val="9"/>
          <w:color w:val="auto"/>
        </w:rPr>
      </w:pPr>
      <w:r>
        <w:rPr>
          <w:rFonts w:ascii="Arial" w:cs="Arial" w:eastAsia="Arial" w:hAnsi="Arial"/>
          <w:sz w:val="8"/>
          <w:szCs w:val="8"/>
          <w:color w:val="auto"/>
        </w:rPr>
        <w:t>Leasing commissions and other fees Management, transaction, and other fees</w:t>
      </w:r>
    </w:p>
    <w:p>
      <w:pPr>
        <w:spacing w:after="0" w:line="38" w:lineRule="exact"/>
        <w:rPr>
          <w:sz w:val="20"/>
          <w:szCs w:val="20"/>
          <w:color w:val="auto"/>
        </w:rPr>
      </w:pPr>
    </w:p>
    <w:p>
      <w:pPr>
        <w:ind w:left="768"/>
        <w:spacing w:after="0"/>
        <w:rPr>
          <w:sz w:val="20"/>
          <w:szCs w:val="20"/>
          <w:color w:val="auto"/>
        </w:rPr>
      </w:pPr>
      <w:r>
        <w:rPr>
          <w:rFonts w:ascii="Arial" w:cs="Arial" w:eastAsia="Arial" w:hAnsi="Arial"/>
          <w:sz w:val="9"/>
          <w:szCs w:val="9"/>
          <w:color w:val="auto"/>
        </w:rPr>
        <w:t>Total revenues</w:t>
      </w:r>
    </w:p>
    <w:p>
      <w:pPr>
        <w:spacing w:after="0" w:line="41" w:lineRule="exact"/>
        <w:rPr>
          <w:sz w:val="20"/>
          <w:szCs w:val="20"/>
          <w:color w:val="auto"/>
        </w:rPr>
      </w:pPr>
    </w:p>
    <w:p>
      <w:pPr>
        <w:ind w:left="308"/>
        <w:spacing w:after="0"/>
        <w:rPr>
          <w:sz w:val="20"/>
          <w:szCs w:val="20"/>
          <w:color w:val="auto"/>
        </w:rPr>
      </w:pPr>
      <w:r>
        <w:rPr>
          <w:rFonts w:ascii="Arial" w:cs="Arial" w:eastAsia="Arial" w:hAnsi="Arial"/>
          <w:sz w:val="9"/>
          <w:szCs w:val="9"/>
          <w:color w:val="auto"/>
          <w:highlight w:val="black"/>
        </w:rPr>
        <w:t>Operating Expenses:</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Depreciation and amortization (including FF&amp;E)</w:t>
      </w:r>
    </w:p>
    <w:p>
      <w:pPr>
        <w:spacing w:after="0" w:line="41" w:lineRule="exact"/>
        <w:rPr>
          <w:sz w:val="20"/>
          <w:szCs w:val="20"/>
          <w:color w:val="auto"/>
        </w:rPr>
      </w:pPr>
    </w:p>
    <w:p>
      <w:pPr>
        <w:ind w:left="468" w:hanging="209"/>
        <w:spacing w:after="0"/>
        <w:tabs>
          <w:tab w:leader="none" w:pos="468" w:val="left"/>
        </w:tabs>
        <w:numPr>
          <w:ilvl w:val="0"/>
          <w:numId w:val="34"/>
        </w:numPr>
        <w:rPr>
          <w:rFonts w:ascii="Arial" w:cs="Arial" w:eastAsia="Arial" w:hAnsi="Arial"/>
          <w:sz w:val="9"/>
          <w:szCs w:val="9"/>
          <w:color w:val="auto"/>
        </w:rPr>
      </w:pPr>
      <w:r>
        <w:rPr>
          <w:rFonts w:ascii="Arial" w:cs="Arial" w:eastAsia="Arial" w:hAnsi="Arial"/>
          <w:sz w:val="9"/>
          <w:szCs w:val="9"/>
          <w:color w:val="auto"/>
        </w:rPr>
        <w:t>Operating and maintenance</w:t>
      </w:r>
    </w:p>
    <w:p>
      <w:pPr>
        <w:spacing w:after="0" w:line="5" w:lineRule="exact"/>
        <w:rPr>
          <w:rFonts w:ascii="Arial" w:cs="Arial" w:eastAsia="Arial" w:hAnsi="Arial"/>
          <w:sz w:val="9"/>
          <w:szCs w:val="9"/>
          <w:color w:val="auto"/>
        </w:rPr>
      </w:pPr>
    </w:p>
    <w:p>
      <w:pPr>
        <w:ind w:left="468" w:hanging="209"/>
        <w:spacing w:after="0"/>
        <w:tabs>
          <w:tab w:leader="none" w:pos="468" w:val="left"/>
        </w:tabs>
        <w:numPr>
          <w:ilvl w:val="0"/>
          <w:numId w:val="34"/>
        </w:numPr>
        <w:rPr>
          <w:rFonts w:ascii="Arial" w:cs="Arial" w:eastAsia="Arial" w:hAnsi="Arial"/>
          <w:sz w:val="9"/>
          <w:szCs w:val="9"/>
          <w:color w:val="auto"/>
        </w:rPr>
      </w:pPr>
      <w:r>
        <w:rPr>
          <w:rFonts w:ascii="Arial" w:cs="Arial" w:eastAsia="Arial" w:hAnsi="Arial"/>
          <w:sz w:val="9"/>
          <w:szCs w:val="9"/>
          <w:color w:val="auto"/>
        </w:rPr>
        <w:t>Ground rent</w:t>
      </w:r>
    </w:p>
    <w:p>
      <w:pPr>
        <w:spacing w:after="0" w:line="20" w:lineRule="exact"/>
        <w:rPr>
          <w:rFonts w:ascii="Arial" w:cs="Arial" w:eastAsia="Arial" w:hAnsi="Arial"/>
          <w:sz w:val="9"/>
          <w:szCs w:val="9"/>
          <w:color w:val="auto"/>
        </w:rPr>
      </w:pPr>
    </w:p>
    <w:p>
      <w:pPr>
        <w:ind w:left="468" w:right="5460" w:hanging="209"/>
        <w:spacing w:after="0" w:line="244" w:lineRule="auto"/>
        <w:tabs>
          <w:tab w:leader="none" w:pos="468" w:val="left"/>
        </w:tabs>
        <w:numPr>
          <w:ilvl w:val="0"/>
          <w:numId w:val="34"/>
        </w:numPr>
        <w:rPr>
          <w:rFonts w:ascii="Arial" w:cs="Arial" w:eastAsia="Arial" w:hAnsi="Arial"/>
          <w:sz w:val="9"/>
          <w:szCs w:val="9"/>
          <w:color w:val="auto"/>
        </w:rPr>
      </w:pPr>
      <w:r>
        <w:rPr>
          <w:rFonts w:ascii="Arial" w:cs="Arial" w:eastAsia="Arial" w:hAnsi="Arial"/>
          <w:sz w:val="9"/>
          <w:szCs w:val="9"/>
          <w:color w:val="auto"/>
        </w:rPr>
        <w:t>Termination expense Straight-line rent on ground rent Above/below market ground rent amortization</w:t>
      </w:r>
    </w:p>
    <w:p>
      <w:pPr>
        <w:spacing w:after="0" w:line="3" w:lineRule="exact"/>
        <w:rPr>
          <w:rFonts w:ascii="Arial" w:cs="Arial" w:eastAsia="Arial" w:hAnsi="Arial"/>
          <w:sz w:val="9"/>
          <w:szCs w:val="9"/>
          <w:color w:val="auto"/>
        </w:rPr>
      </w:pPr>
    </w:p>
    <w:p>
      <w:pPr>
        <w:ind w:left="628"/>
        <w:spacing w:after="0"/>
        <w:rPr>
          <w:rFonts w:ascii="Arial" w:cs="Arial" w:eastAsia="Arial" w:hAnsi="Arial"/>
          <w:sz w:val="9"/>
          <w:szCs w:val="9"/>
          <w:color w:val="auto"/>
        </w:rPr>
      </w:pPr>
      <w:r>
        <w:rPr>
          <w:rFonts w:ascii="Arial" w:cs="Arial" w:eastAsia="Arial" w:hAnsi="Arial"/>
          <w:sz w:val="9"/>
          <w:szCs w:val="9"/>
          <w:color w:val="auto"/>
        </w:rPr>
        <w:t>Property operating expense</w:t>
      </w:r>
    </w:p>
    <w:p>
      <w:pPr>
        <w:spacing w:after="0" w:line="41" w:lineRule="exact"/>
        <w:rPr>
          <w:rFonts w:ascii="Arial" w:cs="Arial" w:eastAsia="Arial" w:hAnsi="Arial"/>
          <w:sz w:val="9"/>
          <w:szCs w:val="9"/>
          <w:color w:val="auto"/>
        </w:rPr>
      </w:pPr>
    </w:p>
    <w:p>
      <w:pPr>
        <w:ind w:left="468" w:hanging="209"/>
        <w:spacing w:after="0"/>
        <w:tabs>
          <w:tab w:leader="none" w:pos="468" w:val="left"/>
        </w:tabs>
        <w:numPr>
          <w:ilvl w:val="0"/>
          <w:numId w:val="34"/>
        </w:numPr>
        <w:rPr>
          <w:rFonts w:ascii="Arial" w:cs="Arial" w:eastAsia="Arial" w:hAnsi="Arial"/>
          <w:sz w:val="9"/>
          <w:szCs w:val="9"/>
          <w:color w:val="auto"/>
        </w:rPr>
      </w:pPr>
      <w:r>
        <w:rPr>
          <w:rFonts w:ascii="Arial" w:cs="Arial" w:eastAsia="Arial" w:hAnsi="Arial"/>
          <w:sz w:val="9"/>
          <w:szCs w:val="9"/>
          <w:color w:val="auto"/>
        </w:rPr>
        <w:t>Real estate taxes</w:t>
      </w:r>
    </w:p>
    <w:p>
      <w:pPr>
        <w:spacing w:after="0" w:line="56" w:lineRule="exact"/>
        <w:rPr>
          <w:rFonts w:ascii="Arial" w:cs="Arial" w:eastAsia="Arial" w:hAnsi="Arial"/>
          <w:sz w:val="9"/>
          <w:szCs w:val="9"/>
          <w:color w:val="auto"/>
        </w:rPr>
      </w:pPr>
    </w:p>
    <w:p>
      <w:pPr>
        <w:ind w:left="468" w:right="6080"/>
        <w:spacing w:after="0" w:line="273" w:lineRule="auto"/>
        <w:rPr>
          <w:rFonts w:ascii="Arial" w:cs="Arial" w:eastAsia="Arial" w:hAnsi="Arial"/>
          <w:sz w:val="9"/>
          <w:szCs w:val="9"/>
          <w:color w:val="auto"/>
        </w:rPr>
      </w:pPr>
      <w:r>
        <w:rPr>
          <w:rFonts w:ascii="Arial" w:cs="Arial" w:eastAsia="Arial" w:hAnsi="Arial"/>
          <w:sz w:val="8"/>
          <w:szCs w:val="8"/>
          <w:color w:val="auto"/>
        </w:rPr>
        <w:t>Gross general &amp; administrative Stock-based compensation</w:t>
      </w:r>
    </w:p>
    <w:p>
      <w:pPr>
        <w:spacing w:after="0" w:line="16" w:lineRule="exact"/>
        <w:rPr>
          <w:rFonts w:ascii="Arial" w:cs="Arial" w:eastAsia="Arial" w:hAnsi="Arial"/>
          <w:sz w:val="9"/>
          <w:szCs w:val="9"/>
          <w:color w:val="auto"/>
        </w:rPr>
      </w:pPr>
    </w:p>
    <w:p>
      <w:pPr>
        <w:ind w:left="628" w:right="5880" w:hanging="151"/>
        <w:spacing w:after="0" w:line="262" w:lineRule="auto"/>
        <w:rPr>
          <w:rFonts w:ascii="Arial" w:cs="Arial" w:eastAsia="Arial" w:hAnsi="Arial"/>
          <w:sz w:val="9"/>
          <w:szCs w:val="9"/>
          <w:color w:val="auto"/>
        </w:rPr>
      </w:pPr>
      <w:r>
        <w:rPr>
          <w:rFonts w:ascii="Arial" w:cs="Arial" w:eastAsia="Arial" w:hAnsi="Arial"/>
          <w:sz w:val="8"/>
          <w:szCs w:val="8"/>
          <w:color w:val="auto"/>
        </w:rPr>
        <w:t xml:space="preserve">Capitalized direct overhead costs General &amp; administrative, net </w:t>
      </w:r>
      <w:r>
        <w:rPr>
          <w:rFonts w:ascii="Arial" w:cs="Arial" w:eastAsia="Arial" w:hAnsi="Arial"/>
          <w:sz w:val="10"/>
          <w:szCs w:val="10"/>
          <w:color w:val="auto"/>
          <w:vertAlign w:val="superscript"/>
        </w:rPr>
        <w:t>(1)</w:t>
      </w:r>
    </w:p>
    <w:p>
      <w:pPr>
        <w:ind w:left="628" w:right="5360" w:hanging="151"/>
        <w:spacing w:after="0" w:line="205" w:lineRule="auto"/>
        <w:rPr>
          <w:rFonts w:ascii="Arial" w:cs="Arial" w:eastAsia="Arial" w:hAnsi="Arial"/>
          <w:sz w:val="9"/>
          <w:szCs w:val="9"/>
          <w:color w:val="auto"/>
        </w:rPr>
      </w:pPr>
      <w:r>
        <w:rPr>
          <w:rFonts w:ascii="Arial" w:cs="Arial" w:eastAsia="Arial" w:hAnsi="Arial"/>
          <w:sz w:val="9"/>
          <w:szCs w:val="9"/>
          <w:color w:val="auto"/>
        </w:rPr>
        <w:t xml:space="preserve">Loss (Income) on deferred compensation plan </w:t>
      </w:r>
      <w:r>
        <w:rPr>
          <w:rFonts w:ascii="Arial" w:cs="Arial" w:eastAsia="Arial" w:hAnsi="Arial"/>
          <w:sz w:val="11"/>
          <w:szCs w:val="11"/>
          <w:color w:val="auto"/>
          <w:vertAlign w:val="superscript"/>
        </w:rPr>
        <w:t>(2)</w:t>
      </w:r>
      <w:r>
        <w:rPr>
          <w:rFonts w:ascii="Arial" w:cs="Arial" w:eastAsia="Arial" w:hAnsi="Arial"/>
          <w:sz w:val="9"/>
          <w:szCs w:val="9"/>
          <w:color w:val="auto"/>
        </w:rPr>
        <w:t xml:space="preserve"> General &amp; administrative</w:t>
      </w:r>
    </w:p>
    <w:p>
      <w:pPr>
        <w:spacing w:after="0" w:line="41" w:lineRule="exact"/>
        <w:rPr>
          <w:rFonts w:ascii="Arial" w:cs="Arial" w:eastAsia="Arial" w:hAnsi="Arial"/>
          <w:sz w:val="9"/>
          <w:szCs w:val="9"/>
          <w:color w:val="auto"/>
        </w:rPr>
      </w:pPr>
    </w:p>
    <w:p>
      <w:pPr>
        <w:ind w:left="468"/>
        <w:spacing w:after="0"/>
        <w:rPr>
          <w:rFonts w:ascii="Arial" w:cs="Arial" w:eastAsia="Arial" w:hAnsi="Arial"/>
          <w:sz w:val="9"/>
          <w:szCs w:val="9"/>
          <w:color w:val="auto"/>
        </w:rPr>
      </w:pPr>
      <w:r>
        <w:rPr>
          <w:rFonts w:ascii="Arial" w:cs="Arial" w:eastAsia="Arial" w:hAnsi="Arial"/>
          <w:sz w:val="9"/>
          <w:szCs w:val="9"/>
          <w:color w:val="auto"/>
        </w:rPr>
        <w:t>Other expenses</w:t>
      </w:r>
    </w:p>
    <w:p>
      <w:pPr>
        <w:spacing w:after="0" w:line="20" w:lineRule="exact"/>
        <w:rPr>
          <w:rFonts w:ascii="Arial" w:cs="Arial" w:eastAsia="Arial" w:hAnsi="Arial"/>
          <w:sz w:val="9"/>
          <w:szCs w:val="9"/>
          <w:color w:val="auto"/>
        </w:rPr>
      </w:pPr>
    </w:p>
    <w:p>
      <w:pPr>
        <w:ind w:left="628" w:right="6060" w:hanging="151"/>
        <w:spacing w:after="0" w:line="296" w:lineRule="auto"/>
        <w:rPr>
          <w:rFonts w:ascii="Arial" w:cs="Arial" w:eastAsia="Arial" w:hAnsi="Arial"/>
          <w:sz w:val="9"/>
          <w:szCs w:val="9"/>
          <w:color w:val="auto"/>
        </w:rPr>
      </w:pPr>
      <w:r>
        <w:rPr>
          <w:rFonts w:ascii="Arial" w:cs="Arial" w:eastAsia="Arial" w:hAnsi="Arial"/>
          <w:sz w:val="8"/>
          <w:szCs w:val="8"/>
          <w:color w:val="auto"/>
        </w:rPr>
        <w:t>Development pursuit costs, net Other operating expenses</w:t>
      </w:r>
    </w:p>
    <w:p>
      <w:pPr>
        <w:spacing w:after="0" w:line="38" w:lineRule="exact"/>
        <w:rPr>
          <w:sz w:val="20"/>
          <w:szCs w:val="20"/>
          <w:color w:val="auto"/>
        </w:rPr>
      </w:pPr>
    </w:p>
    <w:p>
      <w:pPr>
        <w:ind w:left="768"/>
        <w:spacing w:after="0"/>
        <w:rPr>
          <w:sz w:val="20"/>
          <w:szCs w:val="20"/>
          <w:color w:val="auto"/>
        </w:rPr>
      </w:pPr>
      <w:r>
        <w:rPr>
          <w:rFonts w:ascii="Arial" w:cs="Arial" w:eastAsia="Arial" w:hAnsi="Arial"/>
          <w:sz w:val="9"/>
          <w:szCs w:val="9"/>
          <w:color w:val="auto"/>
        </w:rPr>
        <w:t>Total operating expenses</w:t>
      </w:r>
    </w:p>
    <w:p>
      <w:pPr>
        <w:spacing w:after="0" w:line="41" w:lineRule="exact"/>
        <w:rPr>
          <w:sz w:val="20"/>
          <w:szCs w:val="20"/>
          <w:color w:val="auto"/>
        </w:rPr>
      </w:pPr>
    </w:p>
    <w:p>
      <w:pPr>
        <w:ind w:left="308"/>
        <w:spacing w:after="0"/>
        <w:rPr>
          <w:sz w:val="20"/>
          <w:szCs w:val="20"/>
          <w:color w:val="auto"/>
        </w:rPr>
      </w:pPr>
      <w:r>
        <w:rPr>
          <w:rFonts w:ascii="Arial" w:cs="Arial" w:eastAsia="Arial" w:hAnsi="Arial"/>
          <w:sz w:val="9"/>
          <w:szCs w:val="9"/>
          <w:color w:val="auto"/>
          <w:highlight w:val="black"/>
        </w:rPr>
        <w:t>Other Expense, net:</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Gross interest expense</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Derivative amortization</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Debt cost amortization</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Debt and derivative mark-to-market amortization</w:t>
      </w:r>
    </w:p>
    <w:p>
      <w:pPr>
        <w:spacing w:after="0" w:line="5" w:lineRule="exact"/>
        <w:rPr>
          <w:sz w:val="20"/>
          <w:szCs w:val="20"/>
          <w:color w:val="auto"/>
        </w:rPr>
      </w:pPr>
    </w:p>
    <w:p>
      <w:pPr>
        <w:ind w:left="468"/>
        <w:spacing w:after="0"/>
        <w:rPr>
          <w:sz w:val="20"/>
          <w:szCs w:val="20"/>
          <w:color w:val="auto"/>
        </w:rPr>
      </w:pPr>
      <w:r>
        <w:rPr>
          <w:rFonts w:ascii="Arial" w:cs="Arial" w:eastAsia="Arial" w:hAnsi="Arial"/>
          <w:sz w:val="9"/>
          <w:szCs w:val="9"/>
          <w:color w:val="auto"/>
        </w:rPr>
        <w:t>Capitalized interest</w:t>
      </w:r>
    </w:p>
    <w:p>
      <w:pPr>
        <w:spacing w:after="0" w:line="14" w:lineRule="exact"/>
        <w:rPr>
          <w:sz w:val="20"/>
          <w:szCs w:val="20"/>
          <w:color w:val="auto"/>
        </w:rPr>
      </w:pPr>
    </w:p>
    <w:p>
      <w:pPr>
        <w:ind w:left="468"/>
        <w:spacing w:after="0"/>
        <w:rPr>
          <w:sz w:val="20"/>
          <w:szCs w:val="20"/>
          <w:color w:val="auto"/>
        </w:rPr>
      </w:pPr>
      <w:r>
        <w:rPr>
          <w:rFonts w:ascii="Arial" w:cs="Arial" w:eastAsia="Arial" w:hAnsi="Arial"/>
          <w:sz w:val="9"/>
          <w:szCs w:val="9"/>
          <w:color w:val="auto"/>
        </w:rPr>
        <w:t>Interest income</w:t>
      </w:r>
    </w:p>
    <w:p>
      <w:pPr>
        <w:spacing w:after="0" w:line="5" w:lineRule="exact"/>
        <w:rPr>
          <w:sz w:val="20"/>
          <w:szCs w:val="20"/>
          <w:color w:val="auto"/>
        </w:rPr>
      </w:pPr>
    </w:p>
    <w:p>
      <w:pPr>
        <w:ind w:left="628"/>
        <w:spacing w:after="0"/>
        <w:rPr>
          <w:sz w:val="20"/>
          <w:szCs w:val="20"/>
          <w:color w:val="auto"/>
        </w:rPr>
      </w:pPr>
      <w:r>
        <w:rPr>
          <w:rFonts w:ascii="Arial" w:cs="Arial" w:eastAsia="Arial" w:hAnsi="Arial"/>
          <w:sz w:val="9"/>
          <w:szCs w:val="9"/>
          <w:color w:val="auto"/>
        </w:rPr>
        <w:t>Interest expense, net</w:t>
      </w:r>
    </w:p>
    <w:p>
      <w:pPr>
        <w:spacing w:after="0" w:line="41" w:lineRule="exact"/>
        <w:rPr>
          <w:sz w:val="20"/>
          <w:szCs w:val="20"/>
          <w:color w:val="auto"/>
        </w:rPr>
      </w:pPr>
    </w:p>
    <w:p>
      <w:pPr>
        <w:ind w:left="468"/>
        <w:spacing w:after="0"/>
        <w:rPr>
          <w:sz w:val="20"/>
          <w:szCs w:val="20"/>
          <w:color w:val="auto"/>
        </w:rPr>
      </w:pPr>
      <w:r>
        <w:rPr>
          <w:rFonts w:ascii="Arial" w:cs="Arial" w:eastAsia="Arial" w:hAnsi="Arial"/>
          <w:sz w:val="9"/>
          <w:szCs w:val="9"/>
          <w:color w:val="auto"/>
        </w:rPr>
        <w:t>Gain on sale of real estate, net of tax</w:t>
      </w:r>
    </w:p>
    <w:p>
      <w:pPr>
        <w:ind w:left="468"/>
        <w:spacing w:after="0"/>
        <w:rPr>
          <w:sz w:val="20"/>
          <w:szCs w:val="20"/>
          <w:color w:val="auto"/>
        </w:rPr>
      </w:pPr>
      <w:r>
        <w:rPr>
          <w:rFonts w:ascii="Arial" w:cs="Arial" w:eastAsia="Arial" w:hAnsi="Arial"/>
          <w:sz w:val="9"/>
          <w:szCs w:val="9"/>
          <w:color w:val="auto"/>
        </w:rPr>
        <w:t xml:space="preserve">Net investment (income) expense </w:t>
      </w:r>
      <w:r>
        <w:rPr>
          <w:rFonts w:ascii="Arial" w:cs="Arial" w:eastAsia="Arial" w:hAnsi="Arial"/>
          <w:sz w:val="11"/>
          <w:szCs w:val="11"/>
          <w:color w:val="auto"/>
          <w:vertAlign w:val="superscript"/>
        </w:rPr>
        <w:t>(2)</w:t>
      </w:r>
    </w:p>
    <w:p>
      <w:pPr>
        <w:spacing w:after="0" w:line="41" w:lineRule="exact"/>
        <w:rPr>
          <w:sz w:val="20"/>
          <w:szCs w:val="20"/>
          <w:color w:val="auto"/>
        </w:rPr>
      </w:pPr>
    </w:p>
    <w:p>
      <w:pPr>
        <w:ind w:left="628"/>
        <w:spacing w:after="0"/>
        <w:rPr>
          <w:sz w:val="20"/>
          <w:szCs w:val="20"/>
          <w:color w:val="auto"/>
        </w:rPr>
      </w:pPr>
      <w:r>
        <w:rPr>
          <w:rFonts w:ascii="Arial" w:cs="Arial" w:eastAsia="Arial" w:hAnsi="Arial"/>
          <w:sz w:val="9"/>
          <w:szCs w:val="9"/>
          <w:color w:val="auto"/>
        </w:rPr>
        <w:t>Total other expense, net</w:t>
      </w:r>
    </w:p>
    <w:p>
      <w:pPr>
        <w:spacing w:after="0" w:line="59" w:lineRule="exact"/>
        <w:rPr>
          <w:sz w:val="20"/>
          <w:szCs w:val="20"/>
          <w:color w:val="auto"/>
        </w:rPr>
      </w:pPr>
    </w:p>
    <w:p>
      <w:pPr>
        <w:ind w:left="848"/>
        <w:spacing w:after="0"/>
        <w:rPr>
          <w:sz w:val="20"/>
          <w:szCs w:val="20"/>
          <w:color w:val="auto"/>
        </w:rPr>
      </w:pPr>
      <w:r>
        <w:rPr>
          <w:rFonts w:ascii="Arial" w:cs="Arial" w:eastAsia="Arial" w:hAnsi="Arial"/>
          <w:sz w:val="9"/>
          <w:szCs w:val="9"/>
          <w:color w:val="auto"/>
        </w:rPr>
        <w:t>Consolidated NOI</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8"/>
          <w:szCs w:val="8"/>
          <w:color w:val="auto"/>
        </w:rPr>
        <w:t>* Component of Net Operating Income</w:t>
      </w:r>
    </w:p>
    <w:p>
      <w:pPr>
        <w:ind w:left="308" w:hanging="308"/>
        <w:spacing w:after="0" w:line="205" w:lineRule="auto"/>
        <w:tabs>
          <w:tab w:leader="none" w:pos="308" w:val="left"/>
        </w:tabs>
        <w:numPr>
          <w:ilvl w:val="0"/>
          <w:numId w:val="35"/>
        </w:numPr>
        <w:rPr>
          <w:rFonts w:ascii="Arial" w:cs="Arial" w:eastAsia="Arial" w:hAnsi="Arial"/>
          <w:sz w:val="11"/>
          <w:szCs w:val="11"/>
          <w:color w:val="auto"/>
          <w:vertAlign w:val="superscript"/>
        </w:rPr>
      </w:pPr>
      <w:r>
        <w:rPr>
          <w:rFonts w:ascii="Arial" w:cs="Arial" w:eastAsia="Arial" w:hAnsi="Arial"/>
          <w:sz w:val="8"/>
          <w:szCs w:val="8"/>
          <w:color w:val="auto"/>
        </w:rPr>
        <w:t>General &amp; administrative, net is referenced and reflected as G&amp;A expense, net in earnings guidance on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-4445</wp:posOffset>
            </wp:positionV>
            <wp:extent cx="5842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4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w w:val="95"/>
              </w:rPr>
              <w:t>Three Months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89"/>
        </w:trPr>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bottom w:val="single" w:sz="8" w:color="auto"/>
            </w:tcBorders>
          </w:tcPr>
          <w:p>
            <w:pPr>
              <w:jc w:val="right"/>
              <w:spacing w:after="0" w:line="69" w:lineRule="exact"/>
              <w:rPr>
                <w:sz w:val="20"/>
                <w:szCs w:val="20"/>
                <w:color w:val="auto"/>
              </w:rPr>
            </w:pPr>
            <w:r>
              <w:rPr>
                <w:rFonts w:ascii="Arial" w:cs="Arial" w:eastAsia="Arial" w:hAnsi="Arial"/>
                <w:sz w:val="7"/>
                <w:szCs w:val="7"/>
                <w:color w:val="auto"/>
                <w:highlight w:val="black"/>
              </w:rPr>
              <w:t>2026</w:t>
            </w: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bottom w:val="single" w:sz="8" w:color="auto"/>
            </w:tcBorders>
          </w:tcPr>
          <w:p>
            <w:pPr>
              <w:jc w:val="right"/>
              <w:spacing w:after="0" w:line="69" w:lineRule="exact"/>
              <w:rPr>
                <w:sz w:val="20"/>
                <w:szCs w:val="20"/>
                <w:color w:val="auto"/>
              </w:rPr>
            </w:pPr>
            <w:r>
              <w:rPr>
                <w:rFonts w:ascii="Arial" w:cs="Arial" w:eastAsia="Arial" w:hAnsi="Arial"/>
                <w:sz w:val="7"/>
                <w:szCs w:val="7"/>
                <w:color w:val="auto"/>
                <w:highlight w:val="black"/>
              </w:rPr>
              <w:t>2025</w:t>
            </w:r>
          </w:p>
        </w:tc>
        <w:tc>
          <w:tcPr>
            <w:tcW w:w="720" w:type="dxa"/>
            <w:vAlign w:val="bottom"/>
          </w:tcPr>
          <w:p>
            <w:pPr>
              <w:spacing w:after="0"/>
              <w:rPr>
                <w:sz w:val="7"/>
                <w:szCs w:val="7"/>
                <w:color w:val="auto"/>
              </w:rPr>
            </w:pPr>
          </w:p>
        </w:tc>
      </w:tr>
      <w:tr>
        <w:trPr>
          <w:trHeight w:val="207"/>
        </w:trPr>
        <w:tc>
          <w:tcPr>
            <w:tcW w:w="280" w:type="dxa"/>
            <w:vAlign w:val="bottom"/>
          </w:tcPr>
          <w:p>
            <w:pPr>
              <w:jc w:val="right"/>
              <w:ind w:right="176"/>
              <w:spacing w:after="0"/>
              <w:rPr>
                <w:sz w:val="20"/>
                <w:szCs w:val="20"/>
                <w:color w:val="auto"/>
              </w:rPr>
            </w:pPr>
            <w:r>
              <w:rPr>
                <w:rFonts w:ascii="Arial" w:cs="Arial" w:eastAsia="Arial" w:hAnsi="Arial"/>
                <w:sz w:val="9"/>
                <w:szCs w:val="9"/>
                <w:color w:val="auto"/>
                <w:w w:val="78"/>
              </w:rPr>
              <w:t>$</w:t>
            </w: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275,178</w:t>
            </w:r>
          </w:p>
        </w:tc>
        <w:tc>
          <w:tcPr>
            <w:tcW w:w="8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254,556</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103,261</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91,481</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7,435</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6,658</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2,115</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2,127</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496"/>
              <w:spacing w:after="0"/>
              <w:rPr>
                <w:sz w:val="20"/>
                <w:szCs w:val="20"/>
                <w:color w:val="auto"/>
              </w:rPr>
            </w:pPr>
            <w:r>
              <w:rPr>
                <w:rFonts w:ascii="Arial" w:cs="Arial" w:eastAsia="Arial" w:hAnsi="Arial"/>
                <w:sz w:val="9"/>
                <w:szCs w:val="9"/>
                <w:color w:val="auto"/>
              </w:rPr>
              <w:t>(1,499)</w:t>
            </w:r>
          </w:p>
        </w:tc>
        <w:tc>
          <w:tcPr>
            <w:tcW w:w="80" w:type="dxa"/>
            <w:vAlign w:val="bottom"/>
          </w:tcPr>
          <w:p>
            <w:pPr>
              <w:spacing w:after="0"/>
              <w:rPr>
                <w:sz w:val="9"/>
                <w:szCs w:val="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9"/>
                <w:szCs w:val="9"/>
                <w:color w:val="auto"/>
              </w:rPr>
              <w:t>(386)</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5,979</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4,286</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4,556</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5,607</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5,588</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6,750</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402,613</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371,079</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2,907</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3,021</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4,082</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4,110</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1,775</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1,717</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1,076</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985</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6,933</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6,812</w:t>
            </w:r>
          </w:p>
        </w:tc>
      </w:tr>
      <w:tr>
        <w:trPr>
          <w:trHeight w:val="36"/>
        </w:trPr>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98"/>
        </w:trPr>
        <w:tc>
          <w:tcPr>
            <w:tcW w:w="280" w:type="dxa"/>
            <w:vAlign w:val="bottom"/>
            <w:tcBorders>
              <w:bottom w:val="single" w:sz="8" w:color="auto"/>
            </w:tcBorders>
          </w:tcPr>
          <w:p>
            <w:pPr>
              <w:jc w:val="right"/>
              <w:ind w:right="176"/>
              <w:spacing w:after="0" w:line="88" w:lineRule="exact"/>
              <w:rPr>
                <w:sz w:val="20"/>
                <w:szCs w:val="20"/>
                <w:color w:val="auto"/>
              </w:rPr>
            </w:pPr>
            <w:r>
              <w:rPr>
                <w:rFonts w:ascii="Arial" w:cs="Arial" w:eastAsia="Arial" w:hAnsi="Arial"/>
                <w:sz w:val="9"/>
                <w:szCs w:val="9"/>
                <w:color w:val="auto"/>
                <w:w w:val="78"/>
              </w:rPr>
              <w:t>$</w:t>
            </w: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412,453</w:t>
            </w: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380,912</w:t>
            </w:r>
          </w:p>
        </w:tc>
      </w:tr>
      <w:tr>
        <w:trPr>
          <w:trHeight w:val="243"/>
        </w:trPr>
        <w:tc>
          <w:tcPr>
            <w:tcW w:w="280" w:type="dxa"/>
            <w:vAlign w:val="bottom"/>
          </w:tcPr>
          <w:p>
            <w:pPr>
              <w:jc w:val="right"/>
              <w:ind w:right="176"/>
              <w:spacing w:after="0"/>
              <w:rPr>
                <w:sz w:val="20"/>
                <w:szCs w:val="20"/>
                <w:color w:val="auto"/>
              </w:rPr>
            </w:pPr>
            <w:r>
              <w:rPr>
                <w:rFonts w:ascii="Arial" w:cs="Arial" w:eastAsia="Arial" w:hAnsi="Arial"/>
                <w:sz w:val="9"/>
                <w:szCs w:val="9"/>
                <w:color w:val="auto"/>
                <w:w w:val="78"/>
              </w:rPr>
              <w:t>$</w:t>
            </w: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106,422</w:t>
            </w:r>
          </w:p>
        </w:tc>
        <w:tc>
          <w:tcPr>
            <w:tcW w:w="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96,774</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68,892</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64,121</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3,491</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3,417</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49</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381</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337</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536</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535</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73,300</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68,459</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51,410</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46,360</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25,084</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22,314</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5,868</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5,443</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496"/>
              <w:spacing w:after="0" w:line="88" w:lineRule="exact"/>
              <w:rPr>
                <w:sz w:val="20"/>
                <w:szCs w:val="20"/>
                <w:color w:val="auto"/>
              </w:rPr>
            </w:pPr>
            <w:r>
              <w:rPr>
                <w:rFonts w:ascii="Arial" w:cs="Arial" w:eastAsia="Arial" w:hAnsi="Arial"/>
                <w:sz w:val="9"/>
                <w:szCs w:val="9"/>
                <w:color w:val="auto"/>
              </w:rPr>
              <w:t>(6,112)</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9"/>
                <w:szCs w:val="9"/>
                <w:color w:val="auto"/>
              </w:rPr>
              <w:t>(5,636)</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24,840</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22,121</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766</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9"/>
                <w:szCs w:val="9"/>
                <w:color w:val="auto"/>
              </w:rPr>
              <w:t>(521)</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25,606</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21,600</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803</w:t>
            </w:r>
          </w:p>
        </w:tc>
        <w:tc>
          <w:tcPr>
            <w:tcW w:w="80" w:type="dxa"/>
            <w:vAlign w:val="bottom"/>
          </w:tcPr>
          <w:p>
            <w:pPr>
              <w:spacing w:after="0"/>
              <w:rPr>
                <w:sz w:val="12"/>
                <w:szCs w:val="12"/>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1,272</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198</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416</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1,001</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1,688</w:t>
            </w:r>
          </w:p>
        </w:tc>
      </w:tr>
      <w:tr>
        <w:trPr>
          <w:trHeight w:val="36"/>
        </w:trPr>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98"/>
        </w:trPr>
        <w:tc>
          <w:tcPr>
            <w:tcW w:w="280" w:type="dxa"/>
            <w:vAlign w:val="bottom"/>
            <w:tcBorders>
              <w:bottom w:val="single" w:sz="8" w:color="auto"/>
            </w:tcBorders>
          </w:tcPr>
          <w:p>
            <w:pPr>
              <w:jc w:val="right"/>
              <w:ind w:right="176"/>
              <w:spacing w:after="0" w:line="88" w:lineRule="exact"/>
              <w:rPr>
                <w:sz w:val="20"/>
                <w:szCs w:val="20"/>
                <w:color w:val="auto"/>
              </w:rPr>
            </w:pPr>
            <w:r>
              <w:rPr>
                <w:rFonts w:ascii="Arial" w:cs="Arial" w:eastAsia="Arial" w:hAnsi="Arial"/>
                <w:sz w:val="9"/>
                <w:szCs w:val="9"/>
                <w:color w:val="auto"/>
                <w:w w:val="78"/>
              </w:rPr>
              <w:t>$</w:t>
            </w: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257,739</w:t>
            </w: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234,881</w:t>
            </w:r>
          </w:p>
        </w:tc>
      </w:tr>
      <w:tr>
        <w:trPr>
          <w:trHeight w:val="243"/>
        </w:trPr>
        <w:tc>
          <w:tcPr>
            <w:tcW w:w="280" w:type="dxa"/>
            <w:vAlign w:val="bottom"/>
          </w:tcPr>
          <w:p>
            <w:pPr>
              <w:jc w:val="right"/>
              <w:ind w:right="176"/>
              <w:spacing w:after="0"/>
              <w:rPr>
                <w:sz w:val="20"/>
                <w:szCs w:val="20"/>
                <w:color w:val="auto"/>
              </w:rPr>
            </w:pPr>
            <w:r>
              <w:rPr>
                <w:rFonts w:ascii="Arial" w:cs="Arial" w:eastAsia="Arial" w:hAnsi="Arial"/>
                <w:sz w:val="9"/>
                <w:szCs w:val="9"/>
                <w:color w:val="auto"/>
                <w:w w:val="78"/>
              </w:rPr>
              <w:t>$</w:t>
            </w: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52,873</w:t>
            </w:r>
          </w:p>
        </w:tc>
        <w:tc>
          <w:tcPr>
            <w:tcW w:w="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48,141</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48</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226</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1,992</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1,697</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536"/>
              <w:spacing w:after="0"/>
              <w:rPr>
                <w:sz w:val="20"/>
                <w:szCs w:val="20"/>
                <w:color w:val="auto"/>
              </w:rPr>
            </w:pPr>
            <w:r>
              <w:rPr>
                <w:rFonts w:ascii="Arial" w:cs="Arial" w:eastAsia="Arial" w:hAnsi="Arial"/>
                <w:sz w:val="9"/>
                <w:szCs w:val="9"/>
                <w:color w:val="auto"/>
              </w:rPr>
              <w:t>1,936</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1,405</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496"/>
              <w:spacing w:after="0"/>
              <w:rPr>
                <w:sz w:val="20"/>
                <w:szCs w:val="20"/>
                <w:color w:val="auto"/>
              </w:rPr>
            </w:pPr>
            <w:r>
              <w:rPr>
                <w:rFonts w:ascii="Arial" w:cs="Arial" w:eastAsia="Arial" w:hAnsi="Arial"/>
                <w:sz w:val="9"/>
                <w:szCs w:val="9"/>
                <w:color w:val="auto"/>
              </w:rPr>
              <w:t>(2,713)</w:t>
            </w:r>
          </w:p>
        </w:tc>
        <w:tc>
          <w:tcPr>
            <w:tcW w:w="80" w:type="dxa"/>
            <w:vAlign w:val="bottom"/>
          </w:tcPr>
          <w:p>
            <w:pPr>
              <w:spacing w:after="0"/>
              <w:rPr>
                <w:sz w:val="9"/>
                <w:szCs w:val="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9"/>
                <w:szCs w:val="9"/>
                <w:color w:val="auto"/>
              </w:rPr>
              <w:t>(2,112)</w:t>
            </w:r>
          </w:p>
        </w:tc>
      </w:tr>
      <w:tr>
        <w:trPr>
          <w:trHeight w:val="108"/>
        </w:trPr>
        <w:tc>
          <w:tcPr>
            <w:tcW w:w="2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4"/>
          </w:tcPr>
          <w:p>
            <w:pPr>
              <w:jc w:val="right"/>
              <w:ind w:right="496"/>
              <w:spacing w:after="0" w:line="88" w:lineRule="exact"/>
              <w:rPr>
                <w:sz w:val="20"/>
                <w:szCs w:val="20"/>
                <w:color w:val="auto"/>
              </w:rPr>
            </w:pPr>
            <w:r>
              <w:rPr>
                <w:rFonts w:ascii="Arial" w:cs="Arial" w:eastAsia="Arial" w:hAnsi="Arial"/>
                <w:sz w:val="9"/>
                <w:szCs w:val="9"/>
                <w:color w:val="auto"/>
              </w:rPr>
              <w:t>(1,951)</w:t>
            </w: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9"/>
                <w:szCs w:val="9"/>
                <w:color w:val="auto"/>
              </w:rPr>
              <w:t>(1,344)</w:t>
            </w:r>
          </w:p>
        </w:tc>
      </w:tr>
      <w:tr>
        <w:trPr>
          <w:trHeight w:val="98"/>
        </w:trPr>
        <w:tc>
          <w:tcPr>
            <w:tcW w:w="280" w:type="dxa"/>
            <w:vAlign w:val="bottom"/>
          </w:tcPr>
          <w:p>
            <w:pPr>
              <w:spacing w:after="0"/>
              <w:rPr>
                <w:sz w:val="8"/>
                <w:szCs w:val="8"/>
                <w:color w:val="auto"/>
              </w:rPr>
            </w:pPr>
          </w:p>
        </w:tc>
        <w:tc>
          <w:tcPr>
            <w:tcW w:w="1480" w:type="dxa"/>
            <w:vAlign w:val="bottom"/>
            <w:gridSpan w:val="4"/>
          </w:tcPr>
          <w:p>
            <w:pPr>
              <w:jc w:val="right"/>
              <w:ind w:right="536"/>
              <w:spacing w:after="0" w:line="98" w:lineRule="exact"/>
              <w:rPr>
                <w:sz w:val="20"/>
                <w:szCs w:val="20"/>
                <w:color w:val="auto"/>
              </w:rPr>
            </w:pPr>
            <w:r>
              <w:rPr>
                <w:rFonts w:ascii="Arial" w:cs="Arial" w:eastAsia="Arial" w:hAnsi="Arial"/>
                <w:sz w:val="9"/>
                <w:szCs w:val="9"/>
                <w:color w:val="auto"/>
              </w:rPr>
              <w:t>52,185</w:t>
            </w:r>
          </w:p>
        </w:tc>
        <w:tc>
          <w:tcPr>
            <w:tcW w:w="80" w:type="dxa"/>
            <w:vAlign w:val="bottom"/>
          </w:tcPr>
          <w:p>
            <w:pPr>
              <w:spacing w:after="0"/>
              <w:rPr>
                <w:sz w:val="8"/>
                <w:szCs w:val="8"/>
                <w:color w:val="auto"/>
              </w:rPr>
            </w:pPr>
          </w:p>
        </w:tc>
        <w:tc>
          <w:tcPr>
            <w:tcW w:w="98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48,013</w:t>
            </w:r>
          </w:p>
        </w:tc>
      </w:tr>
      <w:tr>
        <w:trPr>
          <w:trHeight w:val="145"/>
        </w:trPr>
        <w:tc>
          <w:tcPr>
            <w:tcW w:w="280" w:type="dxa"/>
            <w:vAlign w:val="bottom"/>
          </w:tcPr>
          <w:p>
            <w:pPr>
              <w:spacing w:after="0"/>
              <w:rPr>
                <w:sz w:val="12"/>
                <w:szCs w:val="12"/>
                <w:color w:val="auto"/>
              </w:rPr>
            </w:pPr>
          </w:p>
        </w:tc>
        <w:tc>
          <w:tcPr>
            <w:tcW w:w="1480" w:type="dxa"/>
            <w:vAlign w:val="bottom"/>
            <w:gridSpan w:val="4"/>
          </w:tcPr>
          <w:p>
            <w:pPr>
              <w:jc w:val="right"/>
              <w:ind w:right="496"/>
              <w:spacing w:after="0"/>
              <w:rPr>
                <w:sz w:val="20"/>
                <w:szCs w:val="20"/>
                <w:color w:val="auto"/>
              </w:rPr>
            </w:pPr>
            <w:r>
              <w:rPr>
                <w:rFonts w:ascii="Arial" w:cs="Arial" w:eastAsia="Arial" w:hAnsi="Arial"/>
                <w:sz w:val="9"/>
                <w:szCs w:val="9"/>
                <w:color w:val="auto"/>
              </w:rPr>
              <w:t>(7,194)</w:t>
            </w:r>
          </w:p>
        </w:tc>
        <w:tc>
          <w:tcPr>
            <w:tcW w:w="8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9"/>
                <w:szCs w:val="9"/>
                <w:color w:val="auto"/>
              </w:rPr>
              <w:t>(101)</w:t>
            </w:r>
          </w:p>
        </w:tc>
      </w:tr>
      <w:tr>
        <w:trPr>
          <w:trHeight w:val="109"/>
        </w:trPr>
        <w:tc>
          <w:tcPr>
            <w:tcW w:w="280" w:type="dxa"/>
            <w:vAlign w:val="bottom"/>
          </w:tcPr>
          <w:p>
            <w:pPr>
              <w:spacing w:after="0"/>
              <w:rPr>
                <w:sz w:val="9"/>
                <w:szCs w:val="9"/>
                <w:color w:val="auto"/>
              </w:rPr>
            </w:pPr>
          </w:p>
        </w:tc>
        <w:tc>
          <w:tcPr>
            <w:tcW w:w="1480" w:type="dxa"/>
            <w:vAlign w:val="bottom"/>
            <w:gridSpan w:val="4"/>
          </w:tcPr>
          <w:p>
            <w:pPr>
              <w:jc w:val="right"/>
              <w:ind w:right="496"/>
              <w:spacing w:after="0"/>
              <w:rPr>
                <w:sz w:val="20"/>
                <w:szCs w:val="20"/>
                <w:color w:val="auto"/>
              </w:rPr>
            </w:pPr>
            <w:r>
              <w:rPr>
                <w:rFonts w:ascii="Arial" w:cs="Arial" w:eastAsia="Arial" w:hAnsi="Arial"/>
                <w:sz w:val="9"/>
                <w:szCs w:val="9"/>
                <w:color w:val="auto"/>
              </w:rPr>
              <w:t>(695)</w:t>
            </w:r>
          </w:p>
        </w:tc>
        <w:tc>
          <w:tcPr>
            <w:tcW w:w="80" w:type="dxa"/>
            <w:vAlign w:val="bottom"/>
          </w:tcPr>
          <w:p>
            <w:pPr>
              <w:spacing w:after="0"/>
              <w:rPr>
                <w:sz w:val="9"/>
                <w:szCs w:val="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9"/>
                <w:szCs w:val="9"/>
                <w:color w:val="auto"/>
              </w:rPr>
              <w:t>761</w:t>
            </w:r>
          </w:p>
        </w:tc>
      </w:tr>
      <w:tr>
        <w:trPr>
          <w:trHeight w:val="36"/>
        </w:trPr>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98"/>
        </w:trPr>
        <w:tc>
          <w:tcPr>
            <w:tcW w:w="280" w:type="dxa"/>
            <w:vAlign w:val="bottom"/>
            <w:tcBorders>
              <w:bottom w:val="single" w:sz="8" w:color="auto"/>
            </w:tcBorders>
          </w:tcPr>
          <w:p>
            <w:pPr>
              <w:jc w:val="right"/>
              <w:ind w:right="176"/>
              <w:spacing w:after="0" w:line="88" w:lineRule="exact"/>
              <w:rPr>
                <w:sz w:val="20"/>
                <w:szCs w:val="20"/>
                <w:color w:val="auto"/>
              </w:rPr>
            </w:pPr>
            <w:r>
              <w:rPr>
                <w:rFonts w:ascii="Arial" w:cs="Arial" w:eastAsia="Arial" w:hAnsi="Arial"/>
                <w:sz w:val="9"/>
                <w:szCs w:val="9"/>
                <w:color w:val="auto"/>
                <w:w w:val="78"/>
              </w:rPr>
              <w:t>$</w:t>
            </w: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44,296</w:t>
            </w: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48,673</w:t>
            </w:r>
          </w:p>
        </w:tc>
      </w:tr>
      <w:tr>
        <w:trPr>
          <w:trHeight w:val="25"/>
        </w:trPr>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98"/>
        </w:trPr>
        <w:tc>
          <w:tcPr>
            <w:tcW w:w="280" w:type="dxa"/>
            <w:vAlign w:val="bottom"/>
            <w:tcBorders>
              <w:bottom w:val="single" w:sz="8" w:color="auto"/>
            </w:tcBorders>
          </w:tcPr>
          <w:p>
            <w:pPr>
              <w:jc w:val="right"/>
              <w:ind w:right="176"/>
              <w:spacing w:after="0" w:line="88" w:lineRule="exact"/>
              <w:rPr>
                <w:sz w:val="20"/>
                <w:szCs w:val="20"/>
                <w:color w:val="auto"/>
              </w:rPr>
            </w:pPr>
            <w:r>
              <w:rPr>
                <w:rFonts w:ascii="Arial" w:cs="Arial" w:eastAsia="Arial" w:hAnsi="Arial"/>
                <w:sz w:val="9"/>
                <w:szCs w:val="9"/>
                <w:color w:val="auto"/>
                <w:w w:val="78"/>
              </w:rPr>
              <w:t>$</w:t>
            </w:r>
          </w:p>
        </w:tc>
        <w:tc>
          <w:tcPr>
            <w:tcW w:w="1480" w:type="dxa"/>
            <w:vAlign w:val="bottom"/>
            <w:tcBorders>
              <w:bottom w:val="single" w:sz="8" w:color="auto"/>
            </w:tcBorders>
            <w:gridSpan w:val="4"/>
          </w:tcPr>
          <w:p>
            <w:pPr>
              <w:jc w:val="right"/>
              <w:ind w:right="536"/>
              <w:spacing w:after="0" w:line="88" w:lineRule="exact"/>
              <w:rPr>
                <w:sz w:val="20"/>
                <w:szCs w:val="20"/>
                <w:color w:val="auto"/>
              </w:rPr>
            </w:pPr>
            <w:r>
              <w:rPr>
                <w:rFonts w:ascii="Arial" w:cs="Arial" w:eastAsia="Arial" w:hAnsi="Arial"/>
                <w:sz w:val="9"/>
                <w:szCs w:val="9"/>
                <w:color w:val="auto"/>
              </w:rPr>
              <w:t>271,583</w:t>
            </w: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right"/>
              <w:ind w:right="120"/>
              <w:spacing w:after="0" w:line="88" w:lineRule="exact"/>
              <w:rPr>
                <w:sz w:val="20"/>
                <w:szCs w:val="20"/>
                <w:color w:val="auto"/>
              </w:rPr>
            </w:pPr>
            <w:r>
              <w:rPr>
                <w:rFonts w:ascii="Arial" w:cs="Arial" w:eastAsia="Arial" w:hAnsi="Arial"/>
                <w:sz w:val="9"/>
                <w:szCs w:val="9"/>
                <w:color w:val="auto"/>
              </w:rPr>
              <w:t>247,796</w:t>
            </w:r>
          </w:p>
        </w:tc>
      </w:tr>
    </w:tbl>
    <w:p>
      <w:pPr>
        <w:spacing w:after="0" w:line="387" w:lineRule="exact"/>
        <w:rPr>
          <w:sz w:val="20"/>
          <w:szCs w:val="20"/>
          <w:color w:val="auto"/>
        </w:rPr>
      </w:pPr>
    </w:p>
    <w:p>
      <w:pPr>
        <w:sectPr>
          <w:pgSz w:w="11900" w:h="16838" w:orient="portrait"/>
          <w:cols w:equalWidth="0" w:num="2">
            <w:col w:w="7768" w:space="720"/>
            <w:col w:w="2820"/>
          </w:cols>
          <w:pgMar w:left="292" w:top="743" w:right="299" w:bottom="1440" w:gutter="0" w:footer="0" w:header="0"/>
          <w:type w:val="continuous"/>
        </w:sectPr>
      </w:pPr>
    </w:p>
    <w:p>
      <w:pPr>
        <w:ind w:left="8" w:right="840" w:hanging="8"/>
        <w:spacing w:after="0" w:line="259" w:lineRule="auto"/>
        <w:tabs>
          <w:tab w:leader="none" w:pos="309" w:val="left"/>
        </w:tabs>
        <w:numPr>
          <w:ilvl w:val="0"/>
          <w:numId w:val="36"/>
        </w:numPr>
        <w:rPr>
          <w:rFonts w:ascii="Arial" w:cs="Arial" w:eastAsia="Arial" w:hAnsi="Arial"/>
          <w:sz w:val="11"/>
          <w:szCs w:val="11"/>
          <w:color w:val="auto"/>
          <w:vertAlign w:val="superscript"/>
        </w:rPr>
      </w:pPr>
      <w:r>
        <w:rPr>
          <w:rFonts w:ascii="Arial" w:cs="Arial" w:eastAsia="Arial" w:hAnsi="Arial"/>
          <w:sz w:val="8"/>
          <w:szCs w:val="8"/>
          <w:color w:val="auto"/>
        </w:rPr>
        <w:t xml:space="preserve">The change in value of participant obligations within Regency’s non-qualified deferred compensation plan is included in General and administrative expense, which is offset by changes in value of assets held in the plan which is included in Net investment (income) expense. </w:t>
      </w:r>
      <w:r>
        <w:rPr>
          <w:rFonts w:ascii="Arial" w:cs="Arial" w:eastAsia="Arial" w:hAnsi="Arial"/>
          <w:sz w:val="9"/>
          <w:szCs w:val="9"/>
          <w:color w:val="auto"/>
        </w:rPr>
        <w:t>These consolidated supplemental details of operations should be read in conjunction with the Company's most recent Form 10-Q and Form 10-K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-6350</wp:posOffset>
            </wp:positionV>
            <wp:extent cx="281305" cy="149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84" w:lineRule="exact"/>
        <w:rPr>
          <w:sz w:val="20"/>
          <w:szCs w:val="20"/>
          <w:color w:val="auto"/>
        </w:rPr>
      </w:pPr>
    </w:p>
    <w:p>
      <w:pPr>
        <w:jc w:val="right"/>
        <w:ind w:right="60"/>
        <w:spacing w:after="0"/>
        <w:tabs>
          <w:tab w:leader="none" w:pos="4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type w:val="continuous"/>
        </w:sectPr>
      </w:pPr>
    </w:p>
    <w:bookmarkStart w:id="28" w:name="page29"/>
    <w:bookmarkEnd w:id="28"/>
    <w:p>
      <w:pPr>
        <w:jc w:val="center"/>
        <w:ind w:right="-7"/>
        <w:spacing w:after="0"/>
        <w:rPr>
          <w:sz w:val="20"/>
          <w:szCs w:val="20"/>
          <w:color w:val="auto"/>
        </w:rPr>
      </w:pPr>
      <w:r>
        <w:rPr>
          <w:rFonts w:ascii="Arial" w:cs="Arial" w:eastAsia="Arial" w:hAnsi="Arial"/>
          <w:sz w:val="12"/>
          <w:szCs w:val="12"/>
          <w:color w:val="auto"/>
          <w:highlight w:val="black"/>
        </w:rPr>
        <w:t xml:space="preserve">Supplemental </w:t>
      </w:r>
      <w:r>
        <w:rPr>
          <w:rFonts w:ascii="Arial" w:cs="Arial" w:eastAsia="Arial" w:hAnsi="Arial"/>
          <w:sz w:val="12"/>
          <w:szCs w:val="12"/>
          <w:color w:val="auto"/>
        </w:rPr>
        <w:t>Details of Operations (Real Estate Partnerships Only)</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For the Periods Ended March 31, 2026 and 2025</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81" w:lineRule="exact"/>
        <w:rPr>
          <w:sz w:val="20"/>
          <w:szCs w:val="20"/>
          <w:color w:val="auto"/>
        </w:rPr>
      </w:pPr>
    </w:p>
    <w:tbl>
      <w:tblPr>
        <w:tblLayout w:type="fixed"/>
        <w:tblInd w:w="288" w:type="dxa"/>
        <w:tblCellMar>
          <w:top w:w="0" w:type="dxa"/>
          <w:left w:w="0" w:type="dxa"/>
          <w:bottom w:w="0" w:type="dxa"/>
          <w:right w:w="0" w:type="dxa"/>
        </w:tblCellMar>
      </w:tblPr>
      <w:tr>
        <w:trPr>
          <w:trHeight w:val="92"/>
        </w:trPr>
        <w:tc>
          <w:tcPr>
            <w:tcW w:w="40" w:type="dxa"/>
            <w:vAlign w:val="bottom"/>
          </w:tcPr>
          <w:p>
            <w:pPr>
              <w:spacing w:after="0"/>
              <w:rPr>
                <w:sz w:val="7"/>
                <w:szCs w:val="7"/>
                <w:color w:val="auto"/>
              </w:rPr>
            </w:pPr>
          </w:p>
        </w:tc>
        <w:tc>
          <w:tcPr>
            <w:tcW w:w="6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8"/>
                <w:szCs w:val="8"/>
                <w:color w:val="auto"/>
              </w:rPr>
              <w:t>Noncontrolling Interests</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3"/>
          </w:tcPr>
          <w:p>
            <w:pPr>
              <w:jc w:val="center"/>
              <w:spacing w:after="0"/>
              <w:rPr>
                <w:sz w:val="20"/>
                <w:szCs w:val="20"/>
                <w:color w:val="auto"/>
              </w:rPr>
            </w:pPr>
            <w:r>
              <w:rPr>
                <w:rFonts w:ascii="Arial" w:cs="Arial" w:eastAsia="Arial" w:hAnsi="Arial"/>
                <w:sz w:val="8"/>
                <w:szCs w:val="8"/>
                <w:color w:val="auto"/>
              </w:rPr>
              <w:t>Share of Unconsolidated</w:t>
            </w: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3"/>
            <w:vMerge w:val="restart"/>
          </w:tcPr>
          <w:p>
            <w:pPr>
              <w:jc w:val="center"/>
              <w:ind w:right="20"/>
              <w:spacing w:after="0"/>
              <w:rPr>
                <w:sz w:val="20"/>
                <w:szCs w:val="20"/>
                <w:color w:val="auto"/>
              </w:rPr>
            </w:pPr>
            <w:r>
              <w:rPr>
                <w:rFonts w:ascii="Arial" w:cs="Arial" w:eastAsia="Arial" w:hAnsi="Arial"/>
                <w:sz w:val="8"/>
                <w:szCs w:val="8"/>
                <w:color w:val="auto"/>
              </w:rPr>
              <w:t>Real Estate Partnerships</w:t>
            </w: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6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highlight w:val="black"/>
              </w:rPr>
              <w:t>Three Months Ended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bottom w:val="single" w:sz="8" w:color="auto"/>
            </w:tcBorders>
          </w:tcPr>
          <w:p>
            <w:pPr>
              <w:jc w:val="center"/>
              <w:spacing w:after="0" w:line="71" w:lineRule="exact"/>
              <w:rPr>
                <w:sz w:val="20"/>
                <w:szCs w:val="20"/>
                <w:color w:val="auto"/>
              </w:rPr>
            </w:pPr>
            <w:r>
              <w:rPr>
                <w:rFonts w:ascii="Arial" w:cs="Arial" w:eastAsia="Arial" w:hAnsi="Arial"/>
                <w:sz w:val="8"/>
                <w:szCs w:val="8"/>
                <w:color w:val="auto"/>
                <w:highlight w:val="black"/>
              </w:rPr>
              <w:t>Three Months Ended</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6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spacing w:after="0" w:line="88" w:lineRule="exact"/>
              <w:rPr>
                <w:sz w:val="20"/>
                <w:szCs w:val="20"/>
                <w:color w:val="auto"/>
              </w:rPr>
            </w:pPr>
            <w:r>
              <w:rPr>
                <w:rFonts w:ascii="Arial" w:cs="Arial" w:eastAsia="Arial" w:hAnsi="Arial"/>
                <w:sz w:val="8"/>
                <w:szCs w:val="8"/>
                <w:color w:val="auto"/>
                <w:highlight w:val="black"/>
              </w:rPr>
              <w:t>Revenues:</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Base rent</w:t>
            </w:r>
          </w:p>
        </w:tc>
        <w:tc>
          <w:tcPr>
            <w:tcW w:w="440" w:type="dxa"/>
            <w:vAlign w:val="bottom"/>
          </w:tcPr>
          <w:p>
            <w:pPr>
              <w:jc w:val="right"/>
              <w:ind w:right="3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(2,369)</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(2,310)</w:t>
            </w:r>
          </w:p>
        </w:tc>
        <w:tc>
          <w:tcPr>
            <w:tcW w:w="5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26,445</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27,801</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Recoveries from tenants</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(879)</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(717)</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9,659</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9,905</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Percentage rent</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(9)</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858</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810</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Termination fees</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(88)</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19</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198</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Uncollectible lease income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(3)</w:t>
            </w:r>
          </w:p>
        </w:tc>
        <w:tc>
          <w:tcPr>
            <w:tcW w:w="80" w:type="dxa"/>
            <w:vAlign w:val="bottom"/>
          </w:tcPr>
          <w:p>
            <w:pPr>
              <w:spacing w:after="0"/>
              <w:rPr>
                <w:sz w:val="8"/>
                <w:szCs w:val="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39</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39"/>
              <w:spacing w:after="0"/>
              <w:rPr>
                <w:sz w:val="20"/>
                <w:szCs w:val="20"/>
                <w:color w:val="auto"/>
              </w:rPr>
            </w:pPr>
            <w:r>
              <w:rPr>
                <w:rFonts w:ascii="Arial" w:cs="Arial" w:eastAsia="Arial" w:hAnsi="Arial"/>
                <w:sz w:val="8"/>
                <w:szCs w:val="8"/>
                <w:color w:val="auto"/>
              </w:rPr>
              <w:t>(22)</w:t>
            </w:r>
          </w:p>
        </w:tc>
        <w:tc>
          <w:tcPr>
            <w:tcW w:w="100" w:type="dxa"/>
            <w:vAlign w:val="bottom"/>
          </w:tcPr>
          <w:p>
            <w:pPr>
              <w:spacing w:after="0"/>
              <w:rPr>
                <w:sz w:val="8"/>
                <w:szCs w:val="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Other lease income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(47)</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(41)</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463</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372</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Straight-line rent on lease income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(117)</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(63)</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269</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907</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Above/below market rent amortization</w:t>
            </w: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ind w:right="379"/>
              <w:spacing w:after="0" w:line="8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jc w:val="right"/>
              <w:ind w:right="120"/>
              <w:spacing w:after="0" w:line="81" w:lineRule="exact"/>
              <w:rPr>
                <w:sz w:val="20"/>
                <w:szCs w:val="20"/>
                <w:color w:val="auto"/>
              </w:rPr>
            </w:pPr>
            <w:r>
              <w:rPr>
                <w:rFonts w:ascii="Arial" w:cs="Arial" w:eastAsia="Arial" w:hAnsi="Arial"/>
                <w:sz w:val="8"/>
                <w:szCs w:val="8"/>
                <w:color w:val="auto"/>
              </w:rPr>
              <w:t>57</w:t>
            </w: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4"/>
          </w:tcPr>
          <w:p>
            <w:pPr>
              <w:jc w:val="right"/>
              <w:ind w:right="379"/>
              <w:spacing w:after="0" w:line="81" w:lineRule="exact"/>
              <w:rPr>
                <w:sz w:val="20"/>
                <w:szCs w:val="20"/>
                <w:color w:val="auto"/>
              </w:rPr>
            </w:pPr>
            <w:r>
              <w:rPr>
                <w:rFonts w:ascii="Arial" w:cs="Arial" w:eastAsia="Arial" w:hAnsi="Arial"/>
                <w:sz w:val="8"/>
                <w:szCs w:val="8"/>
                <w:color w:val="auto"/>
              </w:rPr>
              <w:t>207</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120"/>
              <w:spacing w:after="0" w:line="81" w:lineRule="exact"/>
              <w:rPr>
                <w:sz w:val="20"/>
                <w:szCs w:val="20"/>
                <w:color w:val="auto"/>
              </w:rPr>
            </w:pPr>
            <w:r>
              <w:rPr>
                <w:rFonts w:ascii="Arial" w:cs="Arial" w:eastAsia="Arial" w:hAnsi="Arial"/>
                <w:sz w:val="8"/>
                <w:szCs w:val="8"/>
                <w:color w:val="auto"/>
              </w:rPr>
              <w:t>198</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240"/>
              <w:spacing w:after="0" w:line="88" w:lineRule="exact"/>
              <w:rPr>
                <w:sz w:val="20"/>
                <w:szCs w:val="20"/>
                <w:color w:val="auto"/>
              </w:rPr>
            </w:pPr>
            <w:r>
              <w:rPr>
                <w:rFonts w:ascii="Arial" w:cs="Arial" w:eastAsia="Arial" w:hAnsi="Arial"/>
                <w:sz w:val="8"/>
                <w:szCs w:val="8"/>
                <w:color w:val="auto"/>
              </w:rPr>
              <w:t>Lease income</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(3,416)</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(3,132)</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37,898</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40,141</w:t>
            </w:r>
          </w:p>
        </w:tc>
        <w:tc>
          <w:tcPr>
            <w:tcW w:w="0" w:type="dxa"/>
            <w:vAlign w:val="bottom"/>
          </w:tcPr>
          <w:p>
            <w:pPr>
              <w:spacing w:after="0"/>
              <w:rPr>
                <w:sz w:val="1"/>
                <w:szCs w:val="1"/>
                <w:color w:val="auto"/>
              </w:rPr>
            </w:pPr>
          </w:p>
        </w:tc>
      </w:tr>
      <w:tr>
        <w:trPr>
          <w:trHeight w:val="154"/>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Other property income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(44)</w:t>
            </w: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855</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359</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Asset management fees</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jc w:val="right"/>
              <w:ind w:right="339"/>
              <w:spacing w:after="0"/>
              <w:rPr>
                <w:sz w:val="20"/>
                <w:szCs w:val="20"/>
                <w:color w:val="auto"/>
              </w:rPr>
            </w:pPr>
            <w:r>
              <w:rPr>
                <w:rFonts w:ascii="Arial" w:cs="Arial" w:eastAsia="Arial" w:hAnsi="Arial"/>
                <w:sz w:val="8"/>
                <w:szCs w:val="8"/>
                <w:color w:val="auto"/>
              </w:rPr>
              <w:t>(281)</w:t>
            </w:r>
          </w:p>
        </w:tc>
        <w:tc>
          <w:tcPr>
            <w:tcW w:w="1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8"/>
                <w:szCs w:val="8"/>
                <w:color w:val="auto"/>
              </w:rPr>
              <w:t>(261)</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340"/>
              <w:spacing w:after="0" w:line="88" w:lineRule="exact"/>
              <w:rPr>
                <w:sz w:val="20"/>
                <w:szCs w:val="20"/>
                <w:color w:val="auto"/>
              </w:rPr>
            </w:pPr>
            <w:r>
              <w:rPr>
                <w:rFonts w:ascii="Arial" w:cs="Arial" w:eastAsia="Arial" w:hAnsi="Arial"/>
                <w:sz w:val="8"/>
                <w:szCs w:val="8"/>
                <w:color w:val="auto"/>
              </w:rPr>
              <w:t>Total revenues</w:t>
            </w:r>
          </w:p>
        </w:tc>
        <w:tc>
          <w:tcPr>
            <w:tcW w:w="440" w:type="dxa"/>
            <w:vAlign w:val="bottom"/>
          </w:tcPr>
          <w:p>
            <w:pPr>
              <w:jc w:val="right"/>
              <w:ind w:right="3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(3,460)</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(3,133)</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38,472</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40,239</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120" w:type="dxa"/>
            <w:vAlign w:val="bottom"/>
          </w:tcPr>
          <w:p>
            <w:pPr>
              <w:spacing w:after="0"/>
              <w:rPr>
                <w:sz w:val="20"/>
                <w:szCs w:val="20"/>
                <w:color w:val="auto"/>
              </w:rPr>
            </w:pPr>
            <w:r>
              <w:rPr>
                <w:rFonts w:ascii="Arial" w:cs="Arial" w:eastAsia="Arial" w:hAnsi="Arial"/>
                <w:sz w:val="8"/>
                <w:szCs w:val="8"/>
                <w:color w:val="auto"/>
                <w:highlight w:val="black"/>
              </w:rPr>
              <w:t>Operating Expenses:</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Depreciation and amortization (including FF&amp;E)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(932)</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(902)</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8,951</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8,755</w:t>
            </w:r>
          </w:p>
        </w:tc>
        <w:tc>
          <w:tcPr>
            <w:tcW w:w="0" w:type="dxa"/>
            <w:vAlign w:val="bottom"/>
          </w:tcPr>
          <w:p>
            <w:pPr>
              <w:spacing w:after="0"/>
              <w:rPr>
                <w:sz w:val="1"/>
                <w:szCs w:val="1"/>
                <w:color w:val="auto"/>
              </w:rPr>
            </w:pPr>
          </w:p>
        </w:tc>
      </w:tr>
      <w:tr>
        <w:trPr>
          <w:trHeight w:val="154"/>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Operating and maintenance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(736)</w:t>
            </w: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(646)</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6,468</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6,487</w:t>
            </w:r>
          </w:p>
        </w:tc>
        <w:tc>
          <w:tcPr>
            <w:tcW w:w="0" w:type="dxa"/>
            <w:vAlign w:val="bottom"/>
          </w:tcPr>
          <w:p>
            <w:pPr>
              <w:spacing w:after="0"/>
              <w:rPr>
                <w:sz w:val="1"/>
                <w:szCs w:val="1"/>
                <w:color w:val="auto"/>
              </w:rPr>
            </w:pPr>
          </w:p>
        </w:tc>
      </w:tr>
      <w:tr>
        <w:trPr>
          <w:trHeight w:val="99"/>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Ground rent</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(38)</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(33)</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71</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69</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Straight-line rent on ground rent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(13)</w:t>
            </w:r>
          </w:p>
        </w:tc>
        <w:tc>
          <w:tcPr>
            <w:tcW w:w="80" w:type="dxa"/>
            <w:vAlign w:val="bottom"/>
          </w:tcPr>
          <w:p>
            <w:pPr>
              <w:spacing w:after="0"/>
              <w:rPr>
                <w:sz w:val="17"/>
                <w:szCs w:val="17"/>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(13)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Above/below market ground rent amortization</w:t>
            </w: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ind w:right="379"/>
              <w:spacing w:after="0" w:line="81" w:lineRule="exact"/>
              <w:rPr>
                <w:sz w:val="20"/>
                <w:szCs w:val="20"/>
                <w:color w:val="auto"/>
              </w:rPr>
            </w:pPr>
            <w:r>
              <w:rPr>
                <w:rFonts w:ascii="Arial" w:cs="Arial" w:eastAsia="Arial" w:hAnsi="Arial"/>
                <w:sz w:val="8"/>
                <w:szCs w:val="8"/>
                <w:color w:val="auto"/>
              </w:rPr>
              <w:t>-</w:t>
            </w: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jc w:val="right"/>
              <w:ind w:right="120"/>
              <w:spacing w:after="0" w:line="81" w:lineRule="exact"/>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4"/>
          </w:tcPr>
          <w:p>
            <w:pPr>
              <w:jc w:val="right"/>
              <w:ind w:right="379"/>
              <w:spacing w:after="0" w:line="81" w:lineRule="exact"/>
              <w:rPr>
                <w:sz w:val="20"/>
                <w:szCs w:val="20"/>
                <w:color w:val="auto"/>
              </w:rPr>
            </w:pPr>
            <w:r>
              <w:rPr>
                <w:rFonts w:ascii="Arial" w:cs="Arial" w:eastAsia="Arial" w:hAnsi="Arial"/>
                <w:sz w:val="8"/>
                <w:szCs w:val="8"/>
                <w:color w:val="auto"/>
              </w:rPr>
              <w:t>10</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120"/>
              <w:spacing w:after="0" w:line="81" w:lineRule="exact"/>
              <w:rPr>
                <w:sz w:val="20"/>
                <w:szCs w:val="20"/>
                <w:color w:val="auto"/>
              </w:rPr>
            </w:pPr>
            <w:r>
              <w:rPr>
                <w:rFonts w:ascii="Arial" w:cs="Arial" w:eastAsia="Arial" w:hAnsi="Arial"/>
                <w:sz w:val="8"/>
                <w:szCs w:val="8"/>
                <w:color w:val="auto"/>
              </w:rPr>
              <w:t>9</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240"/>
              <w:spacing w:after="0" w:line="88" w:lineRule="exact"/>
              <w:rPr>
                <w:sz w:val="20"/>
                <w:szCs w:val="20"/>
                <w:color w:val="auto"/>
              </w:rPr>
            </w:pPr>
            <w:r>
              <w:rPr>
                <w:rFonts w:ascii="Arial" w:cs="Arial" w:eastAsia="Arial" w:hAnsi="Arial"/>
                <w:sz w:val="8"/>
                <w:szCs w:val="8"/>
                <w:color w:val="auto"/>
              </w:rPr>
              <w:t>Property operating expense</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(787)</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(692)</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6,549</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6,565</w:t>
            </w:r>
          </w:p>
        </w:tc>
        <w:tc>
          <w:tcPr>
            <w:tcW w:w="0" w:type="dxa"/>
            <w:vAlign w:val="bottom"/>
          </w:tcPr>
          <w:p>
            <w:pPr>
              <w:spacing w:after="0"/>
              <w:rPr>
                <w:sz w:val="1"/>
                <w:szCs w:val="1"/>
                <w:color w:val="auto"/>
              </w:rPr>
            </w:pPr>
          </w:p>
        </w:tc>
      </w:tr>
      <w:tr>
        <w:trPr>
          <w:trHeight w:val="154"/>
        </w:trPr>
        <w:tc>
          <w:tcPr>
            <w:tcW w:w="40" w:type="dxa"/>
            <w:vAlign w:val="bottom"/>
          </w:tcPr>
          <w:p>
            <w:pPr>
              <w:jc w:val="right"/>
              <w:spacing w:after="0"/>
              <w:rPr>
                <w:sz w:val="20"/>
                <w:szCs w:val="20"/>
                <w:color w:val="auto"/>
              </w:rPr>
            </w:pPr>
            <w:r>
              <w:rPr>
                <w:rFonts w:ascii="Arial" w:cs="Arial" w:eastAsia="Arial" w:hAnsi="Arial"/>
                <w:sz w:val="7"/>
                <w:szCs w:val="7"/>
                <w:color w:val="auto"/>
                <w:w w:val="71"/>
              </w:rPr>
              <w:t>*</w:t>
            </w:r>
          </w:p>
        </w:tc>
        <w:tc>
          <w:tcPr>
            <w:tcW w:w="6120" w:type="dxa"/>
            <w:vAlign w:val="bottom"/>
          </w:tcPr>
          <w:p>
            <w:pPr>
              <w:ind w:left="120"/>
              <w:spacing w:after="0"/>
              <w:rPr>
                <w:sz w:val="20"/>
                <w:szCs w:val="20"/>
                <w:color w:val="auto"/>
              </w:rPr>
            </w:pPr>
            <w:r>
              <w:rPr>
                <w:rFonts w:ascii="Arial" w:cs="Arial" w:eastAsia="Arial" w:hAnsi="Arial"/>
                <w:sz w:val="8"/>
                <w:szCs w:val="8"/>
                <w:color w:val="auto"/>
              </w:rPr>
              <w:t>Real estate taxes</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(400)</w:t>
            </w:r>
          </w:p>
        </w:tc>
        <w:tc>
          <w:tcPr>
            <w:tcW w:w="8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(244)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4,758</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4,893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 xml:space="preserve">General &amp; administrative, net </w:t>
            </w:r>
            <w:r>
              <w:rPr>
                <w:rFonts w:ascii="Arial" w:cs="Arial" w:eastAsia="Arial" w:hAnsi="Arial"/>
                <w:sz w:val="11"/>
                <w:szCs w:val="11"/>
                <w:color w:val="auto"/>
                <w:vertAlign w:val="superscript"/>
              </w:rPr>
              <w:t>(1)</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54</w:t>
            </w:r>
          </w:p>
        </w:tc>
        <w:tc>
          <w:tcPr>
            <w:tcW w:w="10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72</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Other operating expenses</w:t>
            </w: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646</w:t>
            </w:r>
          </w:p>
        </w:tc>
        <w:tc>
          <w:tcPr>
            <w:tcW w:w="80" w:type="dxa"/>
            <w:vAlign w:val="bottom"/>
          </w:tcPr>
          <w:p>
            <w:pPr>
              <w:spacing w:after="0"/>
              <w:rPr>
                <w:sz w:val="9"/>
                <w:szCs w:val="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708</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269</w:t>
            </w:r>
          </w:p>
        </w:tc>
        <w:tc>
          <w:tcPr>
            <w:tcW w:w="10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333</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340"/>
              <w:spacing w:after="0" w:line="88" w:lineRule="exact"/>
              <w:rPr>
                <w:sz w:val="20"/>
                <w:szCs w:val="20"/>
                <w:color w:val="auto"/>
              </w:rPr>
            </w:pPr>
            <w:r>
              <w:rPr>
                <w:rFonts w:ascii="Arial" w:cs="Arial" w:eastAsia="Arial" w:hAnsi="Arial"/>
                <w:sz w:val="8"/>
                <w:szCs w:val="8"/>
                <w:color w:val="auto"/>
              </w:rPr>
              <w:t>Total operating expenses</w:t>
            </w:r>
          </w:p>
        </w:tc>
        <w:tc>
          <w:tcPr>
            <w:tcW w:w="440" w:type="dxa"/>
            <w:vAlign w:val="bottom"/>
          </w:tcPr>
          <w:p>
            <w:pPr>
              <w:jc w:val="right"/>
              <w:ind w:right="3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(1,473)</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(1,130)</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20,581</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20,618</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6120" w:type="dxa"/>
            <w:vAlign w:val="bottom"/>
          </w:tcPr>
          <w:p>
            <w:pPr>
              <w:spacing w:after="0"/>
              <w:rPr>
                <w:sz w:val="20"/>
                <w:szCs w:val="20"/>
                <w:color w:val="auto"/>
              </w:rPr>
            </w:pPr>
            <w:r>
              <w:rPr>
                <w:rFonts w:ascii="Arial" w:cs="Arial" w:eastAsia="Arial" w:hAnsi="Arial"/>
                <w:sz w:val="8"/>
                <w:szCs w:val="8"/>
                <w:color w:val="auto"/>
                <w:highlight w:val="black"/>
              </w:rPr>
              <w:t>Other Expense, net:</w:t>
            </w: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Gross interest expense</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(347)</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(379)</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5,637</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5,584</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Debt cost amortization</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(10)</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(13)</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199</w:t>
            </w:r>
          </w:p>
        </w:tc>
        <w:tc>
          <w:tcPr>
            <w:tcW w:w="10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219</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Debt and derivative mark-to-market amortization</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8"/>
                <w:szCs w:val="8"/>
                <w:color w:val="auto"/>
              </w:rPr>
              <w:t>(14)</w:t>
            </w:r>
          </w:p>
        </w:tc>
        <w:tc>
          <w:tcPr>
            <w:tcW w:w="80" w:type="dxa"/>
            <w:vAlign w:val="bottom"/>
          </w:tcPr>
          <w:p>
            <w:pPr>
              <w:spacing w:after="0"/>
              <w:rPr>
                <w:sz w:val="8"/>
                <w:szCs w:val="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8"/>
                <w:szCs w:val="8"/>
                <w:color w:val="auto"/>
              </w:rPr>
              <w:t>(14)</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79"/>
              <w:spacing w:after="0"/>
              <w:rPr>
                <w:sz w:val="20"/>
                <w:szCs w:val="20"/>
                <w:color w:val="auto"/>
              </w:rPr>
            </w:pPr>
            <w:r>
              <w:rPr>
                <w:rFonts w:ascii="Arial" w:cs="Arial" w:eastAsia="Arial" w:hAnsi="Arial"/>
                <w:sz w:val="8"/>
                <w:szCs w:val="8"/>
                <w:color w:val="auto"/>
              </w:rPr>
              <w:t>20</w:t>
            </w:r>
          </w:p>
        </w:tc>
        <w:tc>
          <w:tcPr>
            <w:tcW w:w="100" w:type="dxa"/>
            <w:vAlign w:val="bottom"/>
          </w:tcPr>
          <w:p>
            <w:pPr>
              <w:spacing w:after="0"/>
              <w:rPr>
                <w:sz w:val="8"/>
                <w:szCs w:val="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8"/>
                <w:szCs w:val="8"/>
                <w:color w:val="auto"/>
              </w:rPr>
              <w:t>(99)</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Capitalized interest</w:t>
            </w: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8"/>
                <w:szCs w:val="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gridSpan w:val="4"/>
          </w:tcPr>
          <w:p>
            <w:pPr>
              <w:jc w:val="right"/>
              <w:ind w:right="339"/>
              <w:spacing w:after="0"/>
              <w:rPr>
                <w:sz w:val="20"/>
                <w:szCs w:val="20"/>
                <w:color w:val="auto"/>
              </w:rPr>
            </w:pPr>
            <w:r>
              <w:rPr>
                <w:rFonts w:ascii="Arial" w:cs="Arial" w:eastAsia="Arial" w:hAnsi="Arial"/>
                <w:sz w:val="8"/>
                <w:szCs w:val="8"/>
                <w:color w:val="auto"/>
              </w:rPr>
              <w:t>(383)</w:t>
            </w:r>
          </w:p>
        </w:tc>
        <w:tc>
          <w:tcPr>
            <w:tcW w:w="100" w:type="dxa"/>
            <w:vAlign w:val="bottom"/>
          </w:tcPr>
          <w:p>
            <w:pPr>
              <w:spacing w:after="0"/>
              <w:rPr>
                <w:sz w:val="8"/>
                <w:szCs w:val="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8"/>
                <w:szCs w:val="8"/>
                <w:color w:val="auto"/>
              </w:rPr>
              <w:t>(420)</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Interest income</w:t>
            </w: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jc w:val="right"/>
              <w:ind w:right="379"/>
              <w:spacing w:after="0" w:line="81" w:lineRule="exact"/>
              <w:rPr>
                <w:sz w:val="20"/>
                <w:szCs w:val="20"/>
                <w:color w:val="auto"/>
              </w:rPr>
            </w:pPr>
            <w:r>
              <w:rPr>
                <w:rFonts w:ascii="Arial" w:cs="Arial" w:eastAsia="Arial" w:hAnsi="Arial"/>
                <w:sz w:val="8"/>
                <w:szCs w:val="8"/>
                <w:color w:val="auto"/>
              </w:rPr>
              <w:t>16</w:t>
            </w: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jc w:val="right"/>
              <w:ind w:right="120"/>
              <w:spacing w:after="0" w:line="81" w:lineRule="exact"/>
              <w:rPr>
                <w:sz w:val="20"/>
                <w:szCs w:val="20"/>
                <w:color w:val="auto"/>
              </w:rPr>
            </w:pPr>
            <w:r>
              <w:rPr>
                <w:rFonts w:ascii="Arial" w:cs="Arial" w:eastAsia="Arial" w:hAnsi="Arial"/>
                <w:sz w:val="8"/>
                <w:szCs w:val="8"/>
                <w:color w:val="auto"/>
              </w:rPr>
              <w:t>27</w:t>
            </w:r>
          </w:p>
        </w:tc>
        <w:tc>
          <w:tcPr>
            <w:tcW w:w="2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4"/>
          </w:tcPr>
          <w:p>
            <w:pPr>
              <w:jc w:val="right"/>
              <w:ind w:right="339"/>
              <w:spacing w:after="0" w:line="81" w:lineRule="exact"/>
              <w:rPr>
                <w:sz w:val="20"/>
                <w:szCs w:val="20"/>
                <w:color w:val="auto"/>
              </w:rPr>
            </w:pPr>
            <w:r>
              <w:rPr>
                <w:rFonts w:ascii="Arial" w:cs="Arial" w:eastAsia="Arial" w:hAnsi="Arial"/>
                <w:sz w:val="8"/>
                <w:szCs w:val="8"/>
                <w:color w:val="auto"/>
              </w:rPr>
              <w:t>(109)</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ind w:right="80"/>
              <w:spacing w:after="0" w:line="81" w:lineRule="exact"/>
              <w:rPr>
                <w:sz w:val="20"/>
                <w:szCs w:val="20"/>
                <w:color w:val="auto"/>
              </w:rPr>
            </w:pPr>
            <w:r>
              <w:rPr>
                <w:rFonts w:ascii="Arial" w:cs="Arial" w:eastAsia="Arial" w:hAnsi="Arial"/>
                <w:sz w:val="8"/>
                <w:szCs w:val="8"/>
                <w:color w:val="auto"/>
              </w:rPr>
              <w:t>(158)</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240"/>
              <w:spacing w:after="0" w:line="88" w:lineRule="exact"/>
              <w:rPr>
                <w:sz w:val="20"/>
                <w:szCs w:val="20"/>
                <w:color w:val="auto"/>
              </w:rPr>
            </w:pPr>
            <w:r>
              <w:rPr>
                <w:rFonts w:ascii="Arial" w:cs="Arial" w:eastAsia="Arial" w:hAnsi="Arial"/>
                <w:sz w:val="8"/>
                <w:szCs w:val="8"/>
                <w:color w:val="auto"/>
              </w:rPr>
              <w:t>Interest expense, net</w:t>
            </w: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(355)</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(379)</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5,364</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5,126</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6120" w:type="dxa"/>
            <w:vAlign w:val="bottom"/>
          </w:tcPr>
          <w:p>
            <w:pPr>
              <w:ind w:left="120"/>
              <w:spacing w:after="0"/>
              <w:rPr>
                <w:sz w:val="20"/>
                <w:szCs w:val="20"/>
                <w:color w:val="auto"/>
              </w:rPr>
            </w:pPr>
            <w:r>
              <w:rPr>
                <w:rFonts w:ascii="Arial" w:cs="Arial" w:eastAsia="Arial" w:hAnsi="Arial"/>
                <w:sz w:val="8"/>
                <w:szCs w:val="8"/>
                <w:color w:val="auto"/>
              </w:rPr>
              <w:t>Gain on sale of real estate</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4"/>
          </w:tcPr>
          <w:p>
            <w:pPr>
              <w:jc w:val="right"/>
              <w:ind w:right="339"/>
              <w:spacing w:after="0"/>
              <w:rPr>
                <w:sz w:val="20"/>
                <w:szCs w:val="20"/>
                <w:color w:val="auto"/>
              </w:rPr>
            </w:pPr>
            <w:r>
              <w:rPr>
                <w:rFonts w:ascii="Arial" w:cs="Arial" w:eastAsia="Arial" w:hAnsi="Arial"/>
                <w:sz w:val="8"/>
                <w:szCs w:val="8"/>
                <w:color w:val="auto"/>
              </w:rPr>
              <w:t>(9,853)</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61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120" w:type="dxa"/>
            <w:vAlign w:val="bottom"/>
          </w:tcPr>
          <w:p>
            <w:pPr>
              <w:ind w:left="240"/>
              <w:spacing w:after="0" w:line="88" w:lineRule="exact"/>
              <w:rPr>
                <w:sz w:val="20"/>
                <w:szCs w:val="20"/>
                <w:color w:val="auto"/>
              </w:rPr>
            </w:pPr>
            <w:r>
              <w:rPr>
                <w:rFonts w:ascii="Arial" w:cs="Arial" w:eastAsia="Arial" w:hAnsi="Arial"/>
                <w:sz w:val="8"/>
                <w:szCs w:val="8"/>
                <w:color w:val="auto"/>
              </w:rPr>
              <w:t>Total other expense, net</w:t>
            </w:r>
          </w:p>
        </w:tc>
        <w:tc>
          <w:tcPr>
            <w:tcW w:w="440" w:type="dxa"/>
            <w:vAlign w:val="bottom"/>
          </w:tcPr>
          <w:p>
            <w:pPr>
              <w:jc w:val="right"/>
              <w:ind w:right="3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7"/>
                <w:szCs w:val="7"/>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(355)</w:t>
            </w:r>
          </w:p>
        </w:tc>
        <w:tc>
          <w:tcPr>
            <w:tcW w:w="80" w:type="dxa"/>
            <w:vAlign w:val="bottom"/>
          </w:tcPr>
          <w:p>
            <w:pPr>
              <w:spacing w:after="0"/>
              <w:rPr>
                <w:sz w:val="7"/>
                <w:szCs w:val="7"/>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(379)</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20" w:type="dxa"/>
            <w:vAlign w:val="bottom"/>
            <w:gridSpan w:val="4"/>
          </w:tcPr>
          <w:p>
            <w:pPr>
              <w:jc w:val="right"/>
              <w:ind w:right="339"/>
              <w:spacing w:after="0" w:line="88" w:lineRule="exact"/>
              <w:rPr>
                <w:sz w:val="20"/>
                <w:szCs w:val="20"/>
                <w:color w:val="auto"/>
              </w:rPr>
            </w:pPr>
            <w:r>
              <w:rPr>
                <w:rFonts w:ascii="Arial" w:cs="Arial" w:eastAsia="Arial" w:hAnsi="Arial"/>
                <w:sz w:val="8"/>
                <w:szCs w:val="8"/>
                <w:color w:val="auto"/>
              </w:rPr>
              <w:t>(4,489)</w:t>
            </w:r>
          </w:p>
        </w:tc>
        <w:tc>
          <w:tcPr>
            <w:tcW w:w="100" w:type="dxa"/>
            <w:vAlign w:val="bottom"/>
          </w:tcPr>
          <w:p>
            <w:pPr>
              <w:spacing w:after="0"/>
              <w:rPr>
                <w:sz w:val="7"/>
                <w:szCs w:val="7"/>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5,126</w:t>
            </w: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6120" w:type="dxa"/>
            <w:vAlign w:val="bottom"/>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40" w:type="dxa"/>
            <w:vAlign w:val="bottom"/>
          </w:tcPr>
          <w:p>
            <w:pPr>
              <w:spacing w:after="0"/>
              <w:rPr>
                <w:sz w:val="8"/>
                <w:szCs w:val="8"/>
                <w:color w:val="auto"/>
              </w:rPr>
            </w:pPr>
          </w:p>
        </w:tc>
        <w:tc>
          <w:tcPr>
            <w:tcW w:w="6120" w:type="dxa"/>
            <w:vAlign w:val="bottom"/>
          </w:tcPr>
          <w:p>
            <w:pPr>
              <w:ind w:left="440"/>
              <w:spacing w:after="0"/>
              <w:rPr>
                <w:sz w:val="20"/>
                <w:szCs w:val="20"/>
                <w:color w:val="auto"/>
              </w:rPr>
            </w:pPr>
            <w:r>
              <w:rPr>
                <w:rFonts w:ascii="Arial" w:cs="Arial" w:eastAsia="Arial" w:hAnsi="Arial"/>
                <w:sz w:val="8"/>
                <w:szCs w:val="8"/>
                <w:color w:val="auto"/>
              </w:rPr>
              <w:t>Share of NOI</w:t>
            </w:r>
          </w:p>
        </w:tc>
        <w:tc>
          <w:tcPr>
            <w:tcW w:w="440" w:type="dxa"/>
            <w:vAlign w:val="bottom"/>
          </w:tcPr>
          <w:p>
            <w:pPr>
              <w:jc w:val="right"/>
              <w:ind w:right="37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8"/>
                <w:szCs w:val="8"/>
                <w:color w:val="auto"/>
              </w:rPr>
            </w:pPr>
          </w:p>
        </w:tc>
        <w:tc>
          <w:tcPr>
            <w:tcW w:w="860" w:type="dxa"/>
            <w:vAlign w:val="bottom"/>
            <w:gridSpan w:val="2"/>
          </w:tcPr>
          <w:p>
            <w:pPr>
              <w:jc w:val="right"/>
              <w:ind w:right="339"/>
              <w:spacing w:after="0" w:line="88" w:lineRule="exact"/>
              <w:rPr>
                <w:sz w:val="20"/>
                <w:szCs w:val="20"/>
                <w:color w:val="auto"/>
              </w:rPr>
            </w:pPr>
            <w:r>
              <w:rPr>
                <w:rFonts w:ascii="Arial" w:cs="Arial" w:eastAsia="Arial" w:hAnsi="Arial"/>
                <w:sz w:val="8"/>
                <w:szCs w:val="8"/>
                <w:color w:val="auto"/>
              </w:rPr>
              <w:t>(2,169)</w:t>
            </w:r>
          </w:p>
        </w:tc>
        <w:tc>
          <w:tcPr>
            <w:tcW w:w="80" w:type="dxa"/>
            <w:vAlign w:val="bottom"/>
          </w:tcPr>
          <w:p>
            <w:pPr>
              <w:spacing w:after="0"/>
              <w:rPr>
                <w:sz w:val="8"/>
                <w:szCs w:val="8"/>
                <w:color w:val="auto"/>
              </w:rPr>
            </w:pPr>
          </w:p>
        </w:tc>
        <w:tc>
          <w:tcPr>
            <w:tcW w:w="740" w:type="dxa"/>
            <w:vAlign w:val="bottom"/>
            <w:gridSpan w:val="3"/>
          </w:tcPr>
          <w:p>
            <w:pPr>
              <w:jc w:val="right"/>
              <w:ind w:right="80"/>
              <w:spacing w:after="0" w:line="88" w:lineRule="exact"/>
              <w:rPr>
                <w:sz w:val="20"/>
                <w:szCs w:val="20"/>
                <w:color w:val="auto"/>
              </w:rPr>
            </w:pPr>
            <w:r>
              <w:rPr>
                <w:rFonts w:ascii="Arial" w:cs="Arial" w:eastAsia="Arial" w:hAnsi="Arial"/>
                <w:sz w:val="8"/>
                <w:szCs w:val="8"/>
                <w:color w:val="auto"/>
              </w:rPr>
              <w:t>(2,204)</w:t>
            </w:r>
          </w:p>
        </w:tc>
        <w:tc>
          <w:tcPr>
            <w:tcW w:w="520" w:type="dxa"/>
            <w:vAlign w:val="bottom"/>
            <w:gridSpan w:val="2"/>
          </w:tcPr>
          <w:p>
            <w:pPr>
              <w:jc w:val="right"/>
              <w:ind w:right="200"/>
              <w:spacing w:after="0" w:line="88" w:lineRule="exact"/>
              <w:rPr>
                <w:sz w:val="20"/>
                <w:szCs w:val="20"/>
                <w:color w:val="auto"/>
              </w:rPr>
            </w:pPr>
            <w:r>
              <w:rPr>
                <w:rFonts w:ascii="Arial" w:cs="Arial" w:eastAsia="Arial" w:hAnsi="Arial"/>
                <w:sz w:val="8"/>
                <w:szCs w:val="8"/>
                <w:color w:val="auto"/>
              </w:rPr>
              <w:t>$</w:t>
            </w:r>
          </w:p>
        </w:tc>
        <w:tc>
          <w:tcPr>
            <w:tcW w:w="1220" w:type="dxa"/>
            <w:vAlign w:val="bottom"/>
            <w:gridSpan w:val="4"/>
          </w:tcPr>
          <w:p>
            <w:pPr>
              <w:jc w:val="right"/>
              <w:ind w:right="379"/>
              <w:spacing w:after="0" w:line="88" w:lineRule="exact"/>
              <w:rPr>
                <w:sz w:val="20"/>
                <w:szCs w:val="20"/>
                <w:color w:val="auto"/>
              </w:rPr>
            </w:pPr>
            <w:r>
              <w:rPr>
                <w:rFonts w:ascii="Arial" w:cs="Arial" w:eastAsia="Arial" w:hAnsi="Arial"/>
                <w:sz w:val="8"/>
                <w:szCs w:val="8"/>
                <w:color w:val="auto"/>
              </w:rPr>
              <w:t>26,980</w:t>
            </w:r>
          </w:p>
        </w:tc>
        <w:tc>
          <w:tcPr>
            <w:tcW w:w="100" w:type="dxa"/>
            <w:vAlign w:val="bottom"/>
          </w:tcPr>
          <w:p>
            <w:pPr>
              <w:spacing w:after="0"/>
              <w:rPr>
                <w:sz w:val="8"/>
                <w:szCs w:val="8"/>
                <w:color w:val="auto"/>
              </w:rPr>
            </w:pPr>
          </w:p>
        </w:tc>
        <w:tc>
          <w:tcPr>
            <w:tcW w:w="72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27,946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8"/>
        <w:spacing w:after="0"/>
        <w:rPr>
          <w:sz w:val="20"/>
          <w:szCs w:val="20"/>
          <w:color w:val="auto"/>
        </w:rPr>
      </w:pPr>
      <w:r>
        <w:rPr>
          <w:rFonts w:ascii="Arial" w:cs="Arial" w:eastAsia="Arial" w:hAnsi="Arial"/>
          <w:sz w:val="8"/>
          <w:szCs w:val="8"/>
          <w:color w:val="auto"/>
        </w:rPr>
        <w:t>* Component of Net Operating Income</w:t>
      </w:r>
    </w:p>
    <w:p>
      <w:pPr>
        <w:ind w:left="308" w:hanging="308"/>
        <w:spacing w:after="0" w:line="205" w:lineRule="auto"/>
        <w:tabs>
          <w:tab w:leader="none" w:pos="308" w:val="left"/>
        </w:tabs>
        <w:numPr>
          <w:ilvl w:val="0"/>
          <w:numId w:val="37"/>
        </w:numPr>
        <w:rPr>
          <w:rFonts w:ascii="Arial" w:cs="Arial" w:eastAsia="Arial" w:hAnsi="Arial"/>
          <w:sz w:val="11"/>
          <w:szCs w:val="11"/>
          <w:color w:val="auto"/>
          <w:vertAlign w:val="superscript"/>
        </w:rPr>
      </w:pPr>
      <w:r>
        <w:rPr>
          <w:rFonts w:ascii="Arial" w:cs="Arial" w:eastAsia="Arial" w:hAnsi="Arial"/>
          <w:sz w:val="8"/>
          <w:szCs w:val="8"/>
          <w:color w:val="auto"/>
        </w:rPr>
        <w:t>General &amp; administrative, net is referenced and reflected as G&amp;A expense, net in earnings guidance on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-4445</wp:posOffset>
            </wp:positionV>
            <wp:extent cx="5842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5715"/>
                    </a:xfrm>
                    <a:prstGeom prst="rect">
                      <a:avLst/>
                    </a:prstGeom>
                    <a:noFill/>
                  </pic:spPr>
                </pic:pic>
              </a:graphicData>
            </a:graphic>
          </wp:anchor>
        </w:drawing>
      </w:r>
    </w:p>
    <w:p>
      <w:pPr>
        <w:spacing w:after="0" w:line="42" w:lineRule="exact"/>
        <w:rPr>
          <w:sz w:val="20"/>
          <w:szCs w:val="20"/>
          <w:color w:val="auto"/>
        </w:rPr>
      </w:pPr>
    </w:p>
    <w:p>
      <w:pPr>
        <w:ind w:left="8"/>
        <w:spacing w:after="0"/>
        <w:rPr>
          <w:sz w:val="20"/>
          <w:szCs w:val="20"/>
          <w:color w:val="auto"/>
        </w:rPr>
      </w:pPr>
      <w:r>
        <w:rPr>
          <w:rFonts w:ascii="Arial" w:cs="Arial" w:eastAsia="Arial" w:hAnsi="Arial"/>
          <w:sz w:val="9"/>
          <w:szCs w:val="9"/>
          <w:color w:val="auto"/>
          <w:highlight w:val="black"/>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70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0" cy="5715"/>
                    </a:xfrm>
                    <a:prstGeom prst="rect">
                      <a:avLst/>
                    </a:prstGeom>
                    <a:noFill/>
                  </pic:spPr>
                </pic:pic>
              </a:graphicData>
            </a:graphic>
          </wp:anchor>
        </w:drawing>
      </w:r>
    </w:p>
    <w:p>
      <w:pPr>
        <w:spacing w:after="0" w:line="3" w:lineRule="exact"/>
        <w:rPr>
          <w:sz w:val="20"/>
          <w:szCs w:val="20"/>
          <w:color w:val="auto"/>
        </w:rPr>
      </w:pPr>
    </w:p>
    <w:p>
      <w:pPr>
        <w:ind w:left="8" w:right="20"/>
        <w:spacing w:after="0" w:line="250" w:lineRule="auto"/>
        <w:rPr>
          <w:sz w:val="20"/>
          <w:szCs w:val="20"/>
          <w:color w:val="auto"/>
        </w:rPr>
      </w:pPr>
      <w:r>
        <w:rPr>
          <w:rFonts w:ascii="Arial" w:cs="Arial" w:eastAsia="Arial" w:hAnsi="Arial"/>
          <w:sz w:val="9"/>
          <w:szCs w:val="9"/>
          <w:color w:val="auto"/>
        </w:rPr>
        <w:t>Noncontrolling interests represent limited partners’ interests in consolidated Real Estate Partnerships’ activities. Share of Unconsolidated Real Estate Partnerships represents the Company’s share of investments in unconsolidated Real Estate Partnerships’ activities, of which each are included on a single line presentation in the Company’s consolidated financial statements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-3175</wp:posOffset>
            </wp:positionV>
            <wp:extent cx="281305" cy="149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0" w:lineRule="exact"/>
        <w:rPr>
          <w:sz w:val="20"/>
          <w:szCs w:val="20"/>
          <w:color w:val="auto"/>
        </w:rPr>
      </w:pPr>
    </w:p>
    <w:p>
      <w:pPr>
        <w:ind w:left="10268"/>
        <w:spacing w:after="0"/>
        <w:tabs>
          <w:tab w:leader="none" w:pos="1116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29" w:name="page30"/>
    <w:bookmarkEnd w:id="29"/>
    <w:p>
      <w:pPr>
        <w:jc w:val="center"/>
        <w:ind w:right="-7"/>
        <w:spacing w:after="0"/>
        <w:rPr>
          <w:sz w:val="20"/>
          <w:szCs w:val="20"/>
          <w:color w:val="auto"/>
        </w:rPr>
      </w:pPr>
      <w:r>
        <w:rPr>
          <w:rFonts w:ascii="Arial" w:cs="Arial" w:eastAsia="Arial" w:hAnsi="Arial"/>
          <w:sz w:val="12"/>
          <w:szCs w:val="12"/>
          <w:color w:val="auto"/>
          <w:highlight w:val="black"/>
        </w:rPr>
        <w:t xml:space="preserve">Supplemental </w:t>
      </w:r>
      <w:r>
        <w:rPr>
          <w:rFonts w:ascii="Arial" w:cs="Arial" w:eastAsia="Arial" w:hAnsi="Arial"/>
          <w:sz w:val="12"/>
          <w:szCs w:val="12"/>
          <w:color w:val="auto"/>
        </w:rPr>
        <w:t>Details of Same Property NOI</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For the Periods Ended March 31, 2026 and 2025</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53" w:lineRule="exact"/>
        <w:rPr>
          <w:sz w:val="20"/>
          <w:szCs w:val="20"/>
          <w:color w:val="auto"/>
        </w:rPr>
      </w:pPr>
    </w:p>
    <w:tbl>
      <w:tblPr>
        <w:tblLayout w:type="fixed"/>
        <w:tblInd w:w="18" w:type="dxa"/>
        <w:tblCellMar>
          <w:top w:w="0" w:type="dxa"/>
          <w:left w:w="0" w:type="dxa"/>
          <w:bottom w:w="0" w:type="dxa"/>
          <w:right w:w="0" w:type="dxa"/>
        </w:tblCellMar>
      </w:tblPr>
      <w:tr>
        <w:trPr>
          <w:trHeight w:val="112"/>
        </w:trPr>
        <w:tc>
          <w:tcPr>
            <w:tcW w:w="7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highlight w:val="black"/>
              </w:rPr>
              <w:t>Three Months Ended</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79"/>
        </w:trPr>
        <w:tc>
          <w:tcPr>
            <w:tcW w:w="7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2026</w:t>
            </w:r>
          </w:p>
        </w:tc>
        <w:tc>
          <w:tcPr>
            <w:tcW w:w="1400" w:type="dxa"/>
            <w:vAlign w:val="bottom"/>
            <w:gridSpan w:val="4"/>
          </w:tcPr>
          <w:p>
            <w:pPr>
              <w:spacing w:after="0"/>
              <w:rPr>
                <w:sz w:val="6"/>
                <w:szCs w:val="6"/>
                <w:color w:val="auto"/>
              </w:rPr>
            </w:pPr>
          </w:p>
        </w:tc>
        <w:tc>
          <w:tcPr>
            <w:tcW w:w="180" w:type="dxa"/>
            <w:vAlign w:val="bottom"/>
            <w:tcBorders>
              <w:bottom w:val="single" w:sz="8" w:color="auto"/>
            </w:tcBorders>
          </w:tcPr>
          <w:p>
            <w:pPr>
              <w:jc w:val="right"/>
              <w:spacing w:after="0" w:line="60" w:lineRule="exact"/>
              <w:rPr>
                <w:sz w:val="20"/>
                <w:szCs w:val="20"/>
                <w:color w:val="auto"/>
              </w:rPr>
            </w:pPr>
            <w:r>
              <w:rPr>
                <w:rFonts w:ascii="Arial" w:cs="Arial" w:eastAsia="Arial" w:hAnsi="Arial"/>
                <w:sz w:val="6"/>
                <w:szCs w:val="6"/>
                <w:color w:val="auto"/>
                <w:highlight w:val="black"/>
              </w:rPr>
              <w:t>2025</w:t>
            </w: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Borders>
              <w:bottom w:val="single" w:sz="8" w:color="auto"/>
            </w:tcBorders>
          </w:tcPr>
          <w:p>
            <w:pPr>
              <w:jc w:val="center"/>
              <w:spacing w:after="0" w:line="60" w:lineRule="exact"/>
              <w:rPr>
                <w:sz w:val="20"/>
                <w:szCs w:val="20"/>
                <w:color w:val="auto"/>
              </w:rPr>
            </w:pPr>
            <w:r>
              <w:rPr>
                <w:rFonts w:ascii="Arial" w:cs="Arial" w:eastAsia="Arial" w:hAnsi="Arial"/>
                <w:sz w:val="6"/>
                <w:szCs w:val="6"/>
                <w:color w:val="auto"/>
                <w:highlight w:val="black"/>
              </w:rPr>
              <w:t>Change</w:t>
            </w:r>
          </w:p>
        </w:tc>
        <w:tc>
          <w:tcPr>
            <w:tcW w:w="340" w:type="dxa"/>
            <w:vAlign w:val="bottom"/>
          </w:tcPr>
          <w:p>
            <w:pPr>
              <w:spacing w:after="0"/>
              <w:rPr>
                <w:sz w:val="6"/>
                <w:szCs w:val="6"/>
                <w:color w:val="auto"/>
              </w:rPr>
            </w:pPr>
          </w:p>
        </w:tc>
      </w:tr>
      <w:tr>
        <w:trPr>
          <w:trHeight w:val="88"/>
        </w:trPr>
        <w:tc>
          <w:tcPr>
            <w:tcW w:w="7200" w:type="dxa"/>
            <w:vAlign w:val="bottom"/>
          </w:tcPr>
          <w:p>
            <w:pPr>
              <w:spacing w:after="0" w:line="88" w:lineRule="exact"/>
              <w:rPr>
                <w:sz w:val="20"/>
                <w:szCs w:val="20"/>
                <w:color w:val="auto"/>
              </w:rPr>
            </w:pPr>
            <w:r>
              <w:rPr>
                <w:rFonts w:ascii="Arial" w:cs="Arial" w:eastAsia="Arial" w:hAnsi="Arial"/>
                <w:sz w:val="8"/>
                <w:szCs w:val="8"/>
                <w:color w:val="auto"/>
              </w:rPr>
              <w:t>Same Property NOI Detail:</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45"/>
        </w:trPr>
        <w:tc>
          <w:tcPr>
            <w:tcW w:w="7200" w:type="dxa"/>
            <w:vAlign w:val="bottom"/>
          </w:tcPr>
          <w:p>
            <w:pPr>
              <w:spacing w:after="0"/>
              <w:rPr>
                <w:sz w:val="20"/>
                <w:szCs w:val="20"/>
                <w:color w:val="auto"/>
              </w:rPr>
            </w:pPr>
            <w:r>
              <w:rPr>
                <w:rFonts w:ascii="Arial" w:cs="Arial" w:eastAsia="Arial" w:hAnsi="Arial"/>
                <w:sz w:val="8"/>
                <w:szCs w:val="8"/>
                <w:color w:val="auto"/>
              </w:rPr>
              <w:t>Real Estate Revenues: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Base Rent</w:t>
            </w:r>
          </w:p>
        </w:tc>
        <w:tc>
          <w:tcPr>
            <w:tcW w:w="600" w:type="dxa"/>
            <w:vAlign w:val="bottom"/>
          </w:tcPr>
          <w:p>
            <w:pPr>
              <w:jc w:val="right"/>
              <w:ind w:right="53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291,166</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281,394</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Recoveries from Tenants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109,843</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100,695</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Percentage Rent</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8,131</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7,319</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Uncollectible Lease Income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8"/>
                <w:szCs w:val="8"/>
                <w:color w:val="auto"/>
              </w:rPr>
              <w:t>(1,506)</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39"/>
              <w:spacing w:after="0"/>
              <w:rPr>
                <w:sz w:val="20"/>
                <w:szCs w:val="20"/>
                <w:color w:val="auto"/>
              </w:rPr>
            </w:pPr>
            <w:r>
              <w:rPr>
                <w:rFonts w:ascii="Arial" w:cs="Arial" w:eastAsia="Arial" w:hAnsi="Arial"/>
                <w:sz w:val="8"/>
                <w:szCs w:val="8"/>
                <w:color w:val="auto"/>
              </w:rPr>
              <w:t>(545)</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Other Lease Income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6,257</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4,665</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00"/>
        </w:trPr>
        <w:tc>
          <w:tcPr>
            <w:tcW w:w="7200" w:type="dxa"/>
            <w:vAlign w:val="bottom"/>
          </w:tcPr>
          <w:p>
            <w:pPr>
              <w:ind w:left="120"/>
              <w:spacing w:after="0"/>
              <w:rPr>
                <w:sz w:val="20"/>
                <w:szCs w:val="20"/>
                <w:color w:val="auto"/>
              </w:rPr>
            </w:pPr>
            <w:r>
              <w:rPr>
                <w:rFonts w:ascii="Arial" w:cs="Arial" w:eastAsia="Arial" w:hAnsi="Arial"/>
                <w:sz w:val="8"/>
                <w:szCs w:val="8"/>
                <w:color w:val="auto"/>
              </w:rPr>
              <w:t>Other Property Income</w:t>
            </w: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8"/>
                <w:szCs w:val="8"/>
                <w:color w:val="auto"/>
              </w:rPr>
              <w:t>3,147</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2,714</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88"/>
        </w:trPr>
        <w:tc>
          <w:tcPr>
            <w:tcW w:w="7200" w:type="dxa"/>
            <w:vAlign w:val="bottom"/>
          </w:tcPr>
          <w:p>
            <w:pPr>
              <w:ind w:left="260"/>
              <w:spacing w:after="0" w:line="89" w:lineRule="exact"/>
              <w:rPr>
                <w:sz w:val="20"/>
                <w:szCs w:val="20"/>
                <w:color w:val="auto"/>
              </w:rPr>
            </w:pPr>
            <w:r>
              <w:rPr>
                <w:rFonts w:ascii="Arial" w:cs="Arial" w:eastAsia="Arial" w:hAnsi="Arial"/>
                <w:sz w:val="8"/>
                <w:szCs w:val="8"/>
                <w:color w:val="auto"/>
              </w:rPr>
              <w:t>Total Real Estate Revenues</w:t>
            </w: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jc w:val="right"/>
              <w:ind w:right="79"/>
              <w:spacing w:after="0" w:line="89" w:lineRule="exact"/>
              <w:rPr>
                <w:sz w:val="20"/>
                <w:szCs w:val="20"/>
                <w:color w:val="auto"/>
              </w:rPr>
            </w:pPr>
            <w:r>
              <w:rPr>
                <w:rFonts w:ascii="Arial" w:cs="Arial" w:eastAsia="Arial" w:hAnsi="Arial"/>
                <w:sz w:val="8"/>
                <w:szCs w:val="8"/>
                <w:color w:val="auto"/>
              </w:rPr>
              <w:t>417,038</w:t>
            </w: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79"/>
              <w:spacing w:after="0" w:line="89" w:lineRule="exact"/>
              <w:rPr>
                <w:sz w:val="20"/>
                <w:szCs w:val="20"/>
                <w:color w:val="auto"/>
              </w:rPr>
            </w:pPr>
            <w:r>
              <w:rPr>
                <w:rFonts w:ascii="Arial" w:cs="Arial" w:eastAsia="Arial" w:hAnsi="Arial"/>
                <w:sz w:val="8"/>
                <w:szCs w:val="8"/>
                <w:color w:val="auto"/>
              </w:rPr>
              <w:t>396,242</w:t>
            </w: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34"/>
        </w:trPr>
        <w:tc>
          <w:tcPr>
            <w:tcW w:w="7200" w:type="dxa"/>
            <w:vAlign w:val="bottom"/>
          </w:tcPr>
          <w:p>
            <w:pPr>
              <w:spacing w:after="0"/>
              <w:rPr>
                <w:sz w:val="20"/>
                <w:szCs w:val="20"/>
                <w:color w:val="auto"/>
              </w:rPr>
            </w:pPr>
            <w:r>
              <w:rPr>
                <w:rFonts w:ascii="Arial" w:cs="Arial" w:eastAsia="Arial" w:hAnsi="Arial"/>
                <w:sz w:val="8"/>
                <w:szCs w:val="8"/>
                <w:color w:val="auto"/>
              </w:rPr>
              <w:t>Real Estate Operating Expenses: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Operating and Maintenance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73,058</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68,454</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Real Estate Taxes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54,684</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50,427</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00"/>
        </w:trPr>
        <w:tc>
          <w:tcPr>
            <w:tcW w:w="7200" w:type="dxa"/>
            <w:vAlign w:val="bottom"/>
          </w:tcPr>
          <w:p>
            <w:pPr>
              <w:ind w:left="120"/>
              <w:spacing w:after="0"/>
              <w:rPr>
                <w:sz w:val="20"/>
                <w:szCs w:val="20"/>
                <w:color w:val="auto"/>
              </w:rPr>
            </w:pPr>
            <w:r>
              <w:rPr>
                <w:rFonts w:ascii="Arial" w:cs="Arial" w:eastAsia="Arial" w:hAnsi="Arial"/>
                <w:sz w:val="8"/>
                <w:szCs w:val="8"/>
                <w:color w:val="auto"/>
              </w:rPr>
              <w:t>Ground Rent</w:t>
            </w: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8"/>
                <w:szCs w:val="8"/>
                <w:color w:val="auto"/>
              </w:rPr>
              <w:t>3,662</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3,688</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89"/>
        </w:trPr>
        <w:tc>
          <w:tcPr>
            <w:tcW w:w="7200" w:type="dxa"/>
            <w:vAlign w:val="bottom"/>
          </w:tcPr>
          <w:p>
            <w:pPr>
              <w:ind w:left="260"/>
              <w:spacing w:after="0" w:line="89" w:lineRule="exact"/>
              <w:rPr>
                <w:sz w:val="20"/>
                <w:szCs w:val="20"/>
                <w:color w:val="auto"/>
              </w:rPr>
            </w:pPr>
            <w:r>
              <w:rPr>
                <w:rFonts w:ascii="Arial" w:cs="Arial" w:eastAsia="Arial" w:hAnsi="Arial"/>
                <w:sz w:val="8"/>
                <w:szCs w:val="8"/>
                <w:color w:val="auto"/>
              </w:rPr>
              <w:t>Total Real Estate Operating Expenses</w:t>
            </w: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jc w:val="right"/>
              <w:ind w:right="79"/>
              <w:spacing w:after="0" w:line="89" w:lineRule="exact"/>
              <w:rPr>
                <w:sz w:val="20"/>
                <w:szCs w:val="20"/>
                <w:color w:val="auto"/>
              </w:rPr>
            </w:pPr>
            <w:r>
              <w:rPr>
                <w:rFonts w:ascii="Arial" w:cs="Arial" w:eastAsia="Arial" w:hAnsi="Arial"/>
                <w:sz w:val="8"/>
                <w:szCs w:val="8"/>
                <w:color w:val="auto"/>
              </w:rPr>
              <w:t>131,404</w:t>
            </w: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79"/>
              <w:spacing w:after="0" w:line="89" w:lineRule="exact"/>
              <w:rPr>
                <w:sz w:val="20"/>
                <w:szCs w:val="20"/>
                <w:color w:val="auto"/>
              </w:rPr>
            </w:pPr>
            <w:r>
              <w:rPr>
                <w:rFonts w:ascii="Arial" w:cs="Arial" w:eastAsia="Arial" w:hAnsi="Arial"/>
                <w:sz w:val="8"/>
                <w:szCs w:val="8"/>
                <w:color w:val="auto"/>
              </w:rPr>
              <w:t>122,569</w:t>
            </w: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41"/>
        </w:trPr>
        <w:tc>
          <w:tcPr>
            <w:tcW w:w="7200" w:type="dxa"/>
            <w:vAlign w:val="bottom"/>
          </w:tcPr>
          <w:p>
            <w:pPr>
              <w:spacing w:after="0"/>
              <w:rPr>
                <w:sz w:val="20"/>
                <w:szCs w:val="20"/>
                <w:color w:val="auto"/>
              </w:rPr>
            </w:pPr>
            <w:r>
              <w:rPr>
                <w:rFonts w:ascii="Arial" w:cs="Arial" w:eastAsia="Arial" w:hAnsi="Arial"/>
                <w:sz w:val="8"/>
                <w:szCs w:val="8"/>
                <w:color w:val="auto"/>
                <w:highlight w:val="black"/>
              </w:rPr>
              <w:t>Same Property NOI</w:t>
            </w: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8"/>
                <w:szCs w:val="8"/>
                <w:color w:val="auto"/>
              </w:rPr>
              <w:t>285,634</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273,673</w:t>
            </w:r>
          </w:p>
        </w:tc>
        <w:tc>
          <w:tcPr>
            <w:tcW w:w="620" w:type="dxa"/>
            <w:vAlign w:val="bottom"/>
            <w:gridSpan w:val="2"/>
          </w:tcPr>
          <w:p>
            <w:pPr>
              <w:jc w:val="center"/>
              <w:ind w:left="299"/>
              <w:spacing w:after="0"/>
              <w:rPr>
                <w:sz w:val="20"/>
                <w:szCs w:val="20"/>
                <w:color w:val="auto"/>
              </w:rPr>
            </w:pPr>
            <w:r>
              <w:rPr>
                <w:rFonts w:ascii="Arial" w:cs="Arial" w:eastAsia="Arial" w:hAnsi="Arial"/>
                <w:sz w:val="8"/>
                <w:szCs w:val="8"/>
                <w:color w:val="auto"/>
              </w:rPr>
              <w:t>4.4%</w:t>
            </w:r>
          </w:p>
        </w:tc>
        <w:tc>
          <w:tcPr>
            <w:tcW w:w="340" w:type="dxa"/>
            <w:vAlign w:val="bottom"/>
          </w:tcPr>
          <w:p>
            <w:pPr>
              <w:spacing w:after="0"/>
              <w:rPr>
                <w:sz w:val="12"/>
                <w:szCs w:val="12"/>
                <w:color w:val="auto"/>
              </w:rPr>
            </w:pPr>
          </w:p>
        </w:tc>
      </w:tr>
      <w:tr>
        <w:trPr>
          <w:trHeight w:val="152"/>
        </w:trPr>
        <w:tc>
          <w:tcPr>
            <w:tcW w:w="7200" w:type="dxa"/>
            <w:vAlign w:val="bottom"/>
          </w:tcPr>
          <w:p>
            <w:pPr>
              <w:spacing w:after="0"/>
              <w:rPr>
                <w:sz w:val="20"/>
                <w:szCs w:val="20"/>
                <w:color w:val="auto"/>
              </w:rPr>
            </w:pPr>
            <w:r>
              <w:rPr>
                <w:rFonts w:ascii="Arial" w:cs="Arial" w:eastAsia="Arial" w:hAnsi="Arial"/>
                <w:sz w:val="8"/>
                <w:szCs w:val="8"/>
                <w:color w:val="auto"/>
              </w:rPr>
              <w:t>Same Property NOI without Redevelopments</w:t>
            </w: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8"/>
                <w:szCs w:val="8"/>
                <w:color w:val="auto"/>
              </w:rPr>
              <w:t>242,476</w:t>
            </w:r>
          </w:p>
        </w:tc>
        <w:tc>
          <w:tcPr>
            <w:tcW w:w="3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235,922</w:t>
            </w:r>
          </w:p>
        </w:tc>
        <w:tc>
          <w:tcPr>
            <w:tcW w:w="620" w:type="dxa"/>
            <w:vAlign w:val="bottom"/>
            <w:gridSpan w:val="2"/>
          </w:tcPr>
          <w:p>
            <w:pPr>
              <w:jc w:val="center"/>
              <w:ind w:left="299"/>
              <w:spacing w:after="0"/>
              <w:rPr>
                <w:sz w:val="20"/>
                <w:szCs w:val="20"/>
                <w:color w:val="auto"/>
              </w:rPr>
            </w:pPr>
            <w:r>
              <w:rPr>
                <w:rFonts w:ascii="Arial" w:cs="Arial" w:eastAsia="Arial" w:hAnsi="Arial"/>
                <w:sz w:val="8"/>
                <w:szCs w:val="8"/>
                <w:color w:val="auto"/>
              </w:rPr>
              <w:t>2.8%</w:t>
            </w:r>
          </w:p>
        </w:tc>
        <w:tc>
          <w:tcPr>
            <w:tcW w:w="340" w:type="dxa"/>
            <w:vAlign w:val="bottom"/>
          </w:tcPr>
          <w:p>
            <w:pPr>
              <w:spacing w:after="0"/>
              <w:rPr>
                <w:sz w:val="13"/>
                <w:szCs w:val="13"/>
                <w:color w:val="auto"/>
              </w:rPr>
            </w:pPr>
          </w:p>
        </w:tc>
      </w:tr>
      <w:tr>
        <w:trPr>
          <w:trHeight w:val="144"/>
        </w:trPr>
        <w:tc>
          <w:tcPr>
            <w:tcW w:w="7200" w:type="dxa"/>
            <w:vAlign w:val="bottom"/>
          </w:tcPr>
          <w:p>
            <w:pPr>
              <w:spacing w:after="0"/>
              <w:rPr>
                <w:sz w:val="20"/>
                <w:szCs w:val="20"/>
                <w:color w:val="auto"/>
              </w:rPr>
            </w:pPr>
            <w:r>
              <w:rPr>
                <w:rFonts w:ascii="Arial" w:cs="Arial" w:eastAsia="Arial" w:hAnsi="Arial"/>
                <w:sz w:val="8"/>
                <w:szCs w:val="8"/>
                <w:color w:val="auto"/>
                <w:highlight w:val="black"/>
              </w:rPr>
              <w:t>Expense Recovery Ratio</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86.0%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84.7%</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45"/>
        </w:trPr>
        <w:tc>
          <w:tcPr>
            <w:tcW w:w="7200" w:type="dxa"/>
            <w:vAlign w:val="bottom"/>
          </w:tcPr>
          <w:p>
            <w:pPr>
              <w:spacing w:after="0"/>
              <w:rPr>
                <w:sz w:val="20"/>
                <w:szCs w:val="20"/>
                <w:color w:val="auto"/>
              </w:rPr>
            </w:pPr>
            <w:r>
              <w:rPr>
                <w:rFonts w:ascii="Arial" w:cs="Arial" w:eastAsia="Arial" w:hAnsi="Arial"/>
                <w:sz w:val="8"/>
                <w:szCs w:val="8"/>
                <w:color w:val="auto"/>
                <w:highlight w:val="black"/>
              </w:rPr>
              <w:t>NOI Margin</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68.5%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8"/>
                <w:szCs w:val="8"/>
                <w:color w:val="auto"/>
              </w:rPr>
              <w:t>69.1%</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46"/>
        </w:trPr>
        <w:tc>
          <w:tcPr>
            <w:tcW w:w="7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88"/>
        </w:trPr>
        <w:tc>
          <w:tcPr>
            <w:tcW w:w="7200" w:type="dxa"/>
            <w:vAlign w:val="bottom"/>
            <w:tcBorders>
              <w:left w:val="single" w:sz="8" w:color="auto"/>
            </w:tcBorders>
          </w:tcPr>
          <w:p>
            <w:pPr>
              <w:spacing w:after="0" w:line="88" w:lineRule="exact"/>
              <w:rPr>
                <w:sz w:val="20"/>
                <w:szCs w:val="20"/>
                <w:color w:val="auto"/>
              </w:rPr>
            </w:pPr>
            <w:r>
              <w:rPr>
                <w:rFonts w:ascii="Arial" w:cs="Arial" w:eastAsia="Arial" w:hAnsi="Arial"/>
                <w:sz w:val="8"/>
                <w:szCs w:val="8"/>
                <w:color w:val="auto"/>
              </w:rPr>
              <w:t>Percent Contribution to Same Property NOI Performance:</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r>
      <w:tr>
        <w:trPr>
          <w:trHeight w:val="99"/>
        </w:trPr>
        <w:tc>
          <w:tcPr>
            <w:tcW w:w="7200" w:type="dxa"/>
            <w:vAlign w:val="bottom"/>
            <w:tcBorders>
              <w:left w:val="single" w:sz="8" w:color="auto"/>
            </w:tcBorders>
          </w:tcPr>
          <w:p>
            <w:pPr>
              <w:ind w:left="140"/>
              <w:spacing w:after="0"/>
              <w:rPr>
                <w:sz w:val="20"/>
                <w:szCs w:val="20"/>
                <w:color w:val="auto"/>
              </w:rPr>
            </w:pPr>
            <w:r>
              <w:rPr>
                <w:rFonts w:ascii="Arial" w:cs="Arial" w:eastAsia="Arial" w:hAnsi="Arial"/>
                <w:sz w:val="8"/>
                <w:szCs w:val="8"/>
                <w:color w:val="auto"/>
              </w:rPr>
              <w:t>Base rent</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3.6%</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r>
      <w:tr>
        <w:trPr>
          <w:trHeight w:val="99"/>
        </w:trPr>
        <w:tc>
          <w:tcPr>
            <w:tcW w:w="7200" w:type="dxa"/>
            <w:vAlign w:val="bottom"/>
            <w:tcBorders>
              <w:left w:val="single" w:sz="8" w:color="auto"/>
            </w:tcBorders>
          </w:tcPr>
          <w:p>
            <w:pPr>
              <w:ind w:left="140"/>
              <w:spacing w:after="0"/>
              <w:rPr>
                <w:sz w:val="20"/>
                <w:szCs w:val="20"/>
                <w:color w:val="auto"/>
              </w:rPr>
            </w:pPr>
            <w:r>
              <w:rPr>
                <w:rFonts w:ascii="Arial" w:cs="Arial" w:eastAsia="Arial" w:hAnsi="Arial"/>
                <w:sz w:val="8"/>
                <w:szCs w:val="8"/>
                <w:color w:val="auto"/>
              </w:rPr>
              <w:t>Uncollectible lease income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-0.3%</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r>
      <w:tr>
        <w:trPr>
          <w:trHeight w:val="99"/>
        </w:trPr>
        <w:tc>
          <w:tcPr>
            <w:tcW w:w="7200" w:type="dxa"/>
            <w:vAlign w:val="bottom"/>
            <w:tcBorders>
              <w:left w:val="single" w:sz="8" w:color="auto"/>
            </w:tcBorders>
          </w:tcPr>
          <w:p>
            <w:pPr>
              <w:ind w:left="140"/>
              <w:spacing w:after="0"/>
              <w:rPr>
                <w:sz w:val="20"/>
                <w:szCs w:val="20"/>
                <w:color w:val="auto"/>
              </w:rPr>
            </w:pPr>
            <w:r>
              <w:rPr>
                <w:rFonts w:ascii="Arial" w:cs="Arial" w:eastAsia="Arial" w:hAnsi="Arial"/>
                <w:sz w:val="8"/>
                <w:szCs w:val="8"/>
                <w:color w:val="auto"/>
              </w:rPr>
              <w:t>Net expense recoveries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0.1%</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r>
      <w:tr>
        <w:trPr>
          <w:trHeight w:val="99"/>
        </w:trPr>
        <w:tc>
          <w:tcPr>
            <w:tcW w:w="7200" w:type="dxa"/>
            <w:vAlign w:val="bottom"/>
            <w:tcBorders>
              <w:left w:val="single" w:sz="8" w:color="auto"/>
            </w:tcBorders>
          </w:tcPr>
          <w:p>
            <w:pPr>
              <w:ind w:left="140"/>
              <w:spacing w:after="0"/>
              <w:rPr>
                <w:sz w:val="20"/>
                <w:szCs w:val="20"/>
                <w:color w:val="auto"/>
              </w:rPr>
            </w:pPr>
            <w:r>
              <w:rPr>
                <w:rFonts w:ascii="Arial" w:cs="Arial" w:eastAsia="Arial" w:hAnsi="Arial"/>
                <w:sz w:val="8"/>
                <w:szCs w:val="8"/>
                <w:color w:val="auto"/>
              </w:rPr>
              <w:t>Other lease / property income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spacing w:after="0"/>
              <w:rPr>
                <w:sz w:val="20"/>
                <w:szCs w:val="20"/>
                <w:color w:val="auto"/>
              </w:rPr>
            </w:pPr>
            <w:r>
              <w:rPr>
                <w:rFonts w:ascii="Arial" w:cs="Arial" w:eastAsia="Arial" w:hAnsi="Arial"/>
                <w:sz w:val="8"/>
                <w:szCs w:val="8"/>
                <w:color w:val="auto"/>
              </w:rPr>
              <w:t>0.7%</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r>
      <w:tr>
        <w:trPr>
          <w:trHeight w:val="100"/>
        </w:trPr>
        <w:tc>
          <w:tcPr>
            <w:tcW w:w="7200" w:type="dxa"/>
            <w:vAlign w:val="bottom"/>
            <w:tcBorders>
              <w:left w:val="single" w:sz="8" w:color="auto"/>
            </w:tcBorders>
          </w:tcPr>
          <w:p>
            <w:pPr>
              <w:ind w:left="140"/>
              <w:spacing w:after="0"/>
              <w:rPr>
                <w:sz w:val="20"/>
                <w:szCs w:val="20"/>
                <w:color w:val="auto"/>
              </w:rPr>
            </w:pPr>
            <w:r>
              <w:rPr>
                <w:rFonts w:ascii="Arial" w:cs="Arial" w:eastAsia="Arial" w:hAnsi="Arial"/>
                <w:sz w:val="8"/>
                <w:szCs w:val="8"/>
                <w:color w:val="auto"/>
              </w:rPr>
              <w:t>Percentage rent</w:t>
            </w: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0.3%</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r>
      <w:tr>
        <w:trPr>
          <w:trHeight w:val="89"/>
        </w:trPr>
        <w:tc>
          <w:tcPr>
            <w:tcW w:w="7200" w:type="dxa"/>
            <w:vAlign w:val="bottom"/>
            <w:tcBorders>
              <w:left w:val="single" w:sz="8" w:color="auto"/>
              <w:bottom w:val="single" w:sz="8" w:color="auto"/>
            </w:tcBorders>
          </w:tcPr>
          <w:p>
            <w:pPr>
              <w:ind w:left="140"/>
              <w:spacing w:after="0" w:line="89" w:lineRule="exact"/>
              <w:rPr>
                <w:sz w:val="20"/>
                <w:szCs w:val="20"/>
                <w:color w:val="auto"/>
              </w:rPr>
            </w:pPr>
            <w:r>
              <w:rPr>
                <w:rFonts w:ascii="Arial" w:cs="Arial" w:eastAsia="Arial" w:hAnsi="Arial"/>
                <w:sz w:val="8"/>
                <w:szCs w:val="8"/>
                <w:color w:val="auto"/>
              </w:rPr>
              <w:t>Same Property NOI (% impact)</w:t>
            </w:r>
          </w:p>
        </w:tc>
        <w:tc>
          <w:tcPr>
            <w:tcW w:w="6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gridSpan w:val="2"/>
          </w:tcPr>
          <w:p>
            <w:pPr>
              <w:jc w:val="right"/>
              <w:spacing w:after="0" w:line="89" w:lineRule="exact"/>
              <w:rPr>
                <w:sz w:val="20"/>
                <w:szCs w:val="20"/>
                <w:color w:val="auto"/>
              </w:rPr>
            </w:pPr>
            <w:r>
              <w:rPr>
                <w:rFonts w:ascii="Arial" w:cs="Arial" w:eastAsia="Arial" w:hAnsi="Arial"/>
                <w:sz w:val="8"/>
                <w:szCs w:val="8"/>
                <w:color w:val="auto"/>
              </w:rPr>
              <w:t>4.4</w:t>
            </w:r>
            <w:r>
              <w:rPr>
                <w:rFonts w:ascii="Arial" w:cs="Arial" w:eastAsia="Arial" w:hAnsi="Arial"/>
                <w:sz w:val="8"/>
                <w:szCs w:val="8"/>
                <w:color w:val="auto"/>
                <w:highlight w:val="black"/>
              </w:rPr>
              <w:t>%</w:t>
            </w: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r>
      <w:tr>
        <w:trPr>
          <w:trHeight w:val="133"/>
        </w:trPr>
        <w:tc>
          <w:tcPr>
            <w:tcW w:w="7200" w:type="dxa"/>
            <w:vAlign w:val="bottom"/>
          </w:tcPr>
          <w:p>
            <w:pPr>
              <w:spacing w:after="0"/>
              <w:rPr>
                <w:sz w:val="20"/>
                <w:szCs w:val="20"/>
                <w:color w:val="auto"/>
              </w:rPr>
            </w:pPr>
            <w:r>
              <w:rPr>
                <w:rFonts w:ascii="Arial" w:cs="Arial" w:eastAsia="Arial" w:hAnsi="Arial"/>
                <w:sz w:val="8"/>
                <w:szCs w:val="8"/>
                <w:color w:val="auto"/>
              </w:rPr>
              <w:t>Reconciliation of Net Income Attributable to Common Shareholders to Same Property NOI:</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45"/>
        </w:trPr>
        <w:tc>
          <w:tcPr>
            <w:tcW w:w="7200" w:type="dxa"/>
            <w:vAlign w:val="bottom"/>
          </w:tcPr>
          <w:p>
            <w:pPr>
              <w:spacing w:after="0"/>
              <w:rPr>
                <w:sz w:val="20"/>
                <w:szCs w:val="20"/>
                <w:color w:val="auto"/>
              </w:rPr>
            </w:pPr>
            <w:r>
              <w:rPr>
                <w:rFonts w:ascii="Arial" w:cs="Arial" w:eastAsia="Arial" w:hAnsi="Arial"/>
                <w:sz w:val="8"/>
                <w:szCs w:val="8"/>
                <w:color w:val="auto"/>
              </w:rPr>
              <w:t>Net income attributable to common shareholders</w:t>
            </w:r>
          </w:p>
        </w:tc>
        <w:tc>
          <w:tcPr>
            <w:tcW w:w="600" w:type="dxa"/>
            <w:vAlign w:val="bottom"/>
          </w:tcPr>
          <w:p>
            <w:pPr>
              <w:jc w:val="right"/>
              <w:ind w:right="534"/>
              <w:spacing w:after="0"/>
              <w:rPr>
                <w:sz w:val="20"/>
                <w:szCs w:val="20"/>
                <w:color w:val="auto"/>
              </w:rPr>
            </w:pPr>
            <w:r>
              <w:rPr>
                <w:rFonts w:ascii="Arial" w:cs="Arial" w:eastAsia="Arial" w:hAnsi="Arial"/>
                <w:sz w:val="5"/>
                <w:szCs w:val="5"/>
                <w:color w:val="auto"/>
                <w:w w:val="70"/>
              </w:rPr>
              <w:t>$</w:t>
            </w:r>
          </w:p>
        </w:tc>
        <w:tc>
          <w:tcPr>
            <w:tcW w:w="180" w:type="dxa"/>
            <w:vAlign w:val="bottom"/>
          </w:tcPr>
          <w:p>
            <w:pPr>
              <w:spacing w:after="0"/>
              <w:rPr>
                <w:sz w:val="12"/>
                <w:szCs w:val="12"/>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125,136</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106,174</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99"/>
        </w:trPr>
        <w:tc>
          <w:tcPr>
            <w:tcW w:w="7200" w:type="dxa"/>
            <w:vAlign w:val="bottom"/>
          </w:tcPr>
          <w:p>
            <w:pPr>
              <w:ind w:left="120"/>
              <w:spacing w:after="0"/>
              <w:rPr>
                <w:sz w:val="20"/>
                <w:szCs w:val="20"/>
                <w:color w:val="auto"/>
              </w:rPr>
            </w:pPr>
            <w:r>
              <w:rPr>
                <w:rFonts w:ascii="Arial" w:cs="Arial" w:eastAsia="Arial" w:hAnsi="Arial"/>
                <w:sz w:val="8"/>
                <w:szCs w:val="8"/>
                <w:color w:val="auto"/>
              </w:rPr>
              <w:t>Less: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260"/>
              <w:spacing w:after="0"/>
              <w:rPr>
                <w:sz w:val="20"/>
                <w:szCs w:val="20"/>
                <w:color w:val="auto"/>
              </w:rPr>
            </w:pPr>
            <w:r>
              <w:rPr>
                <w:rFonts w:ascii="Arial" w:cs="Arial" w:eastAsia="Arial" w:hAnsi="Arial"/>
                <w:sz w:val="8"/>
                <w:szCs w:val="8"/>
                <w:color w:val="auto"/>
              </w:rPr>
              <w:t>Management, transaction, and other fees</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8"/>
                <w:szCs w:val="8"/>
                <w:color w:val="auto"/>
              </w:rPr>
              <w:t>(6,933)</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39"/>
              <w:spacing w:after="0"/>
              <w:rPr>
                <w:sz w:val="20"/>
                <w:szCs w:val="20"/>
                <w:color w:val="auto"/>
              </w:rPr>
            </w:pPr>
            <w:r>
              <w:rPr>
                <w:rFonts w:ascii="Arial" w:cs="Arial" w:eastAsia="Arial" w:hAnsi="Arial"/>
                <w:sz w:val="8"/>
                <w:szCs w:val="8"/>
                <w:color w:val="auto"/>
              </w:rPr>
              <w:t>(6,812)</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17"/>
        </w:trPr>
        <w:tc>
          <w:tcPr>
            <w:tcW w:w="7200" w:type="dxa"/>
            <w:vAlign w:val="bottom"/>
          </w:tcPr>
          <w:p>
            <w:pPr>
              <w:ind w:left="260"/>
              <w:spacing w:after="0" w:line="117" w:lineRule="exact"/>
              <w:rPr>
                <w:sz w:val="20"/>
                <w:szCs w:val="20"/>
                <w:color w:val="auto"/>
              </w:rPr>
            </w:pPr>
            <w:r>
              <w:rPr>
                <w:rFonts w:ascii="Arial" w:cs="Arial" w:eastAsia="Arial" w:hAnsi="Arial"/>
                <w:sz w:val="8"/>
                <w:szCs w:val="8"/>
                <w:color w:val="auto"/>
              </w:rPr>
              <w:t xml:space="preserve">Other </w:t>
            </w:r>
            <w:r>
              <w:rPr>
                <w:rFonts w:ascii="Arial" w:cs="Arial" w:eastAsia="Arial" w:hAnsi="Arial"/>
                <w:sz w:val="11"/>
                <w:szCs w:val="11"/>
                <w:color w:val="auto"/>
                <w:vertAlign w:val="superscript"/>
              </w:rPr>
              <w:t>(1)</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39"/>
              <w:spacing w:after="0"/>
              <w:rPr>
                <w:sz w:val="20"/>
                <w:szCs w:val="20"/>
                <w:color w:val="auto"/>
              </w:rPr>
            </w:pPr>
            <w:r>
              <w:rPr>
                <w:rFonts w:ascii="Arial" w:cs="Arial" w:eastAsia="Arial" w:hAnsi="Arial"/>
                <w:sz w:val="8"/>
                <w:szCs w:val="8"/>
                <w:color w:val="auto"/>
              </w:rPr>
              <w:t>(11,396)</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39"/>
              <w:spacing w:after="0"/>
              <w:rPr>
                <w:sz w:val="20"/>
                <w:szCs w:val="20"/>
                <w:color w:val="auto"/>
              </w:rPr>
            </w:pPr>
            <w:r>
              <w:rPr>
                <w:rFonts w:ascii="Arial" w:cs="Arial" w:eastAsia="Arial" w:hAnsi="Arial"/>
                <w:sz w:val="8"/>
                <w:szCs w:val="8"/>
                <w:color w:val="auto"/>
              </w:rPr>
              <w:t>(13,689)</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82"/>
        </w:trPr>
        <w:tc>
          <w:tcPr>
            <w:tcW w:w="7200" w:type="dxa"/>
            <w:vAlign w:val="bottom"/>
          </w:tcPr>
          <w:p>
            <w:pPr>
              <w:ind w:left="120"/>
              <w:spacing w:after="0" w:line="83" w:lineRule="exact"/>
              <w:rPr>
                <w:sz w:val="20"/>
                <w:szCs w:val="20"/>
                <w:color w:val="auto"/>
              </w:rPr>
            </w:pPr>
            <w:r>
              <w:rPr>
                <w:rFonts w:ascii="Arial" w:cs="Arial" w:eastAsia="Arial" w:hAnsi="Arial"/>
                <w:sz w:val="8"/>
                <w:szCs w:val="8"/>
                <w:color w:val="auto"/>
              </w:rPr>
              <w:t>Plus:</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99"/>
        </w:trPr>
        <w:tc>
          <w:tcPr>
            <w:tcW w:w="7200" w:type="dxa"/>
            <w:vAlign w:val="bottom"/>
          </w:tcPr>
          <w:p>
            <w:pPr>
              <w:ind w:left="260"/>
              <w:spacing w:after="0"/>
              <w:rPr>
                <w:sz w:val="20"/>
                <w:szCs w:val="20"/>
                <w:color w:val="auto"/>
              </w:rPr>
            </w:pPr>
            <w:r>
              <w:rPr>
                <w:rFonts w:ascii="Arial" w:cs="Arial" w:eastAsia="Arial" w:hAnsi="Arial"/>
                <w:sz w:val="8"/>
                <w:szCs w:val="8"/>
                <w:color w:val="auto"/>
              </w:rPr>
              <w:t>Depreciation and amortization</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106,422</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96,774</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260"/>
              <w:spacing w:after="0"/>
              <w:rPr>
                <w:sz w:val="20"/>
                <w:szCs w:val="20"/>
                <w:color w:val="auto"/>
              </w:rPr>
            </w:pPr>
            <w:r>
              <w:rPr>
                <w:rFonts w:ascii="Arial" w:cs="Arial" w:eastAsia="Arial" w:hAnsi="Arial"/>
                <w:sz w:val="8"/>
                <w:szCs w:val="8"/>
                <w:color w:val="auto"/>
              </w:rPr>
              <w:t>General and administrative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25,606</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21,600</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260"/>
              <w:spacing w:after="0"/>
              <w:rPr>
                <w:sz w:val="20"/>
                <w:szCs w:val="20"/>
                <w:color w:val="auto"/>
              </w:rPr>
            </w:pPr>
            <w:r>
              <w:rPr>
                <w:rFonts w:ascii="Arial" w:cs="Arial" w:eastAsia="Arial" w:hAnsi="Arial"/>
                <w:sz w:val="8"/>
                <w:szCs w:val="8"/>
                <w:color w:val="auto"/>
              </w:rPr>
              <w:t>Other operating expense</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1,001</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1,688</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99"/>
        </w:trPr>
        <w:tc>
          <w:tcPr>
            <w:tcW w:w="7200" w:type="dxa"/>
            <w:vAlign w:val="bottom"/>
          </w:tcPr>
          <w:p>
            <w:pPr>
              <w:ind w:left="260"/>
              <w:spacing w:after="0"/>
              <w:rPr>
                <w:sz w:val="20"/>
                <w:szCs w:val="20"/>
                <w:color w:val="auto"/>
              </w:rPr>
            </w:pPr>
            <w:r>
              <w:rPr>
                <w:rFonts w:ascii="Arial" w:cs="Arial" w:eastAsia="Arial" w:hAnsi="Arial"/>
                <w:sz w:val="8"/>
                <w:szCs w:val="8"/>
                <w:color w:val="auto"/>
              </w:rPr>
              <w:t>Other expense, net</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44,296</w:t>
            </w: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48,673</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17"/>
        </w:trPr>
        <w:tc>
          <w:tcPr>
            <w:tcW w:w="7200" w:type="dxa"/>
            <w:vAlign w:val="bottom"/>
          </w:tcPr>
          <w:p>
            <w:pPr>
              <w:ind w:left="260"/>
              <w:spacing w:after="0" w:line="117" w:lineRule="exact"/>
              <w:rPr>
                <w:sz w:val="20"/>
                <w:szCs w:val="20"/>
                <w:color w:val="auto"/>
              </w:rPr>
            </w:pPr>
            <w:r>
              <w:rPr>
                <w:rFonts w:ascii="Arial" w:cs="Arial" w:eastAsia="Arial" w:hAnsi="Arial"/>
                <w:sz w:val="8"/>
                <w:szCs w:val="8"/>
                <w:color w:val="auto"/>
              </w:rPr>
              <w:t xml:space="preserve">Equity in income of investments in real estate partnerships excluded from NOI </w:t>
            </w:r>
            <w:r>
              <w:rPr>
                <w:rFonts w:ascii="Arial" w:cs="Arial" w:eastAsia="Arial" w:hAnsi="Arial"/>
                <w:sz w:val="11"/>
                <w:szCs w:val="11"/>
                <w:color w:val="auto"/>
                <w:vertAlign w:val="superscript"/>
              </w:rPr>
              <w:t>(2)</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8"/>
                <w:szCs w:val="8"/>
                <w:color w:val="auto"/>
              </w:rPr>
              <w:t>4,600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79"/>
              <w:spacing w:after="0"/>
              <w:rPr>
                <w:sz w:val="20"/>
                <w:szCs w:val="20"/>
                <w:color w:val="auto"/>
              </w:rPr>
            </w:pPr>
            <w:r>
              <w:rPr>
                <w:rFonts w:ascii="Arial" w:cs="Arial" w:eastAsia="Arial" w:hAnsi="Arial"/>
                <w:sz w:val="8"/>
                <w:szCs w:val="8"/>
                <w:color w:val="auto"/>
              </w:rPr>
              <w:t>13,451</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82"/>
        </w:trPr>
        <w:tc>
          <w:tcPr>
            <w:tcW w:w="7200" w:type="dxa"/>
            <w:vAlign w:val="bottom"/>
          </w:tcPr>
          <w:p>
            <w:pPr>
              <w:ind w:left="260"/>
              <w:spacing w:after="0" w:line="83" w:lineRule="exact"/>
              <w:rPr>
                <w:sz w:val="20"/>
                <w:szCs w:val="20"/>
                <w:color w:val="auto"/>
              </w:rPr>
            </w:pPr>
            <w:r>
              <w:rPr>
                <w:rFonts w:ascii="Arial" w:cs="Arial" w:eastAsia="Arial" w:hAnsi="Arial"/>
                <w:sz w:val="8"/>
                <w:szCs w:val="8"/>
                <w:color w:val="auto"/>
              </w:rPr>
              <w:t>Net income attributable to noncontrolling interests</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tcPr>
          <w:p>
            <w:pPr>
              <w:jc w:val="right"/>
              <w:ind w:right="79"/>
              <w:spacing w:after="0" w:line="83" w:lineRule="exact"/>
              <w:rPr>
                <w:sz w:val="20"/>
                <w:szCs w:val="20"/>
                <w:color w:val="auto"/>
              </w:rPr>
            </w:pPr>
            <w:r>
              <w:rPr>
                <w:rFonts w:ascii="Arial" w:cs="Arial" w:eastAsia="Arial" w:hAnsi="Arial"/>
                <w:sz w:val="8"/>
                <w:szCs w:val="8"/>
                <w:color w:val="auto"/>
              </w:rPr>
              <w:t>4,249</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jc w:val="right"/>
              <w:ind w:right="79"/>
              <w:spacing w:after="0" w:line="83" w:lineRule="exact"/>
              <w:rPr>
                <w:sz w:val="20"/>
                <w:szCs w:val="20"/>
                <w:color w:val="auto"/>
              </w:rPr>
            </w:pPr>
            <w:r>
              <w:rPr>
                <w:rFonts w:ascii="Arial" w:cs="Arial" w:eastAsia="Arial" w:hAnsi="Arial"/>
                <w:sz w:val="8"/>
                <w:szCs w:val="8"/>
                <w:color w:val="auto"/>
              </w:rPr>
              <w:t>2,266</w:t>
            </w: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00"/>
        </w:trPr>
        <w:tc>
          <w:tcPr>
            <w:tcW w:w="7200" w:type="dxa"/>
            <w:vAlign w:val="bottom"/>
          </w:tcPr>
          <w:p>
            <w:pPr>
              <w:ind w:left="260"/>
              <w:spacing w:after="0"/>
              <w:rPr>
                <w:sz w:val="20"/>
                <w:szCs w:val="20"/>
                <w:color w:val="auto"/>
              </w:rPr>
            </w:pPr>
            <w:r>
              <w:rPr>
                <w:rFonts w:ascii="Arial" w:cs="Arial" w:eastAsia="Arial" w:hAnsi="Arial"/>
                <w:sz w:val="8"/>
                <w:szCs w:val="8"/>
                <w:color w:val="auto"/>
              </w:rPr>
              <w:t>Preferred stock dividends</w:t>
            </w: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8"/>
                <w:szCs w:val="8"/>
                <w:color w:val="auto"/>
              </w:rPr>
              <w:t>3,413</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3,413</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88"/>
        </w:trPr>
        <w:tc>
          <w:tcPr>
            <w:tcW w:w="7200" w:type="dxa"/>
            <w:vAlign w:val="bottom"/>
          </w:tcPr>
          <w:p>
            <w:pPr>
              <w:ind w:left="400"/>
              <w:spacing w:after="0" w:line="89" w:lineRule="exact"/>
              <w:rPr>
                <w:sz w:val="20"/>
                <w:szCs w:val="20"/>
                <w:color w:val="auto"/>
              </w:rPr>
            </w:pPr>
            <w:r>
              <w:rPr>
                <w:rFonts w:ascii="Arial" w:cs="Arial" w:eastAsia="Arial" w:hAnsi="Arial"/>
                <w:sz w:val="8"/>
                <w:szCs w:val="8"/>
                <w:color w:val="auto"/>
              </w:rPr>
              <w:t>NOI</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tcPr>
          <w:p>
            <w:pPr>
              <w:jc w:val="right"/>
              <w:ind w:right="79"/>
              <w:spacing w:after="0" w:line="89" w:lineRule="exact"/>
              <w:rPr>
                <w:sz w:val="20"/>
                <w:szCs w:val="20"/>
                <w:color w:val="auto"/>
              </w:rPr>
            </w:pPr>
            <w:r>
              <w:rPr>
                <w:rFonts w:ascii="Arial" w:cs="Arial" w:eastAsia="Arial" w:hAnsi="Arial"/>
                <w:sz w:val="8"/>
                <w:szCs w:val="8"/>
                <w:color w:val="auto"/>
              </w:rPr>
              <w:t>296,394</w:t>
            </w: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jc w:val="right"/>
              <w:ind w:right="79"/>
              <w:spacing w:after="0" w:line="89" w:lineRule="exact"/>
              <w:rPr>
                <w:sz w:val="20"/>
                <w:szCs w:val="20"/>
                <w:color w:val="auto"/>
              </w:rPr>
            </w:pPr>
            <w:r>
              <w:rPr>
                <w:rFonts w:ascii="Arial" w:cs="Arial" w:eastAsia="Arial" w:hAnsi="Arial"/>
                <w:sz w:val="8"/>
                <w:szCs w:val="8"/>
                <w:color w:val="auto"/>
              </w:rPr>
              <w:t>273,538</w:t>
            </w: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88"/>
        </w:trPr>
        <w:tc>
          <w:tcPr>
            <w:tcW w:w="7200" w:type="dxa"/>
            <w:vAlign w:val="bottom"/>
          </w:tcPr>
          <w:p>
            <w:pPr>
              <w:ind w:left="120"/>
              <w:spacing w:after="0"/>
              <w:rPr>
                <w:sz w:val="20"/>
                <w:szCs w:val="20"/>
                <w:color w:val="auto"/>
              </w:rPr>
            </w:pPr>
            <w:r>
              <w:rPr>
                <w:rFonts w:ascii="Arial" w:cs="Arial" w:eastAsia="Arial" w:hAnsi="Arial"/>
                <w:sz w:val="8"/>
                <w:szCs w:val="8"/>
                <w:color w:val="auto"/>
              </w:rPr>
              <w:t xml:space="preserve">Less non-same property NOI </w:t>
            </w:r>
            <w:r>
              <w:rPr>
                <w:rFonts w:ascii="Arial" w:cs="Arial" w:eastAsia="Arial" w:hAnsi="Arial"/>
                <w:sz w:val="11"/>
                <w:szCs w:val="11"/>
                <w:color w:val="auto"/>
                <w:vertAlign w:val="superscript"/>
              </w:rPr>
              <w:t>(3)</w:t>
            </w:r>
          </w:p>
        </w:tc>
        <w:tc>
          <w:tcPr>
            <w:tcW w:w="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8"/>
                <w:szCs w:val="8"/>
                <w:color w:val="auto"/>
              </w:rPr>
              <w:t>(10,760)</w:t>
            </w: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135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98"/>
        </w:trPr>
        <w:tc>
          <w:tcPr>
            <w:tcW w:w="7200" w:type="dxa"/>
            <w:vAlign w:val="bottom"/>
          </w:tcPr>
          <w:p>
            <w:pPr>
              <w:ind w:left="260"/>
              <w:spacing w:after="0" w:line="91" w:lineRule="exact"/>
              <w:rPr>
                <w:sz w:val="20"/>
                <w:szCs w:val="20"/>
                <w:color w:val="auto"/>
              </w:rPr>
            </w:pPr>
            <w:r>
              <w:rPr>
                <w:rFonts w:ascii="Arial" w:cs="Arial" w:eastAsia="Arial" w:hAnsi="Arial"/>
                <w:sz w:val="8"/>
                <w:szCs w:val="8"/>
                <w:color w:val="auto"/>
                <w:highlight w:val="black"/>
              </w:rPr>
              <w:t>Same Property NOI</w:t>
            </w:r>
          </w:p>
        </w:tc>
        <w:tc>
          <w:tcPr>
            <w:tcW w:w="600" w:type="dxa"/>
            <w:vAlign w:val="bottom"/>
            <w:tcBorders>
              <w:bottom w:val="single" w:sz="8" w:color="auto"/>
            </w:tcBorders>
          </w:tcPr>
          <w:p>
            <w:pPr>
              <w:jc w:val="right"/>
              <w:ind w:right="534"/>
              <w:spacing w:after="0"/>
              <w:rPr>
                <w:sz w:val="20"/>
                <w:szCs w:val="20"/>
                <w:color w:val="auto"/>
              </w:rPr>
            </w:pPr>
            <w:r>
              <w:rPr>
                <w:rFonts w:ascii="Arial" w:cs="Arial" w:eastAsia="Arial" w:hAnsi="Arial"/>
                <w:sz w:val="5"/>
                <w:szCs w:val="5"/>
                <w:color w:val="auto"/>
                <w:w w:val="70"/>
              </w:rPr>
              <w:t>$</w:t>
            </w: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79"/>
              <w:spacing w:after="0" w:line="91" w:lineRule="exact"/>
              <w:rPr>
                <w:sz w:val="20"/>
                <w:szCs w:val="20"/>
                <w:color w:val="auto"/>
              </w:rPr>
            </w:pPr>
            <w:r>
              <w:rPr>
                <w:rFonts w:ascii="Arial" w:cs="Arial" w:eastAsia="Arial" w:hAnsi="Arial"/>
                <w:sz w:val="8"/>
                <w:szCs w:val="8"/>
                <w:color w:val="auto"/>
              </w:rPr>
              <w:t>285,634</w:t>
            </w: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79"/>
              <w:spacing w:after="0" w:line="91" w:lineRule="exact"/>
              <w:rPr>
                <w:sz w:val="20"/>
                <w:szCs w:val="20"/>
                <w:color w:val="auto"/>
              </w:rPr>
            </w:pPr>
            <w:r>
              <w:rPr>
                <w:rFonts w:ascii="Arial" w:cs="Arial" w:eastAsia="Arial" w:hAnsi="Arial"/>
                <w:sz w:val="8"/>
                <w:szCs w:val="8"/>
                <w:color w:val="auto"/>
              </w:rPr>
              <w:t>273,673</w:t>
            </w: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5374640</wp:posOffset>
            </wp:positionH>
            <wp:positionV relativeFrom="paragraph">
              <wp:posOffset>-1224915</wp:posOffset>
            </wp:positionV>
            <wp:extent cx="99695" cy="66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9695" cy="66675"/>
                    </a:xfrm>
                    <a:prstGeom prst="rect">
                      <a:avLst/>
                    </a:prstGeom>
                    <a:noFill/>
                  </pic:spPr>
                </pic:pic>
              </a:graphicData>
            </a:graphic>
          </wp:anchor>
        </w:drawing>
      </w:r>
    </w:p>
    <w:p>
      <w:pPr>
        <w:ind w:left="308" w:hanging="308"/>
        <w:spacing w:after="0"/>
        <w:tabs>
          <w:tab w:leader="none" w:pos="308" w:val="left"/>
        </w:tabs>
        <w:numPr>
          <w:ilvl w:val="0"/>
          <w:numId w:val="38"/>
        </w:numPr>
        <w:rPr>
          <w:rFonts w:ascii="Arial" w:cs="Arial" w:eastAsia="Arial" w:hAnsi="Arial"/>
          <w:sz w:val="11"/>
          <w:szCs w:val="11"/>
          <w:color w:val="auto"/>
          <w:vertAlign w:val="superscript"/>
        </w:rPr>
      </w:pPr>
      <w:r>
        <w:rPr>
          <w:rFonts w:ascii="Arial" w:cs="Arial" w:eastAsia="Arial" w:hAnsi="Arial"/>
          <w:sz w:val="8"/>
          <w:szCs w:val="8"/>
          <w:color w:val="auto"/>
        </w:rPr>
        <w:t>Includes straight-line rental income and expense, net of reserves, above and below market rent amortization, other fees, and noncontrolling interests.</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38"/>
        </w:numPr>
        <w:rPr>
          <w:rFonts w:ascii="Arial" w:cs="Arial" w:eastAsia="Arial" w:hAnsi="Arial"/>
          <w:sz w:val="9"/>
          <w:szCs w:val="9"/>
          <w:color w:val="auto"/>
          <w:vertAlign w:val="superscript"/>
        </w:rPr>
      </w:pPr>
      <w:r>
        <w:rPr>
          <w:rFonts w:ascii="Arial" w:cs="Arial" w:eastAsia="Arial" w:hAnsi="Arial"/>
          <w:sz w:val="7"/>
          <w:szCs w:val="7"/>
          <w:color w:val="auto"/>
        </w:rPr>
        <w:t>Includes non-NOI income and expenses incurred at our unconsolidated Real Estate Partnerships, such as, but not limited to, straight-line rental income, above and below market rent amortization, depreciation and amortization, interest expense, and real estate gains and impairments.</w:t>
      </w:r>
    </w:p>
    <w:p>
      <w:pPr>
        <w:spacing w:after="0" w:line="35"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38"/>
        </w:numPr>
        <w:rPr>
          <w:rFonts w:ascii="Arial" w:cs="Arial" w:eastAsia="Arial" w:hAnsi="Arial"/>
          <w:sz w:val="9"/>
          <w:szCs w:val="9"/>
          <w:color w:val="auto"/>
          <w:vertAlign w:val="superscript"/>
        </w:rPr>
      </w:pPr>
      <w:r>
        <w:rPr>
          <w:rFonts w:ascii="Arial" w:cs="Arial" w:eastAsia="Arial" w:hAnsi="Arial"/>
          <w:sz w:val="7"/>
          <w:szCs w:val="7"/>
          <w:color w:val="auto"/>
        </w:rPr>
        <w:t>Includes revenues and expenses attributable to Non-Same Property, Property in Development, termination fees, corporate activities, and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635</wp:posOffset>
            </wp:positionV>
            <wp:extent cx="281305" cy="149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7" w:lineRule="exact"/>
        <w:rPr>
          <w:sz w:val="20"/>
          <w:szCs w:val="20"/>
          <w:color w:val="auto"/>
        </w:rPr>
      </w:pPr>
    </w:p>
    <w:p>
      <w:pPr>
        <w:ind w:left="10268"/>
        <w:spacing w:after="0"/>
        <w:tabs>
          <w:tab w:leader="none" w:pos="1116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30" w:name="page31"/>
    <w:bookmarkEnd w:id="30"/>
    <w:p>
      <w:pPr>
        <w:jc w:val="center"/>
        <w:ind w:left="3708"/>
        <w:spacing w:after="0"/>
        <w:rPr>
          <w:sz w:val="20"/>
          <w:szCs w:val="20"/>
          <w:color w:val="auto"/>
        </w:rPr>
      </w:pPr>
      <w:r>
        <w:rPr>
          <w:rFonts w:ascii="Arial" w:cs="Arial" w:eastAsia="Arial" w:hAnsi="Arial"/>
          <w:sz w:val="12"/>
          <w:szCs w:val="12"/>
          <w:color w:val="auto"/>
          <w:highlight w:val="black"/>
        </w:rPr>
        <w:t xml:space="preserve">Reconciliations </w:t>
      </w:r>
      <w:r>
        <w:rPr>
          <w:rFonts w:ascii="Arial" w:cs="Arial" w:eastAsia="Arial" w:hAnsi="Arial"/>
          <w:sz w:val="12"/>
          <w:szCs w:val="12"/>
          <w:color w:val="auto"/>
        </w:rPr>
        <w:t>of Non-GAAP Financial Measures</w:t>
      </w:r>
    </w:p>
    <w:p>
      <w:pPr>
        <w:spacing w:after="0" w:line="7" w:lineRule="exact"/>
        <w:rPr>
          <w:sz w:val="20"/>
          <w:szCs w:val="20"/>
          <w:color w:val="auto"/>
        </w:rPr>
      </w:pPr>
    </w:p>
    <w:p>
      <w:pPr>
        <w:jc w:val="center"/>
        <w:ind w:left="3708"/>
        <w:spacing w:after="0"/>
        <w:rPr>
          <w:sz w:val="20"/>
          <w:szCs w:val="20"/>
          <w:color w:val="auto"/>
        </w:rPr>
      </w:pPr>
      <w:r>
        <w:rPr>
          <w:rFonts w:ascii="Arial" w:cs="Arial" w:eastAsia="Arial" w:hAnsi="Arial"/>
          <w:sz w:val="12"/>
          <w:szCs w:val="12"/>
          <w:color w:val="auto"/>
        </w:rPr>
        <w:t>For the Periods Ended March 31, 2026 and 2025</w:t>
      </w:r>
    </w:p>
    <w:p>
      <w:pPr>
        <w:spacing w:after="0" w:line="7" w:lineRule="exact"/>
        <w:rPr>
          <w:sz w:val="20"/>
          <w:szCs w:val="20"/>
          <w:color w:val="auto"/>
        </w:rPr>
      </w:pPr>
    </w:p>
    <w:p>
      <w:pPr>
        <w:jc w:val="center"/>
        <w:ind w:left="3708"/>
        <w:spacing w:after="0"/>
        <w:rPr>
          <w:sz w:val="20"/>
          <w:szCs w:val="20"/>
          <w:color w:val="auto"/>
        </w:rPr>
      </w:pPr>
      <w:r>
        <w:rPr>
          <w:rFonts w:ascii="Arial" w:cs="Arial" w:eastAsia="Arial" w:hAnsi="Arial"/>
          <w:sz w:val="12"/>
          <w:szCs w:val="12"/>
          <w:color w:val="auto"/>
        </w:rPr>
        <w:t>(in thousands, except per share data)</w:t>
      </w: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Net Income Attributable to Common Shareholders to Nareit FFO:</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Net Income Attributable to Common Shareholders</w:t>
      </w:r>
    </w:p>
    <w:p>
      <w:pPr>
        <w:spacing w:after="0" w:line="3" w:lineRule="exact"/>
        <w:rPr>
          <w:sz w:val="20"/>
          <w:szCs w:val="20"/>
          <w:color w:val="auto"/>
        </w:rPr>
      </w:pPr>
    </w:p>
    <w:p>
      <w:pPr>
        <w:ind w:left="148"/>
        <w:spacing w:after="0"/>
        <w:rPr>
          <w:sz w:val="20"/>
          <w:szCs w:val="20"/>
          <w:color w:val="auto"/>
        </w:rPr>
      </w:pPr>
      <w:r>
        <w:rPr>
          <w:rFonts w:ascii="Arial" w:cs="Arial" w:eastAsia="Arial" w:hAnsi="Arial"/>
          <w:sz w:val="9"/>
          <w:szCs w:val="9"/>
          <w:color w:val="auto"/>
        </w:rPr>
        <w:t xml:space="preserve">Adjustments to reconcile to Nareit Funds From Operations </w:t>
      </w:r>
      <w:r>
        <w:rPr>
          <w:rFonts w:ascii="Arial" w:cs="Arial" w:eastAsia="Arial" w:hAnsi="Arial"/>
          <w:sz w:val="12"/>
          <w:szCs w:val="12"/>
          <w:color w:val="auto"/>
          <w:vertAlign w:val="superscript"/>
        </w:rPr>
        <w:t>(1)</w:t>
      </w:r>
      <w:r>
        <w:rPr>
          <w:rFonts w:ascii="Arial" w:cs="Arial" w:eastAsia="Arial" w:hAnsi="Arial"/>
          <w:sz w:val="9"/>
          <w:szCs w:val="9"/>
          <w:color w:val="auto"/>
        </w:rPr>
        <w:t>:</w:t>
      </w:r>
    </w:p>
    <w:p>
      <w:pPr>
        <w:ind w:left="308"/>
        <w:spacing w:after="0" w:line="218" w:lineRule="auto"/>
        <w:rPr>
          <w:sz w:val="20"/>
          <w:szCs w:val="20"/>
          <w:color w:val="auto"/>
        </w:rPr>
      </w:pPr>
      <w:r>
        <w:rPr>
          <w:rFonts w:ascii="Arial" w:cs="Arial" w:eastAsia="Arial" w:hAnsi="Arial"/>
          <w:sz w:val="9"/>
          <w:szCs w:val="9"/>
          <w:color w:val="auto"/>
        </w:rPr>
        <w:t>Depreciation and amortization (excluding FF&amp;E)</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Gain on sale of real estate, net of tax</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Exchangeable operating partnership units</w:t>
      </w:r>
    </w:p>
    <w:p>
      <w:pPr>
        <w:spacing w:after="0" w:line="32" w:lineRule="exact"/>
        <w:rPr>
          <w:sz w:val="20"/>
          <w:szCs w:val="20"/>
          <w:color w:val="auto"/>
        </w:rPr>
      </w:pPr>
    </w:p>
    <w:p>
      <w:pPr>
        <w:ind w:left="468"/>
        <w:spacing w:after="0"/>
        <w:rPr>
          <w:sz w:val="20"/>
          <w:szCs w:val="20"/>
          <w:color w:val="auto"/>
        </w:rPr>
      </w:pPr>
      <w:r>
        <w:rPr>
          <w:rFonts w:ascii="Arial" w:cs="Arial" w:eastAsia="Arial" w:hAnsi="Arial"/>
          <w:sz w:val="9"/>
          <w:szCs w:val="9"/>
          <w:color w:val="auto"/>
          <w:highlight w:val="black"/>
        </w:rPr>
        <w:t>Nareit FFO</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9"/>
          <w:szCs w:val="9"/>
          <w:color w:val="auto"/>
        </w:rPr>
        <w:t>Nareit FFO per share (diluted)</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Weighted average shares (diluted)</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Nareit FFO to Core Operating Earnings: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Nareit FFO</w:t>
      </w:r>
    </w:p>
    <w:p>
      <w:pPr>
        <w:spacing w:after="0" w:line="3" w:lineRule="exact"/>
        <w:rPr>
          <w:sz w:val="20"/>
          <w:szCs w:val="20"/>
          <w:color w:val="auto"/>
        </w:rPr>
      </w:pPr>
    </w:p>
    <w:p>
      <w:pPr>
        <w:ind w:left="148"/>
        <w:spacing w:after="0"/>
        <w:rPr>
          <w:sz w:val="20"/>
          <w:szCs w:val="20"/>
          <w:color w:val="auto"/>
        </w:rPr>
      </w:pPr>
      <w:r>
        <w:rPr>
          <w:rFonts w:ascii="Arial" w:cs="Arial" w:eastAsia="Arial" w:hAnsi="Arial"/>
          <w:sz w:val="9"/>
          <w:szCs w:val="9"/>
          <w:color w:val="auto"/>
        </w:rPr>
        <w:t xml:space="preserve">Adjustments to reconcile to Core Operating Earnings </w:t>
      </w:r>
      <w:r>
        <w:rPr>
          <w:rFonts w:ascii="Arial" w:cs="Arial" w:eastAsia="Arial" w:hAnsi="Arial"/>
          <w:sz w:val="12"/>
          <w:szCs w:val="12"/>
          <w:color w:val="auto"/>
          <w:vertAlign w:val="superscript"/>
        </w:rPr>
        <w:t>(1)</w:t>
      </w:r>
      <w:r>
        <w:rPr>
          <w:rFonts w:ascii="Arial" w:cs="Arial" w:eastAsia="Arial" w:hAnsi="Arial"/>
          <w:sz w:val="9"/>
          <w:szCs w:val="9"/>
          <w:color w:val="auto"/>
        </w:rPr>
        <w:t>:</w:t>
      </w:r>
    </w:p>
    <w:p>
      <w:pPr>
        <w:ind w:left="148"/>
        <w:spacing w:after="0" w:line="218" w:lineRule="auto"/>
        <w:rPr>
          <w:sz w:val="20"/>
          <w:szCs w:val="20"/>
          <w:color w:val="auto"/>
        </w:rPr>
      </w:pPr>
      <w:r>
        <w:rPr>
          <w:rFonts w:ascii="Arial" w:cs="Arial" w:eastAsia="Arial" w:hAnsi="Arial"/>
          <w:sz w:val="9"/>
          <w:szCs w:val="9"/>
          <w:color w:val="auto"/>
        </w:rPr>
        <w:t>Certain Non-Cash Items</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Straight-line rent</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Uncollectible straight-line rent</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Above/below market rent amortization, net</w:t>
      </w:r>
    </w:p>
    <w:p>
      <w:pPr>
        <w:spacing w:after="0" w:line="14" w:lineRule="exact"/>
        <w:rPr>
          <w:sz w:val="20"/>
          <w:szCs w:val="20"/>
          <w:color w:val="auto"/>
        </w:rPr>
      </w:pPr>
    </w:p>
    <w:p>
      <w:pPr>
        <w:ind w:left="308"/>
        <w:spacing w:after="0"/>
        <w:rPr>
          <w:sz w:val="20"/>
          <w:szCs w:val="20"/>
          <w:color w:val="auto"/>
        </w:rPr>
      </w:pPr>
      <w:r>
        <w:rPr>
          <w:rFonts w:ascii="Arial" w:cs="Arial" w:eastAsia="Arial" w:hAnsi="Arial"/>
          <w:sz w:val="9"/>
          <w:szCs w:val="9"/>
          <w:color w:val="auto"/>
        </w:rPr>
        <w:t>Debt and derivative mark-to-market amortization</w:t>
      </w:r>
    </w:p>
    <w:p>
      <w:pPr>
        <w:spacing w:after="0" w:line="32" w:lineRule="exact"/>
        <w:rPr>
          <w:sz w:val="20"/>
          <w:szCs w:val="20"/>
          <w:color w:val="auto"/>
        </w:rPr>
      </w:pPr>
    </w:p>
    <w:p>
      <w:pPr>
        <w:ind w:left="468"/>
        <w:spacing w:after="0"/>
        <w:rPr>
          <w:sz w:val="20"/>
          <w:szCs w:val="20"/>
          <w:color w:val="auto"/>
        </w:rPr>
      </w:pPr>
      <w:r>
        <w:rPr>
          <w:rFonts w:ascii="Arial" w:cs="Arial" w:eastAsia="Arial" w:hAnsi="Arial"/>
          <w:sz w:val="9"/>
          <w:szCs w:val="9"/>
          <w:color w:val="auto"/>
        </w:rPr>
        <w:t>Core Operating Earnings</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9"/>
          <w:szCs w:val="9"/>
          <w:color w:val="auto"/>
        </w:rPr>
        <w:t>Core Operating Earnings per share (diluted)</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Weighted average shares (diluted)</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Core Operating Earnings to AFFO:</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Core Operating Earnings</w:t>
      </w:r>
    </w:p>
    <w:p>
      <w:pPr>
        <w:spacing w:after="0" w:line="3" w:lineRule="exact"/>
        <w:rPr>
          <w:sz w:val="20"/>
          <w:szCs w:val="20"/>
          <w:color w:val="auto"/>
        </w:rPr>
      </w:pPr>
    </w:p>
    <w:p>
      <w:pPr>
        <w:ind w:left="68"/>
        <w:spacing w:after="0"/>
        <w:rPr>
          <w:sz w:val="20"/>
          <w:szCs w:val="20"/>
          <w:color w:val="auto"/>
        </w:rPr>
      </w:pPr>
      <w:r>
        <w:rPr>
          <w:rFonts w:ascii="Arial" w:cs="Arial" w:eastAsia="Arial" w:hAnsi="Arial"/>
          <w:sz w:val="9"/>
          <w:szCs w:val="9"/>
          <w:color w:val="auto"/>
        </w:rPr>
        <w:t xml:space="preserve">Adjustments to reconcile to AFFO </w:t>
      </w:r>
      <w:r>
        <w:rPr>
          <w:rFonts w:ascii="Arial" w:cs="Arial" w:eastAsia="Arial" w:hAnsi="Arial"/>
          <w:sz w:val="12"/>
          <w:szCs w:val="12"/>
          <w:color w:val="auto"/>
          <w:vertAlign w:val="superscript"/>
        </w:rPr>
        <w:t>(1)</w:t>
      </w:r>
      <w:r>
        <w:rPr>
          <w:rFonts w:ascii="Arial" w:cs="Arial" w:eastAsia="Arial" w:hAnsi="Arial"/>
          <w:sz w:val="9"/>
          <w:szCs w:val="9"/>
          <w:color w:val="auto"/>
        </w:rPr>
        <w:t>:</w:t>
      </w:r>
    </w:p>
    <w:p>
      <w:pPr>
        <w:ind w:left="148"/>
        <w:spacing w:after="0" w:line="218" w:lineRule="auto"/>
        <w:rPr>
          <w:sz w:val="20"/>
          <w:szCs w:val="20"/>
          <w:color w:val="auto"/>
        </w:rPr>
      </w:pPr>
      <w:r>
        <w:rPr>
          <w:rFonts w:ascii="Arial" w:cs="Arial" w:eastAsia="Arial" w:hAnsi="Arial"/>
          <w:sz w:val="9"/>
          <w:szCs w:val="9"/>
          <w:color w:val="auto"/>
        </w:rPr>
        <w:t>Operating capital expenditures</w:t>
      </w:r>
    </w:p>
    <w:p>
      <w:pPr>
        <w:spacing w:after="0" w:line="14" w:lineRule="exact"/>
        <w:rPr>
          <w:sz w:val="20"/>
          <w:szCs w:val="20"/>
          <w:color w:val="auto"/>
        </w:rPr>
      </w:pPr>
    </w:p>
    <w:p>
      <w:pPr>
        <w:ind w:left="148"/>
        <w:spacing w:after="0"/>
        <w:rPr>
          <w:sz w:val="20"/>
          <w:szCs w:val="20"/>
          <w:color w:val="auto"/>
        </w:rPr>
      </w:pPr>
      <w:r>
        <w:rPr>
          <w:rFonts w:ascii="Arial" w:cs="Arial" w:eastAsia="Arial" w:hAnsi="Arial"/>
          <w:sz w:val="9"/>
          <w:szCs w:val="9"/>
          <w:color w:val="auto"/>
        </w:rPr>
        <w:t>Debt cost and derivative adjustments</w:t>
      </w:r>
    </w:p>
    <w:p>
      <w:pPr>
        <w:spacing w:after="0" w:line="23" w:lineRule="exact"/>
        <w:rPr>
          <w:sz w:val="20"/>
          <w:szCs w:val="20"/>
          <w:color w:val="auto"/>
        </w:rPr>
      </w:pPr>
    </w:p>
    <w:p>
      <w:pPr>
        <w:ind w:left="148"/>
        <w:spacing w:after="0"/>
        <w:rPr>
          <w:sz w:val="20"/>
          <w:szCs w:val="20"/>
          <w:color w:val="auto"/>
        </w:rPr>
      </w:pPr>
      <w:r>
        <w:rPr>
          <w:rFonts w:ascii="Arial" w:cs="Arial" w:eastAsia="Arial" w:hAnsi="Arial"/>
          <w:sz w:val="9"/>
          <w:szCs w:val="9"/>
          <w:color w:val="auto"/>
        </w:rPr>
        <w:t>Stock-based compensation</w:t>
      </w:r>
    </w:p>
    <w:p>
      <w:pPr>
        <w:spacing w:after="0" w:line="41" w:lineRule="exact"/>
        <w:rPr>
          <w:sz w:val="20"/>
          <w:szCs w:val="20"/>
          <w:color w:val="auto"/>
        </w:rPr>
      </w:pPr>
    </w:p>
    <w:p>
      <w:pPr>
        <w:ind w:left="228"/>
        <w:spacing w:after="0"/>
        <w:rPr>
          <w:sz w:val="20"/>
          <w:szCs w:val="20"/>
          <w:color w:val="auto"/>
        </w:rPr>
      </w:pPr>
      <w:r>
        <w:rPr>
          <w:rFonts w:ascii="Arial" w:cs="Arial" w:eastAsia="Arial" w:hAnsi="Arial"/>
          <w:sz w:val="9"/>
          <w:szCs w:val="9"/>
          <w:color w:val="auto"/>
          <w:highlight w:val="black"/>
        </w:rPr>
        <w:t>AFFO</w:t>
      </w:r>
    </w:p>
    <w:p>
      <w:pPr>
        <w:spacing w:after="0" w:line="215" w:lineRule="exact"/>
        <w:rPr>
          <w:sz w:val="20"/>
          <w:szCs w:val="20"/>
          <w:color w:val="auto"/>
        </w:rPr>
      </w:pPr>
    </w:p>
    <w:p>
      <w:pPr>
        <w:ind w:left="308" w:hanging="308"/>
        <w:spacing w:after="0"/>
        <w:tabs>
          <w:tab w:leader="none" w:pos="308" w:val="left"/>
        </w:tabs>
        <w:numPr>
          <w:ilvl w:val="0"/>
          <w:numId w:val="39"/>
        </w:numPr>
        <w:rPr>
          <w:rFonts w:ascii="Arial" w:cs="Arial" w:eastAsia="Arial" w:hAnsi="Arial"/>
          <w:sz w:val="11"/>
          <w:szCs w:val="11"/>
          <w:color w:val="auto"/>
          <w:vertAlign w:val="superscript"/>
        </w:rPr>
      </w:pPr>
      <w:r>
        <w:rPr>
          <w:rFonts w:ascii="Arial" w:cs="Arial" w:eastAsia="Arial" w:hAnsi="Arial"/>
          <w:sz w:val="8"/>
          <w:szCs w:val="8"/>
          <w:color w:val="auto"/>
        </w:rPr>
        <w:t>Includes Regency’s consolidated entities and its share of unconsolidated Real Estate Partnerships, net of share attributable to noncontrolling interests, which can be found on page 4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481330</wp:posOffset>
            </wp:positionV>
            <wp:extent cx="720280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635</wp:posOffset>
            </wp:positionV>
            <wp:extent cx="281305" cy="149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rPr>
              <w:t>Three Months Ended</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98"/>
        </w:trPr>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2026</w:t>
            </w: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2025</w:t>
            </w:r>
          </w:p>
        </w:tc>
        <w:tc>
          <w:tcPr>
            <w:tcW w:w="740" w:type="dxa"/>
            <w:vAlign w:val="bottom"/>
          </w:tcPr>
          <w:p>
            <w:pPr>
              <w:spacing w:after="0"/>
              <w:rPr>
                <w:sz w:val="8"/>
                <w:szCs w:val="8"/>
                <w:color w:val="auto"/>
              </w:rPr>
            </w:pPr>
          </w:p>
        </w:tc>
      </w:tr>
      <w:tr>
        <w:trPr>
          <w:trHeight w:val="515"/>
        </w:trPr>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125,136</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106,174</w:t>
            </w:r>
          </w:p>
        </w:tc>
      </w:tr>
      <w:tr>
        <w:trPr>
          <w:trHeight w:val="235"/>
        </w:trPr>
        <w:tc>
          <w:tcPr>
            <w:tcW w:w="300" w:type="dxa"/>
            <w:vAlign w:val="bottom"/>
          </w:tcPr>
          <w:p>
            <w:pPr>
              <w:spacing w:after="0"/>
              <w:rPr>
                <w:sz w:val="20"/>
                <w:szCs w:val="20"/>
                <w:color w:val="auto"/>
              </w:rPr>
            </w:pP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113,562</w:t>
            </w: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104,034</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53"/>
              <w:spacing w:after="0"/>
              <w:rPr>
                <w:sz w:val="20"/>
                <w:szCs w:val="20"/>
                <w:color w:val="auto"/>
              </w:rPr>
            </w:pPr>
            <w:r>
              <w:rPr>
                <w:rFonts w:ascii="Arial" w:cs="Arial" w:eastAsia="Arial" w:hAnsi="Arial"/>
                <w:sz w:val="9"/>
                <w:szCs w:val="9"/>
                <w:color w:val="auto"/>
              </w:rPr>
              <w:t>(17,047)</w:t>
            </w:r>
          </w:p>
        </w:tc>
        <w:tc>
          <w:tcPr>
            <w:tcW w:w="180" w:type="dxa"/>
            <w:vAlign w:val="bottom"/>
          </w:tcPr>
          <w:p>
            <w:pPr>
              <w:spacing w:after="0"/>
              <w:rPr>
                <w:sz w:val="10"/>
                <w:szCs w:val="1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(101)</w:t>
            </w:r>
          </w:p>
        </w:tc>
      </w:tr>
      <w:tr>
        <w:trPr>
          <w:trHeight w:val="116"/>
        </w:trPr>
        <w:tc>
          <w:tcPr>
            <w:tcW w:w="3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ind w:right="493"/>
              <w:spacing w:after="0" w:line="96" w:lineRule="exact"/>
              <w:rPr>
                <w:sz w:val="20"/>
                <w:szCs w:val="20"/>
                <w:color w:val="auto"/>
              </w:rPr>
            </w:pPr>
            <w:r>
              <w:rPr>
                <w:rFonts w:ascii="Arial" w:cs="Arial" w:eastAsia="Arial" w:hAnsi="Arial"/>
                <w:sz w:val="9"/>
                <w:szCs w:val="9"/>
                <w:color w:val="auto"/>
              </w:rPr>
              <w:t>2,617</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642</w:t>
            </w:r>
          </w:p>
        </w:tc>
      </w:tr>
      <w:tr>
        <w:trPr>
          <w:trHeight w:val="114"/>
        </w:trPr>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tcBorders>
              <w:bottom w:val="single" w:sz="8" w:color="auto"/>
            </w:tcBorders>
            <w:gridSpan w:val="4"/>
          </w:tcPr>
          <w:p>
            <w:pPr>
              <w:jc w:val="right"/>
              <w:ind w:right="493"/>
              <w:spacing w:after="0" w:line="94" w:lineRule="exact"/>
              <w:rPr>
                <w:sz w:val="20"/>
                <w:szCs w:val="20"/>
                <w:color w:val="auto"/>
              </w:rPr>
            </w:pPr>
            <w:r>
              <w:rPr>
                <w:rFonts w:ascii="Arial" w:cs="Arial" w:eastAsia="Arial" w:hAnsi="Arial"/>
                <w:sz w:val="9"/>
                <w:szCs w:val="9"/>
                <w:color w:val="auto"/>
              </w:rPr>
              <w:t>224,268</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210,749</w:t>
            </w:r>
          </w:p>
        </w:tc>
      </w:tr>
      <w:tr>
        <w:trPr>
          <w:trHeight w:val="354"/>
        </w:trPr>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1.20</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1.15</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187,220</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182,910</w:t>
            </w:r>
          </w:p>
        </w:tc>
      </w:tr>
      <w:tr>
        <w:trPr>
          <w:trHeight w:val="588"/>
        </w:trPr>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224,268</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210,749</w:t>
            </w:r>
          </w:p>
        </w:tc>
      </w:tr>
      <w:tr>
        <w:trPr>
          <w:trHeight w:val="353"/>
        </w:trPr>
        <w:tc>
          <w:tcPr>
            <w:tcW w:w="300" w:type="dxa"/>
            <w:vAlign w:val="bottom"/>
          </w:tcPr>
          <w:p>
            <w:pPr>
              <w:spacing w:after="0"/>
              <w:rPr>
                <w:sz w:val="24"/>
                <w:szCs w:val="24"/>
                <w:color w:val="auto"/>
              </w:rPr>
            </w:pPr>
          </w:p>
        </w:tc>
        <w:tc>
          <w:tcPr>
            <w:tcW w:w="1580" w:type="dxa"/>
            <w:vAlign w:val="bottom"/>
            <w:gridSpan w:val="4"/>
          </w:tcPr>
          <w:p>
            <w:pPr>
              <w:jc w:val="right"/>
              <w:ind w:right="453"/>
              <w:spacing w:after="0"/>
              <w:rPr>
                <w:sz w:val="20"/>
                <w:szCs w:val="20"/>
                <w:color w:val="auto"/>
              </w:rPr>
            </w:pPr>
            <w:r>
              <w:rPr>
                <w:rFonts w:ascii="Arial" w:cs="Arial" w:eastAsia="Arial" w:hAnsi="Arial"/>
                <w:sz w:val="9"/>
                <w:szCs w:val="9"/>
                <w:color w:val="auto"/>
              </w:rPr>
              <w:t>(6,618)</w:t>
            </w:r>
          </w:p>
        </w:tc>
        <w:tc>
          <w:tcPr>
            <w:tcW w:w="18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(6,513)</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2,180</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376</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53"/>
              <w:spacing w:after="0"/>
              <w:rPr>
                <w:sz w:val="20"/>
                <w:szCs w:val="20"/>
                <w:color w:val="auto"/>
              </w:rPr>
            </w:pPr>
            <w:r>
              <w:rPr>
                <w:rFonts w:ascii="Arial" w:cs="Arial" w:eastAsia="Arial" w:hAnsi="Arial"/>
                <w:sz w:val="9"/>
                <w:szCs w:val="9"/>
                <w:color w:val="auto"/>
              </w:rPr>
              <w:t>(5,249)</w:t>
            </w:r>
          </w:p>
        </w:tc>
        <w:tc>
          <w:tcPr>
            <w:tcW w:w="180" w:type="dxa"/>
            <w:vAlign w:val="bottom"/>
          </w:tcPr>
          <w:p>
            <w:pPr>
              <w:spacing w:after="0"/>
              <w:rPr>
                <w:sz w:val="10"/>
                <w:szCs w:val="1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(6,461)</w:t>
            </w:r>
          </w:p>
        </w:tc>
      </w:tr>
      <w:tr>
        <w:trPr>
          <w:trHeight w:val="116"/>
        </w:trPr>
        <w:tc>
          <w:tcPr>
            <w:tcW w:w="3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ind w:right="493"/>
              <w:spacing w:after="0" w:line="96" w:lineRule="exact"/>
              <w:rPr>
                <w:sz w:val="20"/>
                <w:szCs w:val="20"/>
                <w:color w:val="auto"/>
              </w:rPr>
            </w:pPr>
            <w:r>
              <w:rPr>
                <w:rFonts w:ascii="Arial" w:cs="Arial" w:eastAsia="Arial" w:hAnsi="Arial"/>
                <w:sz w:val="9"/>
                <w:szCs w:val="9"/>
                <w:color w:val="auto"/>
              </w:rPr>
              <w:t>1,942</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1,292</w:t>
            </w:r>
          </w:p>
        </w:tc>
      </w:tr>
      <w:tr>
        <w:trPr>
          <w:trHeight w:val="114"/>
        </w:trPr>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tcBorders>
              <w:bottom w:val="single" w:sz="8" w:color="auto"/>
            </w:tcBorders>
            <w:gridSpan w:val="4"/>
          </w:tcPr>
          <w:p>
            <w:pPr>
              <w:jc w:val="right"/>
              <w:ind w:right="493"/>
              <w:spacing w:after="0" w:line="94" w:lineRule="exact"/>
              <w:rPr>
                <w:sz w:val="20"/>
                <w:szCs w:val="20"/>
                <w:color w:val="auto"/>
              </w:rPr>
            </w:pPr>
            <w:r>
              <w:rPr>
                <w:rFonts w:ascii="Arial" w:cs="Arial" w:eastAsia="Arial" w:hAnsi="Arial"/>
                <w:sz w:val="9"/>
                <w:szCs w:val="9"/>
                <w:color w:val="auto"/>
              </w:rPr>
              <w:t>216,523</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199,443</w:t>
            </w:r>
          </w:p>
        </w:tc>
      </w:tr>
      <w:tr>
        <w:trPr>
          <w:trHeight w:val="354"/>
        </w:trPr>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1.16</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1.09</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187,220</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182,910</w:t>
            </w:r>
          </w:p>
        </w:tc>
      </w:tr>
      <w:tr>
        <w:trPr>
          <w:trHeight w:val="588"/>
        </w:trPr>
        <w:tc>
          <w:tcPr>
            <w:tcW w:w="300" w:type="dxa"/>
            <w:vAlign w:val="bottom"/>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216,523</w:t>
            </w:r>
          </w:p>
        </w:tc>
        <w:tc>
          <w:tcPr>
            <w:tcW w:w="1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199,443</w:t>
            </w:r>
          </w:p>
        </w:tc>
      </w:tr>
      <w:tr>
        <w:trPr>
          <w:trHeight w:val="235"/>
        </w:trPr>
        <w:tc>
          <w:tcPr>
            <w:tcW w:w="300" w:type="dxa"/>
            <w:vAlign w:val="bottom"/>
          </w:tcPr>
          <w:p>
            <w:pPr>
              <w:spacing w:after="0"/>
              <w:rPr>
                <w:sz w:val="20"/>
                <w:szCs w:val="20"/>
                <w:color w:val="auto"/>
              </w:rPr>
            </w:pPr>
          </w:p>
        </w:tc>
        <w:tc>
          <w:tcPr>
            <w:tcW w:w="1580" w:type="dxa"/>
            <w:vAlign w:val="bottom"/>
            <w:gridSpan w:val="4"/>
          </w:tcPr>
          <w:p>
            <w:pPr>
              <w:jc w:val="right"/>
              <w:ind w:right="453"/>
              <w:spacing w:after="0"/>
              <w:rPr>
                <w:sz w:val="20"/>
                <w:szCs w:val="20"/>
                <w:color w:val="auto"/>
              </w:rPr>
            </w:pPr>
            <w:r>
              <w:rPr>
                <w:rFonts w:ascii="Arial" w:cs="Arial" w:eastAsia="Arial" w:hAnsi="Arial"/>
                <w:sz w:val="9"/>
                <w:szCs w:val="9"/>
                <w:color w:val="auto"/>
              </w:rPr>
              <w:t>(27,087)</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9"/>
                <w:szCs w:val="9"/>
                <w:color w:val="auto"/>
              </w:rPr>
              <w:t>(23,753)</w:t>
            </w:r>
          </w:p>
        </w:tc>
      </w:tr>
      <w:tr>
        <w:trPr>
          <w:trHeight w:val="118"/>
        </w:trPr>
        <w:tc>
          <w:tcPr>
            <w:tcW w:w="300" w:type="dxa"/>
            <w:vAlign w:val="bottom"/>
          </w:tcPr>
          <w:p>
            <w:pPr>
              <w:spacing w:after="0"/>
              <w:rPr>
                <w:sz w:val="10"/>
                <w:szCs w:val="10"/>
                <w:color w:val="auto"/>
              </w:rPr>
            </w:pPr>
          </w:p>
        </w:tc>
        <w:tc>
          <w:tcPr>
            <w:tcW w:w="1580" w:type="dxa"/>
            <w:vAlign w:val="bottom"/>
            <w:gridSpan w:val="4"/>
          </w:tcPr>
          <w:p>
            <w:pPr>
              <w:jc w:val="right"/>
              <w:ind w:right="493"/>
              <w:spacing w:after="0"/>
              <w:rPr>
                <w:sz w:val="20"/>
                <w:szCs w:val="20"/>
                <w:color w:val="auto"/>
              </w:rPr>
            </w:pPr>
            <w:r>
              <w:rPr>
                <w:rFonts w:ascii="Arial" w:cs="Arial" w:eastAsia="Arial" w:hAnsi="Arial"/>
                <w:sz w:val="9"/>
                <w:szCs w:val="9"/>
                <w:color w:val="auto"/>
              </w:rPr>
              <w:t>2,230</w:t>
            </w:r>
          </w:p>
        </w:tc>
        <w:tc>
          <w:tcPr>
            <w:tcW w:w="180" w:type="dxa"/>
            <w:vAlign w:val="bottom"/>
          </w:tcPr>
          <w:p>
            <w:pPr>
              <w:spacing w:after="0"/>
              <w:rPr>
                <w:sz w:val="10"/>
                <w:szCs w:val="1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9"/>
                <w:szCs w:val="9"/>
                <w:color w:val="auto"/>
              </w:rPr>
              <w:t>2,129</w:t>
            </w:r>
          </w:p>
        </w:tc>
      </w:tr>
      <w:tr>
        <w:trPr>
          <w:trHeight w:val="116"/>
        </w:trPr>
        <w:tc>
          <w:tcPr>
            <w:tcW w:w="3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right"/>
              <w:ind w:right="493"/>
              <w:spacing w:after="0" w:line="96" w:lineRule="exact"/>
              <w:rPr>
                <w:sz w:val="20"/>
                <w:szCs w:val="20"/>
                <w:color w:val="auto"/>
              </w:rPr>
            </w:pPr>
            <w:r>
              <w:rPr>
                <w:rFonts w:ascii="Arial" w:cs="Arial" w:eastAsia="Arial" w:hAnsi="Arial"/>
                <w:sz w:val="9"/>
                <w:szCs w:val="9"/>
                <w:color w:val="auto"/>
              </w:rPr>
              <w:t>5,868</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120"/>
              <w:spacing w:after="0" w:line="96" w:lineRule="exact"/>
              <w:rPr>
                <w:sz w:val="20"/>
                <w:szCs w:val="20"/>
                <w:color w:val="auto"/>
              </w:rPr>
            </w:pPr>
            <w:r>
              <w:rPr>
                <w:rFonts w:ascii="Arial" w:cs="Arial" w:eastAsia="Arial" w:hAnsi="Arial"/>
                <w:sz w:val="9"/>
                <w:szCs w:val="9"/>
                <w:color w:val="auto"/>
              </w:rPr>
              <w:t>5,443</w:t>
            </w:r>
          </w:p>
        </w:tc>
      </w:tr>
      <w:tr>
        <w:trPr>
          <w:trHeight w:val="114"/>
        </w:trPr>
        <w:tc>
          <w:tcPr>
            <w:tcW w:w="300" w:type="dxa"/>
            <w:vAlign w:val="bottom"/>
            <w:tcBorders>
              <w:bottom w:val="single" w:sz="8" w:color="auto"/>
            </w:tcBorders>
          </w:tcPr>
          <w:p>
            <w:pPr>
              <w:jc w:val="right"/>
              <w:ind w:right="236"/>
              <w:spacing w:after="0"/>
              <w:rPr>
                <w:sz w:val="20"/>
                <w:szCs w:val="20"/>
                <w:color w:val="auto"/>
              </w:rPr>
            </w:pPr>
            <w:r>
              <w:rPr>
                <w:rFonts w:ascii="Arial" w:cs="Arial" w:eastAsia="Arial" w:hAnsi="Arial"/>
                <w:sz w:val="5"/>
                <w:szCs w:val="5"/>
                <w:color w:val="auto"/>
                <w:w w:val="70"/>
              </w:rPr>
              <w:t>$</w:t>
            </w:r>
          </w:p>
        </w:tc>
        <w:tc>
          <w:tcPr>
            <w:tcW w:w="1580" w:type="dxa"/>
            <w:vAlign w:val="bottom"/>
            <w:tcBorders>
              <w:bottom w:val="single" w:sz="8" w:color="auto"/>
            </w:tcBorders>
            <w:gridSpan w:val="4"/>
          </w:tcPr>
          <w:p>
            <w:pPr>
              <w:jc w:val="right"/>
              <w:ind w:right="493"/>
              <w:spacing w:after="0" w:line="94" w:lineRule="exact"/>
              <w:rPr>
                <w:sz w:val="20"/>
                <w:szCs w:val="20"/>
                <w:color w:val="auto"/>
              </w:rPr>
            </w:pPr>
            <w:r>
              <w:rPr>
                <w:rFonts w:ascii="Arial" w:cs="Arial" w:eastAsia="Arial" w:hAnsi="Arial"/>
                <w:sz w:val="9"/>
                <w:szCs w:val="9"/>
                <w:color w:val="auto"/>
              </w:rPr>
              <w:t>197,534</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2"/>
          </w:tcPr>
          <w:p>
            <w:pPr>
              <w:jc w:val="right"/>
              <w:ind w:right="120"/>
              <w:spacing w:after="0" w:line="94" w:lineRule="exact"/>
              <w:rPr>
                <w:sz w:val="20"/>
                <w:szCs w:val="20"/>
                <w:color w:val="auto"/>
              </w:rPr>
            </w:pPr>
            <w:r>
              <w:rPr>
                <w:rFonts w:ascii="Arial" w:cs="Arial" w:eastAsia="Arial" w:hAnsi="Arial"/>
                <w:sz w:val="9"/>
                <w:szCs w:val="9"/>
                <w:color w:val="auto"/>
              </w:rPr>
              <w:t>183,262</w:t>
            </w:r>
          </w:p>
        </w:tc>
      </w:tr>
    </w:tbl>
    <w:p>
      <w:pPr>
        <w:spacing w:after="0" w:line="200" w:lineRule="exact"/>
        <w:rPr>
          <w:sz w:val="20"/>
          <w:szCs w:val="20"/>
          <w:color w:val="auto"/>
        </w:rPr>
      </w:pPr>
    </w:p>
    <w:p>
      <w:pPr>
        <w:spacing w:after="0" w:line="259"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9</w:t>
      </w:r>
    </w:p>
    <w:p>
      <w:pPr>
        <w:sectPr>
          <w:pgSz w:w="11900" w:h="16838" w:orient="portrait"/>
          <w:cols w:equalWidth="0" w:num="2">
            <w:col w:w="7588" w:space="720"/>
            <w:col w:w="3000"/>
          </w:cols>
          <w:pgMar w:left="292" w:top="732" w:right="299" w:bottom="1440" w:gutter="0" w:footer="0" w:header="0"/>
        </w:sectPr>
      </w:pPr>
    </w:p>
    <w:bookmarkStart w:id="31" w:name="page32"/>
    <w:bookmarkEnd w:id="31"/>
    <w:p>
      <w:pPr>
        <w:jc w:val="center"/>
        <w:ind w:left="4368"/>
        <w:spacing w:after="0"/>
        <w:rPr>
          <w:sz w:val="20"/>
          <w:szCs w:val="20"/>
          <w:color w:val="auto"/>
        </w:rPr>
      </w:pPr>
      <w:r>
        <w:rPr>
          <w:rFonts w:ascii="Arial" w:cs="Arial" w:eastAsia="Arial" w:hAnsi="Arial"/>
          <w:sz w:val="12"/>
          <w:szCs w:val="12"/>
          <w:color w:val="auto"/>
          <w:highlight w:val="black"/>
        </w:rPr>
        <w:t xml:space="preserve">Capital </w:t>
      </w:r>
      <w:r>
        <w:rPr>
          <w:rFonts w:ascii="Arial" w:cs="Arial" w:eastAsia="Arial" w:hAnsi="Arial"/>
          <w:sz w:val="12"/>
          <w:szCs w:val="12"/>
          <w:color w:val="auto"/>
        </w:rPr>
        <w:t>Expenditures and Additional Disclosures</w:t>
      </w:r>
    </w:p>
    <w:p>
      <w:pPr>
        <w:spacing w:after="0" w:line="18" w:lineRule="exact"/>
        <w:rPr>
          <w:sz w:val="20"/>
          <w:szCs w:val="20"/>
          <w:color w:val="auto"/>
        </w:rPr>
      </w:pPr>
    </w:p>
    <w:p>
      <w:pPr>
        <w:jc w:val="center"/>
        <w:ind w:left="4368"/>
        <w:spacing w:after="0"/>
        <w:rPr>
          <w:sz w:val="20"/>
          <w:szCs w:val="20"/>
          <w:color w:val="auto"/>
        </w:rPr>
      </w:pPr>
      <w:r>
        <w:rPr>
          <w:rFonts w:ascii="Arial" w:cs="Arial" w:eastAsia="Arial" w:hAnsi="Arial"/>
          <w:sz w:val="11"/>
          <w:szCs w:val="11"/>
          <w:color w:val="auto"/>
        </w:rPr>
        <w:t>For the Periods Ended March 31, 2026 and 2025</w:t>
      </w:r>
    </w:p>
    <w:p>
      <w:pPr>
        <w:spacing w:after="0" w:line="7" w:lineRule="exact"/>
        <w:rPr>
          <w:sz w:val="20"/>
          <w:szCs w:val="20"/>
          <w:color w:val="auto"/>
        </w:rPr>
      </w:pPr>
    </w:p>
    <w:p>
      <w:pPr>
        <w:jc w:val="center"/>
        <w:ind w:left="4368"/>
        <w:spacing w:after="0"/>
        <w:rPr>
          <w:sz w:val="20"/>
          <w:szCs w:val="20"/>
          <w:color w:val="auto"/>
        </w:rPr>
      </w:pPr>
      <w:r>
        <w:rPr>
          <w:rFonts w:ascii="Arial" w:cs="Arial" w:eastAsia="Arial" w:hAnsi="Arial"/>
          <w:sz w:val="12"/>
          <w:szCs w:val="12"/>
          <w:color w:val="auto"/>
        </w:rPr>
        <w:t>(in thousands)</w:t>
      </w:r>
    </w:p>
    <w:p>
      <w:pPr>
        <w:spacing w:after="0" w:line="344" w:lineRule="exact"/>
        <w:rPr>
          <w:sz w:val="20"/>
          <w:szCs w:val="20"/>
          <w:color w:val="auto"/>
        </w:rPr>
      </w:pPr>
    </w:p>
    <w:p>
      <w:pPr>
        <w:ind w:left="8"/>
        <w:spacing w:after="0"/>
        <w:rPr>
          <w:sz w:val="20"/>
          <w:szCs w:val="20"/>
          <w:color w:val="auto"/>
        </w:rPr>
      </w:pPr>
      <w:r>
        <w:rPr>
          <w:rFonts w:ascii="Arial" w:cs="Arial" w:eastAsia="Arial" w:hAnsi="Arial"/>
          <w:sz w:val="9"/>
          <w:szCs w:val="9"/>
          <w:color w:val="auto"/>
          <w:highlight w:val="black"/>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62230</wp:posOffset>
            </wp:positionV>
            <wp:extent cx="76200" cy="66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100" w:lineRule="exact"/>
        <w:rPr>
          <w:sz w:val="20"/>
          <w:szCs w:val="20"/>
          <w:color w:val="auto"/>
        </w:rPr>
      </w:pPr>
    </w:p>
    <w:p>
      <w:pPr>
        <w:ind w:left="8"/>
        <w:spacing w:after="0"/>
        <w:rPr>
          <w:sz w:val="20"/>
          <w:szCs w:val="20"/>
          <w:color w:val="auto"/>
        </w:rPr>
      </w:pPr>
      <w:r>
        <w:rPr>
          <w:rFonts w:ascii="Arial" w:cs="Arial" w:eastAsia="Arial" w:hAnsi="Arial"/>
          <w:sz w:val="9"/>
          <w:szCs w:val="9"/>
          <w:color w:val="auto"/>
        </w:rPr>
        <w:t xml:space="preserve">Operating Properties </w:t>
      </w:r>
      <w:r>
        <w:rPr>
          <w:rFonts w:ascii="Arial" w:cs="Arial" w:eastAsia="Arial" w:hAnsi="Arial"/>
          <w:sz w:val="12"/>
          <w:szCs w:val="12"/>
          <w:color w:val="auto"/>
          <w:vertAlign w:val="superscript"/>
        </w:rPr>
        <w:t>(1)</w:t>
      </w:r>
    </w:p>
    <w:p>
      <w:pPr>
        <w:ind w:left="128"/>
        <w:spacing w:after="0" w:line="218" w:lineRule="auto"/>
        <w:rPr>
          <w:sz w:val="20"/>
          <w:szCs w:val="20"/>
          <w:color w:val="auto"/>
        </w:rPr>
      </w:pPr>
      <w:r>
        <w:rPr>
          <w:rFonts w:ascii="Arial" w:cs="Arial" w:eastAsia="Arial" w:hAnsi="Arial"/>
          <w:sz w:val="9"/>
          <w:szCs w:val="9"/>
          <w:color w:val="auto"/>
        </w:rPr>
        <w:t>Tenant allowance and landlord work</w:t>
      </w:r>
    </w:p>
    <w:p>
      <w:pPr>
        <w:spacing w:after="0" w:line="14" w:lineRule="exact"/>
        <w:rPr>
          <w:sz w:val="20"/>
          <w:szCs w:val="20"/>
          <w:color w:val="auto"/>
        </w:rPr>
      </w:pPr>
    </w:p>
    <w:p>
      <w:pPr>
        <w:ind w:left="128"/>
        <w:spacing w:after="0"/>
        <w:rPr>
          <w:sz w:val="20"/>
          <w:szCs w:val="20"/>
          <w:color w:val="auto"/>
        </w:rPr>
      </w:pPr>
      <w:r>
        <w:rPr>
          <w:rFonts w:ascii="Arial" w:cs="Arial" w:eastAsia="Arial" w:hAnsi="Arial"/>
          <w:sz w:val="9"/>
          <w:szCs w:val="9"/>
          <w:color w:val="auto"/>
        </w:rPr>
        <w:t>Leasing commissions</w:t>
      </w:r>
    </w:p>
    <w:p>
      <w:pPr>
        <w:spacing w:after="0" w:line="23" w:lineRule="exact"/>
        <w:rPr>
          <w:sz w:val="20"/>
          <w:szCs w:val="20"/>
          <w:color w:val="auto"/>
        </w:rPr>
      </w:pPr>
    </w:p>
    <w:p>
      <w:pPr>
        <w:ind w:left="248"/>
        <w:spacing w:after="0"/>
        <w:rPr>
          <w:sz w:val="20"/>
          <w:szCs w:val="20"/>
          <w:color w:val="auto"/>
        </w:rPr>
      </w:pPr>
      <w:r>
        <w:rPr>
          <w:rFonts w:ascii="Arial" w:cs="Arial" w:eastAsia="Arial" w:hAnsi="Arial"/>
          <w:sz w:val="9"/>
          <w:szCs w:val="9"/>
          <w:color w:val="auto"/>
        </w:rPr>
        <w:t>Leasing Capital Expenditures</w:t>
      </w:r>
    </w:p>
    <w:p>
      <w:pPr>
        <w:spacing w:after="0" w:line="132" w:lineRule="exact"/>
        <w:rPr>
          <w:sz w:val="20"/>
          <w:szCs w:val="20"/>
          <w:color w:val="auto"/>
        </w:rPr>
      </w:pPr>
    </w:p>
    <w:p>
      <w:pPr>
        <w:ind w:left="128"/>
        <w:spacing w:after="0"/>
        <w:rPr>
          <w:sz w:val="20"/>
          <w:szCs w:val="20"/>
          <w:color w:val="auto"/>
        </w:rPr>
      </w:pPr>
      <w:r>
        <w:rPr>
          <w:rFonts w:ascii="Arial" w:cs="Arial" w:eastAsia="Arial" w:hAnsi="Arial"/>
          <w:sz w:val="9"/>
          <w:szCs w:val="9"/>
          <w:color w:val="auto"/>
        </w:rPr>
        <w:t>Building improvements</w:t>
      </w:r>
    </w:p>
    <w:p>
      <w:pPr>
        <w:spacing w:after="0" w:line="32" w:lineRule="exact"/>
        <w:rPr>
          <w:sz w:val="20"/>
          <w:szCs w:val="20"/>
          <w:color w:val="auto"/>
        </w:rPr>
      </w:pPr>
    </w:p>
    <w:p>
      <w:pPr>
        <w:ind w:left="248"/>
        <w:spacing w:after="0"/>
        <w:rPr>
          <w:sz w:val="20"/>
          <w:szCs w:val="20"/>
          <w:color w:val="auto"/>
        </w:rPr>
      </w:pPr>
      <w:r>
        <w:rPr>
          <w:rFonts w:ascii="Arial" w:cs="Arial" w:eastAsia="Arial" w:hAnsi="Arial"/>
          <w:sz w:val="9"/>
          <w:szCs w:val="9"/>
          <w:color w:val="auto"/>
        </w:rPr>
        <w:t>Operating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1151890</wp:posOffset>
            </wp:positionH>
            <wp:positionV relativeFrom="paragraph">
              <wp:posOffset>148590</wp:posOffset>
            </wp:positionV>
            <wp:extent cx="76200" cy="66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236" w:lineRule="exact"/>
        <w:rPr>
          <w:sz w:val="20"/>
          <w:szCs w:val="20"/>
          <w:color w:val="auto"/>
        </w:rPr>
      </w:pPr>
    </w:p>
    <w:p>
      <w:pPr>
        <w:ind w:left="8"/>
        <w:spacing w:after="0"/>
        <w:rPr>
          <w:sz w:val="20"/>
          <w:szCs w:val="20"/>
          <w:color w:val="auto"/>
        </w:rPr>
      </w:pPr>
      <w:r>
        <w:rPr>
          <w:rFonts w:ascii="Arial" w:cs="Arial" w:eastAsia="Arial" w:hAnsi="Arial"/>
          <w:sz w:val="9"/>
          <w:szCs w:val="9"/>
          <w:color w:val="auto"/>
        </w:rPr>
        <w:t xml:space="preserve">Development &amp; Redevelopment Properties </w:t>
      </w:r>
      <w:r>
        <w:rPr>
          <w:rFonts w:ascii="Arial" w:cs="Arial" w:eastAsia="Arial" w:hAnsi="Arial"/>
          <w:sz w:val="12"/>
          <w:szCs w:val="12"/>
          <w:color w:val="auto"/>
          <w:vertAlign w:val="superscript"/>
        </w:rPr>
        <w:t>(1)</w:t>
      </w:r>
    </w:p>
    <w:p>
      <w:pPr>
        <w:ind w:left="128"/>
        <w:spacing w:after="0" w:line="218" w:lineRule="auto"/>
        <w:rPr>
          <w:sz w:val="20"/>
          <w:szCs w:val="20"/>
          <w:color w:val="auto"/>
        </w:rPr>
      </w:pPr>
      <w:r>
        <w:rPr>
          <w:rFonts w:ascii="Arial" w:cs="Arial" w:eastAsia="Arial" w:hAnsi="Arial"/>
          <w:sz w:val="9"/>
          <w:szCs w:val="9"/>
          <w:color w:val="auto"/>
        </w:rPr>
        <w:t>Ground-up development</w:t>
      </w:r>
    </w:p>
    <w:p>
      <w:pPr>
        <w:spacing w:after="0" w:line="14" w:lineRule="exact"/>
        <w:rPr>
          <w:sz w:val="20"/>
          <w:szCs w:val="20"/>
          <w:color w:val="auto"/>
        </w:rPr>
      </w:pPr>
    </w:p>
    <w:p>
      <w:pPr>
        <w:ind w:left="128"/>
        <w:spacing w:after="0"/>
        <w:rPr>
          <w:sz w:val="20"/>
          <w:szCs w:val="20"/>
          <w:color w:val="auto"/>
        </w:rPr>
      </w:pPr>
      <w:r>
        <w:rPr>
          <w:rFonts w:ascii="Arial" w:cs="Arial" w:eastAsia="Arial" w:hAnsi="Arial"/>
          <w:sz w:val="9"/>
          <w:szCs w:val="9"/>
          <w:color w:val="auto"/>
        </w:rPr>
        <w:t>Redevelopment</w:t>
      </w:r>
    </w:p>
    <w:p>
      <w:pPr>
        <w:spacing w:after="0" w:line="32" w:lineRule="exact"/>
        <w:rPr>
          <w:sz w:val="20"/>
          <w:szCs w:val="20"/>
          <w:color w:val="auto"/>
        </w:rPr>
      </w:pPr>
    </w:p>
    <w:p>
      <w:pPr>
        <w:ind w:left="248"/>
        <w:spacing w:after="0"/>
        <w:rPr>
          <w:sz w:val="20"/>
          <w:szCs w:val="20"/>
          <w:color w:val="auto"/>
        </w:rPr>
      </w:pPr>
      <w:r>
        <w:rPr>
          <w:rFonts w:ascii="Arial" w:cs="Arial" w:eastAsia="Arial" w:hAnsi="Arial"/>
          <w:sz w:val="9"/>
          <w:szCs w:val="9"/>
          <w:color w:val="auto"/>
        </w:rPr>
        <w:t>Development &amp; Redevelopment Expenditures</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Net Income to Nareit EBITDAre: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Net Income</w:t>
      </w:r>
    </w:p>
    <w:p>
      <w:pPr>
        <w:spacing w:after="0" w:line="3" w:lineRule="exact"/>
        <w:rPr>
          <w:sz w:val="20"/>
          <w:szCs w:val="20"/>
          <w:color w:val="auto"/>
        </w:rPr>
      </w:pPr>
    </w:p>
    <w:p>
      <w:pPr>
        <w:ind w:left="128"/>
        <w:spacing w:after="0"/>
        <w:rPr>
          <w:sz w:val="20"/>
          <w:szCs w:val="20"/>
          <w:color w:val="auto"/>
        </w:rPr>
      </w:pPr>
      <w:r>
        <w:rPr>
          <w:rFonts w:ascii="Arial" w:cs="Arial" w:eastAsia="Arial" w:hAnsi="Arial"/>
          <w:sz w:val="9"/>
          <w:szCs w:val="9"/>
          <w:color w:val="auto"/>
        </w:rPr>
        <w:t xml:space="preserve">Adjustments to reconcile to Nareit EBITDAre </w:t>
      </w:r>
      <w:r>
        <w:rPr>
          <w:rFonts w:ascii="Arial" w:cs="Arial" w:eastAsia="Arial" w:hAnsi="Arial"/>
          <w:sz w:val="12"/>
          <w:szCs w:val="12"/>
          <w:color w:val="auto"/>
          <w:vertAlign w:val="superscript"/>
        </w:rPr>
        <w:t>(2)</w:t>
      </w:r>
      <w:r>
        <w:rPr>
          <w:rFonts w:ascii="Arial" w:cs="Arial" w:eastAsia="Arial" w:hAnsi="Arial"/>
          <w:sz w:val="9"/>
          <w:szCs w:val="9"/>
          <w:color w:val="auto"/>
        </w:rPr>
        <w:t>:</w:t>
      </w:r>
    </w:p>
    <w:p>
      <w:pPr>
        <w:ind w:left="248"/>
        <w:spacing w:after="0" w:line="218" w:lineRule="auto"/>
        <w:rPr>
          <w:sz w:val="20"/>
          <w:szCs w:val="20"/>
          <w:color w:val="auto"/>
        </w:rPr>
      </w:pPr>
      <w:r>
        <w:rPr>
          <w:rFonts w:ascii="Arial" w:cs="Arial" w:eastAsia="Arial" w:hAnsi="Arial"/>
          <w:sz w:val="9"/>
          <w:szCs w:val="9"/>
          <w:color w:val="auto"/>
        </w:rPr>
        <w:t>Interest expense</w:t>
      </w:r>
    </w:p>
    <w:p>
      <w:pPr>
        <w:spacing w:after="0" w:line="14" w:lineRule="exact"/>
        <w:rPr>
          <w:sz w:val="20"/>
          <w:szCs w:val="20"/>
          <w:color w:val="auto"/>
        </w:rPr>
      </w:pPr>
    </w:p>
    <w:p>
      <w:pPr>
        <w:ind w:left="248"/>
        <w:spacing w:after="0"/>
        <w:rPr>
          <w:sz w:val="20"/>
          <w:szCs w:val="20"/>
          <w:color w:val="auto"/>
        </w:rPr>
      </w:pPr>
      <w:r>
        <w:rPr>
          <w:rFonts w:ascii="Arial" w:cs="Arial" w:eastAsia="Arial" w:hAnsi="Arial"/>
          <w:sz w:val="9"/>
          <w:szCs w:val="9"/>
          <w:color w:val="auto"/>
        </w:rPr>
        <w:t>Income tax expense</w:t>
      </w:r>
    </w:p>
    <w:p>
      <w:pPr>
        <w:spacing w:after="0" w:line="14" w:lineRule="exact"/>
        <w:rPr>
          <w:sz w:val="20"/>
          <w:szCs w:val="20"/>
          <w:color w:val="auto"/>
        </w:rPr>
      </w:pPr>
    </w:p>
    <w:p>
      <w:pPr>
        <w:ind w:left="248"/>
        <w:spacing w:after="0"/>
        <w:rPr>
          <w:sz w:val="20"/>
          <w:szCs w:val="20"/>
          <w:color w:val="auto"/>
        </w:rPr>
      </w:pPr>
      <w:r>
        <w:rPr>
          <w:rFonts w:ascii="Arial" w:cs="Arial" w:eastAsia="Arial" w:hAnsi="Arial"/>
          <w:sz w:val="9"/>
          <w:szCs w:val="9"/>
          <w:color w:val="auto"/>
        </w:rPr>
        <w:t>Depreciation and amortization</w:t>
      </w:r>
    </w:p>
    <w:p>
      <w:pPr>
        <w:spacing w:after="0" w:line="14" w:lineRule="exact"/>
        <w:rPr>
          <w:sz w:val="20"/>
          <w:szCs w:val="20"/>
          <w:color w:val="auto"/>
        </w:rPr>
      </w:pPr>
    </w:p>
    <w:p>
      <w:pPr>
        <w:ind w:left="248"/>
        <w:spacing w:after="0"/>
        <w:rPr>
          <w:sz w:val="20"/>
          <w:szCs w:val="20"/>
          <w:color w:val="auto"/>
        </w:rPr>
      </w:pPr>
      <w:r>
        <w:rPr>
          <w:rFonts w:ascii="Arial" w:cs="Arial" w:eastAsia="Arial" w:hAnsi="Arial"/>
          <w:sz w:val="9"/>
          <w:szCs w:val="9"/>
          <w:color w:val="auto"/>
        </w:rPr>
        <w:t>Gain on sale of real estate,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12700</wp:posOffset>
            </wp:positionV>
            <wp:extent cx="82550" cy="62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0" cy="62865"/>
                    </a:xfrm>
                    <a:prstGeom prst="rect">
                      <a:avLst/>
                    </a:prstGeom>
                    <a:noFill/>
                  </pic:spPr>
                </pic:pic>
              </a:graphicData>
            </a:graphic>
          </wp:anchor>
        </w:drawing>
      </w:r>
    </w:p>
    <w:p>
      <w:pPr>
        <w:ind w:left="388"/>
        <w:spacing w:after="0"/>
        <w:rPr>
          <w:sz w:val="20"/>
          <w:szCs w:val="20"/>
          <w:color w:val="auto"/>
        </w:rPr>
      </w:pPr>
      <w:r>
        <w:rPr>
          <w:rFonts w:ascii="Arial" w:cs="Arial" w:eastAsia="Arial" w:hAnsi="Arial"/>
          <w:sz w:val="9"/>
          <w:szCs w:val="9"/>
          <w:color w:val="auto"/>
          <w:highlight w:val="black"/>
        </w:rPr>
        <w:t>Nareit EBITDAr</w:t>
      </w:r>
      <w:r>
        <w:rPr>
          <w:rFonts w:ascii="Arial" w:cs="Arial" w:eastAsia="Arial" w:hAnsi="Arial"/>
          <w:sz w:val="9"/>
          <w:szCs w:val="9"/>
          <w:color w:val="auto"/>
        </w:rPr>
        <w:t>e</w:t>
      </w:r>
    </w:p>
    <w:p>
      <w:pPr>
        <w:spacing w:after="0" w:line="285"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Nareit EBITDAre to Operating EBITDAre:</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Nareit EBITDAre</w:t>
      </w:r>
    </w:p>
    <w:p>
      <w:pPr>
        <w:spacing w:after="0" w:line="3" w:lineRule="exact"/>
        <w:rPr>
          <w:sz w:val="20"/>
          <w:szCs w:val="20"/>
          <w:color w:val="auto"/>
        </w:rPr>
      </w:pPr>
    </w:p>
    <w:p>
      <w:pPr>
        <w:ind w:left="128"/>
        <w:spacing w:after="0"/>
        <w:rPr>
          <w:sz w:val="20"/>
          <w:szCs w:val="20"/>
          <w:color w:val="auto"/>
        </w:rPr>
      </w:pPr>
      <w:r>
        <w:rPr>
          <w:rFonts w:ascii="Arial" w:cs="Arial" w:eastAsia="Arial" w:hAnsi="Arial"/>
          <w:sz w:val="9"/>
          <w:szCs w:val="9"/>
          <w:color w:val="auto"/>
        </w:rPr>
        <w:t xml:space="preserve">Adjustments to reconcile to Operating EBITDAre </w:t>
      </w:r>
      <w:r>
        <w:rPr>
          <w:rFonts w:ascii="Arial" w:cs="Arial" w:eastAsia="Arial" w:hAnsi="Arial"/>
          <w:sz w:val="12"/>
          <w:szCs w:val="12"/>
          <w:color w:val="auto"/>
          <w:vertAlign w:val="superscript"/>
        </w:rPr>
        <w:t>(2)</w:t>
      </w:r>
      <w:r>
        <w:rPr>
          <w:rFonts w:ascii="Arial" w:cs="Arial" w:eastAsia="Arial" w:hAnsi="Arial"/>
          <w:sz w:val="9"/>
          <w:szCs w:val="9"/>
          <w:color w:val="auto"/>
        </w:rPr>
        <w:t>:</w:t>
      </w:r>
    </w:p>
    <w:p>
      <w:pPr>
        <w:ind w:left="248"/>
        <w:spacing w:after="0" w:line="218" w:lineRule="auto"/>
        <w:rPr>
          <w:sz w:val="20"/>
          <w:szCs w:val="20"/>
          <w:color w:val="auto"/>
        </w:rPr>
      </w:pPr>
      <w:r>
        <w:rPr>
          <w:rFonts w:ascii="Arial" w:cs="Arial" w:eastAsia="Arial" w:hAnsi="Arial"/>
          <w:sz w:val="9"/>
          <w:szCs w:val="9"/>
          <w:color w:val="auto"/>
        </w:rPr>
        <w:t>Straight-line rent, net</w:t>
      </w:r>
    </w:p>
    <w:p>
      <w:pPr>
        <w:spacing w:after="0" w:line="14" w:lineRule="exact"/>
        <w:rPr>
          <w:sz w:val="20"/>
          <w:szCs w:val="20"/>
          <w:color w:val="auto"/>
        </w:rPr>
      </w:pPr>
    </w:p>
    <w:p>
      <w:pPr>
        <w:ind w:left="248"/>
        <w:spacing w:after="0"/>
        <w:rPr>
          <w:sz w:val="20"/>
          <w:szCs w:val="20"/>
          <w:color w:val="auto"/>
        </w:rPr>
      </w:pPr>
      <w:r>
        <w:rPr>
          <w:rFonts w:ascii="Arial" w:cs="Arial" w:eastAsia="Arial" w:hAnsi="Arial"/>
          <w:sz w:val="9"/>
          <w:szCs w:val="9"/>
          <w:color w:val="auto"/>
        </w:rPr>
        <w:t>Above/below market rent amortization,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18415</wp:posOffset>
            </wp:positionV>
            <wp:extent cx="82550" cy="62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0" cy="62865"/>
                    </a:xfrm>
                    <a:prstGeom prst="rect">
                      <a:avLst/>
                    </a:prstGeom>
                    <a:noFill/>
                  </pic:spPr>
                </pic:pic>
              </a:graphicData>
            </a:graphic>
          </wp:anchor>
        </w:drawing>
      </w:r>
    </w:p>
    <w:p>
      <w:pPr>
        <w:spacing w:after="0" w:line="3" w:lineRule="exact"/>
        <w:rPr>
          <w:sz w:val="20"/>
          <w:szCs w:val="20"/>
          <w:color w:val="auto"/>
        </w:rPr>
      </w:pPr>
    </w:p>
    <w:p>
      <w:pPr>
        <w:ind w:left="388"/>
        <w:spacing w:after="0"/>
        <w:rPr>
          <w:sz w:val="20"/>
          <w:szCs w:val="20"/>
          <w:color w:val="auto"/>
        </w:rPr>
      </w:pPr>
      <w:r>
        <w:rPr>
          <w:rFonts w:ascii="Arial" w:cs="Arial" w:eastAsia="Arial" w:hAnsi="Arial"/>
          <w:sz w:val="9"/>
          <w:szCs w:val="9"/>
          <w:color w:val="auto"/>
          <w:highlight w:val="black"/>
        </w:rPr>
        <w:t>Operating EBITDAr</w:t>
      </w:r>
      <w:r>
        <w:rPr>
          <w:rFonts w:ascii="Arial" w:cs="Arial" w:eastAsia="Arial" w:hAnsi="Arial"/>
          <w:sz w:val="9"/>
          <w:szCs w:val="9"/>
          <w:color w:val="auto"/>
        </w:rPr>
        <w:t>e</w:t>
      </w:r>
    </w:p>
    <w:p>
      <w:pPr>
        <w:spacing w:after="0" w:line="242" w:lineRule="exact"/>
        <w:rPr>
          <w:sz w:val="20"/>
          <w:szCs w:val="20"/>
          <w:color w:val="auto"/>
        </w:rPr>
      </w:pPr>
    </w:p>
    <w:p>
      <w:pPr>
        <w:ind w:left="308" w:hanging="308"/>
        <w:spacing w:after="0"/>
        <w:tabs>
          <w:tab w:leader="none" w:pos="308" w:val="left"/>
        </w:tabs>
        <w:numPr>
          <w:ilvl w:val="0"/>
          <w:numId w:val="40"/>
        </w:numPr>
        <w:rPr>
          <w:rFonts w:ascii="Arial" w:cs="Arial" w:eastAsia="Arial" w:hAnsi="Arial"/>
          <w:sz w:val="11"/>
          <w:szCs w:val="11"/>
          <w:color w:val="auto"/>
          <w:vertAlign w:val="superscript"/>
        </w:rPr>
      </w:pPr>
      <w:r>
        <w:rPr>
          <w:rFonts w:ascii="Arial" w:cs="Arial" w:eastAsia="Arial" w:hAnsi="Arial"/>
          <w:sz w:val="8"/>
          <w:szCs w:val="8"/>
          <w:color w:val="auto"/>
        </w:rPr>
        <w:t>Includes Regency's consolidated entities and its share of unconsolidated Real Estate Partnerships, net of share attributable to noncontrolling interests.</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0"/>
        </w:numPr>
        <w:rPr>
          <w:rFonts w:ascii="Arial" w:cs="Arial" w:eastAsia="Arial" w:hAnsi="Arial"/>
          <w:sz w:val="9"/>
          <w:szCs w:val="9"/>
          <w:color w:val="auto"/>
          <w:vertAlign w:val="superscript"/>
        </w:rPr>
      </w:pPr>
      <w:r>
        <w:rPr>
          <w:rFonts w:ascii="Arial" w:cs="Arial" w:eastAsia="Arial" w:hAnsi="Arial"/>
          <w:sz w:val="7"/>
          <w:szCs w:val="7"/>
          <w:color w:val="auto"/>
        </w:rPr>
        <w:t>Includes Regency's consolidated entities and its share of unconsolidated Real Estate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481965</wp:posOffset>
            </wp:positionV>
            <wp:extent cx="720280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3025775</wp:posOffset>
            </wp:positionH>
            <wp:positionV relativeFrom="paragraph">
              <wp:posOffset>635</wp:posOffset>
            </wp:positionV>
            <wp:extent cx="281305" cy="149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highlight w:val="black"/>
              </w:rPr>
              <w:t>Three Months Ended</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98"/>
        </w:trPr>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2026</w:t>
            </w: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auto"/>
            </w:tcBorders>
          </w:tcPr>
          <w:p>
            <w:pPr>
              <w:jc w:val="right"/>
              <w:spacing w:after="0" w:line="78" w:lineRule="exact"/>
              <w:rPr>
                <w:sz w:val="20"/>
                <w:szCs w:val="20"/>
                <w:color w:val="auto"/>
              </w:rPr>
            </w:pPr>
            <w:r>
              <w:rPr>
                <w:rFonts w:ascii="Arial" w:cs="Arial" w:eastAsia="Arial" w:hAnsi="Arial"/>
                <w:sz w:val="8"/>
                <w:szCs w:val="8"/>
                <w:color w:val="auto"/>
                <w:highlight w:val="black"/>
              </w:rPr>
              <w:t>2025</w:t>
            </w:r>
          </w:p>
        </w:tc>
        <w:tc>
          <w:tcPr>
            <w:tcW w:w="920" w:type="dxa"/>
            <w:vAlign w:val="bottom"/>
          </w:tcPr>
          <w:p>
            <w:pPr>
              <w:spacing w:after="0"/>
              <w:rPr>
                <w:sz w:val="8"/>
                <w:szCs w:val="8"/>
                <w:color w:val="auto"/>
              </w:rPr>
            </w:pPr>
          </w:p>
        </w:tc>
      </w:tr>
      <w:tr>
        <w:trPr>
          <w:trHeight w:val="461"/>
        </w:trPr>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15,625</w:t>
            </w:r>
          </w:p>
        </w:tc>
        <w:tc>
          <w:tcPr>
            <w:tcW w:w="2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13,243</w:t>
            </w:r>
          </w:p>
        </w:tc>
      </w:tr>
      <w:tr>
        <w:trPr>
          <w:trHeight w:val="116"/>
        </w:trPr>
        <w:tc>
          <w:tcPr>
            <w:tcW w:w="4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593"/>
              <w:spacing w:after="0" w:line="96" w:lineRule="exact"/>
              <w:rPr>
                <w:sz w:val="20"/>
                <w:szCs w:val="20"/>
                <w:color w:val="auto"/>
              </w:rPr>
            </w:pPr>
            <w:r>
              <w:rPr>
                <w:rFonts w:ascii="Arial" w:cs="Arial" w:eastAsia="Arial" w:hAnsi="Arial"/>
                <w:sz w:val="9"/>
                <w:szCs w:val="9"/>
                <w:color w:val="auto"/>
              </w:rPr>
              <w:t>6,139</w:t>
            </w: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5,063</w:t>
            </w:r>
          </w:p>
        </w:tc>
      </w:tr>
      <w:tr>
        <w:trPr>
          <w:trHeight w:val="108"/>
        </w:trPr>
        <w:tc>
          <w:tcPr>
            <w:tcW w:w="420" w:type="dxa"/>
            <w:vAlign w:val="bottom"/>
          </w:tcPr>
          <w:p>
            <w:pPr>
              <w:spacing w:after="0"/>
              <w:rPr>
                <w:sz w:val="9"/>
                <w:szCs w:val="9"/>
                <w:color w:val="auto"/>
              </w:rPr>
            </w:pP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21,764</w:t>
            </w:r>
          </w:p>
        </w:tc>
        <w:tc>
          <w:tcPr>
            <w:tcW w:w="260" w:type="dxa"/>
            <w:vAlign w:val="bottom"/>
          </w:tcPr>
          <w:p>
            <w:pPr>
              <w:spacing w:after="0"/>
              <w:rPr>
                <w:sz w:val="9"/>
                <w:szCs w:val="9"/>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18,306</w:t>
            </w:r>
          </w:p>
        </w:tc>
      </w:tr>
      <w:tr>
        <w:trPr>
          <w:trHeight w:val="233"/>
        </w:trPr>
        <w:tc>
          <w:tcPr>
            <w:tcW w:w="4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9"/>
                <w:szCs w:val="9"/>
                <w:color w:val="auto"/>
              </w:rPr>
              <w:t>5,323</w:t>
            </w: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color w:val="auto"/>
              </w:rPr>
              <w:t>5,447</w:t>
            </w:r>
          </w:p>
        </w:tc>
      </w:tr>
      <w:tr>
        <w:trPr>
          <w:trHeight w:val="114"/>
        </w:trPr>
        <w:tc>
          <w:tcPr>
            <w:tcW w:w="420" w:type="dxa"/>
            <w:vAlign w:val="bottom"/>
            <w:tcBorders>
              <w:bottom w:val="single" w:sz="8" w:color="auto"/>
            </w:tcBorders>
          </w:tcPr>
          <w:p>
            <w:pPr>
              <w:jc w:val="right"/>
              <w:ind w:right="313"/>
              <w:spacing w:after="0" w:line="94" w:lineRule="exact"/>
              <w:rPr>
                <w:sz w:val="20"/>
                <w:szCs w:val="20"/>
                <w:color w:val="auto"/>
              </w:rPr>
            </w:pPr>
            <w:r>
              <w:rPr>
                <w:rFonts w:ascii="Arial" w:cs="Arial" w:eastAsia="Arial" w:hAnsi="Arial"/>
                <w:sz w:val="9"/>
                <w:szCs w:val="9"/>
                <w:color w:val="auto"/>
                <w:w w:val="78"/>
              </w:rPr>
              <w:t>$</w:t>
            </w:r>
          </w:p>
        </w:tc>
        <w:tc>
          <w:tcPr>
            <w:tcW w:w="2000" w:type="dxa"/>
            <w:vAlign w:val="bottom"/>
            <w:tcBorders>
              <w:bottom w:val="single" w:sz="8" w:color="auto"/>
            </w:tcBorders>
            <w:gridSpan w:val="4"/>
          </w:tcPr>
          <w:p>
            <w:pPr>
              <w:jc w:val="right"/>
              <w:ind w:right="593"/>
              <w:spacing w:after="0" w:line="94" w:lineRule="exact"/>
              <w:rPr>
                <w:sz w:val="20"/>
                <w:szCs w:val="20"/>
                <w:color w:val="auto"/>
              </w:rPr>
            </w:pPr>
            <w:r>
              <w:rPr>
                <w:rFonts w:ascii="Arial" w:cs="Arial" w:eastAsia="Arial" w:hAnsi="Arial"/>
                <w:sz w:val="9"/>
                <w:szCs w:val="9"/>
                <w:color w:val="auto"/>
              </w:rPr>
              <w:t>27,087</w:t>
            </w: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23,753</w:t>
            </w:r>
          </w:p>
        </w:tc>
      </w:tr>
      <w:tr>
        <w:trPr>
          <w:trHeight w:val="472"/>
        </w:trPr>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29,329</w:t>
            </w:r>
          </w:p>
        </w:tc>
        <w:tc>
          <w:tcPr>
            <w:tcW w:w="2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34,154</w:t>
            </w:r>
          </w:p>
        </w:tc>
      </w:tr>
      <w:tr>
        <w:trPr>
          <w:trHeight w:val="116"/>
        </w:trPr>
        <w:tc>
          <w:tcPr>
            <w:tcW w:w="4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593"/>
              <w:spacing w:after="0" w:line="96" w:lineRule="exact"/>
              <w:rPr>
                <w:sz w:val="20"/>
                <w:szCs w:val="20"/>
                <w:color w:val="auto"/>
              </w:rPr>
            </w:pPr>
            <w:r>
              <w:rPr>
                <w:rFonts w:ascii="Arial" w:cs="Arial" w:eastAsia="Arial" w:hAnsi="Arial"/>
                <w:sz w:val="9"/>
                <w:szCs w:val="9"/>
                <w:color w:val="auto"/>
              </w:rPr>
              <w:t>71,371</w:t>
            </w: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120"/>
              <w:spacing w:after="0" w:line="96" w:lineRule="exact"/>
              <w:rPr>
                <w:sz w:val="20"/>
                <w:szCs w:val="20"/>
                <w:color w:val="auto"/>
              </w:rPr>
            </w:pPr>
            <w:r>
              <w:rPr>
                <w:rFonts w:ascii="Arial" w:cs="Arial" w:eastAsia="Arial" w:hAnsi="Arial"/>
                <w:sz w:val="9"/>
                <w:szCs w:val="9"/>
                <w:color w:val="auto"/>
              </w:rPr>
              <w:t>32,752</w:t>
            </w:r>
          </w:p>
        </w:tc>
      </w:tr>
      <w:tr>
        <w:trPr>
          <w:trHeight w:val="114"/>
        </w:trPr>
        <w:tc>
          <w:tcPr>
            <w:tcW w:w="420" w:type="dxa"/>
            <w:vAlign w:val="bottom"/>
            <w:tcBorders>
              <w:bottom w:val="single" w:sz="8" w:color="auto"/>
            </w:tcBorders>
          </w:tcPr>
          <w:p>
            <w:pPr>
              <w:jc w:val="right"/>
              <w:ind w:right="313"/>
              <w:spacing w:after="0" w:line="94" w:lineRule="exact"/>
              <w:rPr>
                <w:sz w:val="20"/>
                <w:szCs w:val="20"/>
                <w:color w:val="auto"/>
              </w:rPr>
            </w:pPr>
            <w:r>
              <w:rPr>
                <w:rFonts w:ascii="Arial" w:cs="Arial" w:eastAsia="Arial" w:hAnsi="Arial"/>
                <w:sz w:val="9"/>
                <w:szCs w:val="9"/>
                <w:color w:val="auto"/>
                <w:w w:val="78"/>
              </w:rPr>
              <w:t>$</w:t>
            </w:r>
          </w:p>
        </w:tc>
        <w:tc>
          <w:tcPr>
            <w:tcW w:w="2000" w:type="dxa"/>
            <w:vAlign w:val="bottom"/>
            <w:tcBorders>
              <w:bottom w:val="single" w:sz="8" w:color="auto"/>
            </w:tcBorders>
            <w:gridSpan w:val="4"/>
          </w:tcPr>
          <w:p>
            <w:pPr>
              <w:jc w:val="right"/>
              <w:ind w:right="593"/>
              <w:spacing w:after="0" w:line="94" w:lineRule="exact"/>
              <w:rPr>
                <w:sz w:val="20"/>
                <w:szCs w:val="20"/>
                <w:color w:val="auto"/>
              </w:rPr>
            </w:pPr>
            <w:r>
              <w:rPr>
                <w:rFonts w:ascii="Arial" w:cs="Arial" w:eastAsia="Arial" w:hAnsi="Arial"/>
                <w:sz w:val="9"/>
                <w:szCs w:val="9"/>
                <w:color w:val="auto"/>
              </w:rPr>
              <w:t>100,700</w:t>
            </w: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66,906</w:t>
            </w:r>
          </w:p>
        </w:tc>
      </w:tr>
      <w:tr>
        <w:trPr>
          <w:trHeight w:val="590"/>
        </w:trPr>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132,798</w:t>
            </w:r>
          </w:p>
        </w:tc>
        <w:tc>
          <w:tcPr>
            <w:tcW w:w="2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111,853</w:t>
            </w:r>
          </w:p>
        </w:tc>
      </w:tr>
      <w:tr>
        <w:trPr>
          <w:trHeight w:val="235"/>
        </w:trPr>
        <w:tc>
          <w:tcPr>
            <w:tcW w:w="420" w:type="dxa"/>
            <w:vAlign w:val="bottom"/>
          </w:tcPr>
          <w:p>
            <w:pPr>
              <w:spacing w:after="0"/>
              <w:rPr>
                <w:sz w:val="20"/>
                <w:szCs w:val="20"/>
                <w:color w:val="auto"/>
              </w:rPr>
            </w:pP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59,609</w:t>
            </w:r>
          </w:p>
        </w:tc>
        <w:tc>
          <w:tcPr>
            <w:tcW w:w="260" w:type="dxa"/>
            <w:vAlign w:val="bottom"/>
          </w:tcPr>
          <w:p>
            <w:pPr>
              <w:spacing w:after="0"/>
              <w:rPr>
                <w:sz w:val="20"/>
                <w:szCs w:val="2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54,641</w:t>
            </w:r>
          </w:p>
        </w:tc>
      </w:tr>
      <w:tr>
        <w:trPr>
          <w:trHeight w:val="118"/>
        </w:trPr>
        <w:tc>
          <w:tcPr>
            <w:tcW w:w="420" w:type="dxa"/>
            <w:vAlign w:val="bottom"/>
          </w:tcPr>
          <w:p>
            <w:pPr>
              <w:spacing w:after="0"/>
              <w:rPr>
                <w:sz w:val="10"/>
                <w:szCs w:val="10"/>
                <w:color w:val="auto"/>
              </w:rPr>
            </w:pP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125</w:t>
            </w:r>
          </w:p>
        </w:tc>
        <w:tc>
          <w:tcPr>
            <w:tcW w:w="260" w:type="dxa"/>
            <w:vAlign w:val="bottom"/>
          </w:tcPr>
          <w:p>
            <w:pPr>
              <w:spacing w:after="0"/>
              <w:rPr>
                <w:sz w:val="10"/>
                <w:szCs w:val="1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121</w:t>
            </w:r>
          </w:p>
        </w:tc>
      </w:tr>
      <w:tr>
        <w:trPr>
          <w:trHeight w:val="118"/>
        </w:trPr>
        <w:tc>
          <w:tcPr>
            <w:tcW w:w="420" w:type="dxa"/>
            <w:vAlign w:val="bottom"/>
          </w:tcPr>
          <w:p>
            <w:pPr>
              <w:spacing w:after="0"/>
              <w:rPr>
                <w:sz w:val="10"/>
                <w:szCs w:val="10"/>
                <w:color w:val="auto"/>
              </w:rPr>
            </w:pP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115,373</w:t>
            </w:r>
          </w:p>
        </w:tc>
        <w:tc>
          <w:tcPr>
            <w:tcW w:w="260" w:type="dxa"/>
            <w:vAlign w:val="bottom"/>
          </w:tcPr>
          <w:p>
            <w:pPr>
              <w:spacing w:after="0"/>
              <w:rPr>
                <w:sz w:val="10"/>
                <w:szCs w:val="10"/>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105,529</w:t>
            </w:r>
          </w:p>
        </w:tc>
      </w:tr>
      <w:tr>
        <w:trPr>
          <w:trHeight w:val="116"/>
        </w:trPr>
        <w:tc>
          <w:tcPr>
            <w:tcW w:w="4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533"/>
              <w:spacing w:after="0" w:line="96" w:lineRule="exact"/>
              <w:rPr>
                <w:sz w:val="20"/>
                <w:szCs w:val="20"/>
                <w:color w:val="auto"/>
              </w:rPr>
            </w:pPr>
            <w:r>
              <w:rPr>
                <w:rFonts w:ascii="Arial" w:cs="Arial" w:eastAsia="Arial" w:hAnsi="Arial"/>
                <w:sz w:val="9"/>
                <w:szCs w:val="9"/>
                <w:color w:val="auto"/>
              </w:rPr>
              <w:t>(17,047)</w:t>
            </w: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80"/>
              <w:spacing w:after="0" w:line="96" w:lineRule="exact"/>
              <w:rPr>
                <w:sz w:val="20"/>
                <w:szCs w:val="20"/>
                <w:color w:val="auto"/>
              </w:rPr>
            </w:pPr>
            <w:r>
              <w:rPr>
                <w:rFonts w:ascii="Arial" w:cs="Arial" w:eastAsia="Arial" w:hAnsi="Arial"/>
                <w:sz w:val="9"/>
                <w:szCs w:val="9"/>
                <w:color w:val="auto"/>
              </w:rPr>
              <w:t>(101)</w:t>
            </w:r>
          </w:p>
        </w:tc>
      </w:tr>
      <w:tr>
        <w:trPr>
          <w:trHeight w:val="114"/>
        </w:trPr>
        <w:tc>
          <w:tcPr>
            <w:tcW w:w="420" w:type="dxa"/>
            <w:vAlign w:val="bottom"/>
            <w:tcBorders>
              <w:bottom w:val="single" w:sz="8" w:color="auto"/>
            </w:tcBorders>
          </w:tcPr>
          <w:p>
            <w:pPr>
              <w:jc w:val="right"/>
              <w:ind w:right="313"/>
              <w:spacing w:after="0" w:line="94" w:lineRule="exact"/>
              <w:rPr>
                <w:sz w:val="20"/>
                <w:szCs w:val="20"/>
                <w:color w:val="auto"/>
              </w:rPr>
            </w:pPr>
            <w:r>
              <w:rPr>
                <w:rFonts w:ascii="Arial" w:cs="Arial" w:eastAsia="Arial" w:hAnsi="Arial"/>
                <w:sz w:val="9"/>
                <w:szCs w:val="9"/>
                <w:color w:val="auto"/>
                <w:w w:val="78"/>
              </w:rPr>
              <w:t>$</w:t>
            </w:r>
          </w:p>
        </w:tc>
        <w:tc>
          <w:tcPr>
            <w:tcW w:w="2000" w:type="dxa"/>
            <w:vAlign w:val="bottom"/>
            <w:tcBorders>
              <w:bottom w:val="single" w:sz="8" w:color="auto"/>
            </w:tcBorders>
            <w:gridSpan w:val="4"/>
          </w:tcPr>
          <w:p>
            <w:pPr>
              <w:jc w:val="right"/>
              <w:ind w:right="593"/>
              <w:spacing w:after="0" w:line="94" w:lineRule="exact"/>
              <w:rPr>
                <w:sz w:val="20"/>
                <w:szCs w:val="20"/>
                <w:color w:val="auto"/>
              </w:rPr>
            </w:pPr>
            <w:r>
              <w:rPr>
                <w:rFonts w:ascii="Arial" w:cs="Arial" w:eastAsia="Arial" w:hAnsi="Arial"/>
                <w:sz w:val="9"/>
                <w:szCs w:val="9"/>
                <w:color w:val="auto"/>
              </w:rPr>
              <w:t>290,858</w:t>
            </w: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272,043</w:t>
            </w:r>
          </w:p>
        </w:tc>
      </w:tr>
      <w:tr>
        <w:trPr>
          <w:trHeight w:val="590"/>
        </w:trPr>
        <w:tc>
          <w:tcPr>
            <w:tcW w:w="420" w:type="dxa"/>
            <w:vAlign w:val="bottom"/>
          </w:tcPr>
          <w:p>
            <w:pPr>
              <w:jc w:val="right"/>
              <w:ind w:right="313"/>
              <w:spacing w:after="0"/>
              <w:rPr>
                <w:sz w:val="20"/>
                <w:szCs w:val="20"/>
                <w:color w:val="auto"/>
              </w:rPr>
            </w:pPr>
            <w:r>
              <w:rPr>
                <w:rFonts w:ascii="Arial" w:cs="Arial" w:eastAsia="Arial" w:hAnsi="Arial"/>
                <w:sz w:val="9"/>
                <w:szCs w:val="9"/>
                <w:color w:val="auto"/>
                <w:w w:val="78"/>
              </w:rPr>
              <w:t>$</w:t>
            </w:r>
          </w:p>
        </w:tc>
        <w:tc>
          <w:tcPr>
            <w:tcW w:w="2000" w:type="dxa"/>
            <w:vAlign w:val="bottom"/>
            <w:gridSpan w:val="4"/>
          </w:tcPr>
          <w:p>
            <w:pPr>
              <w:jc w:val="right"/>
              <w:ind w:right="593"/>
              <w:spacing w:after="0"/>
              <w:rPr>
                <w:sz w:val="20"/>
                <w:szCs w:val="20"/>
                <w:color w:val="auto"/>
              </w:rPr>
            </w:pPr>
            <w:r>
              <w:rPr>
                <w:rFonts w:ascii="Arial" w:cs="Arial" w:eastAsia="Arial" w:hAnsi="Arial"/>
                <w:sz w:val="9"/>
                <w:szCs w:val="9"/>
                <w:color w:val="auto"/>
              </w:rPr>
              <w:t>290,858</w:t>
            </w:r>
          </w:p>
        </w:tc>
        <w:tc>
          <w:tcPr>
            <w:tcW w:w="26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9"/>
                <w:szCs w:val="9"/>
                <w:color w:val="auto"/>
              </w:rPr>
              <w:t>272,043</w:t>
            </w:r>
          </w:p>
        </w:tc>
      </w:tr>
      <w:tr>
        <w:trPr>
          <w:trHeight w:val="235"/>
        </w:trPr>
        <w:tc>
          <w:tcPr>
            <w:tcW w:w="420" w:type="dxa"/>
            <w:vAlign w:val="bottom"/>
          </w:tcPr>
          <w:p>
            <w:pPr>
              <w:spacing w:after="0"/>
              <w:rPr>
                <w:sz w:val="20"/>
                <w:szCs w:val="20"/>
                <w:color w:val="auto"/>
              </w:rPr>
            </w:pPr>
          </w:p>
        </w:tc>
        <w:tc>
          <w:tcPr>
            <w:tcW w:w="2000" w:type="dxa"/>
            <w:vAlign w:val="bottom"/>
            <w:gridSpan w:val="4"/>
          </w:tcPr>
          <w:p>
            <w:pPr>
              <w:jc w:val="right"/>
              <w:ind w:right="533"/>
              <w:spacing w:after="0"/>
              <w:rPr>
                <w:sz w:val="20"/>
                <w:szCs w:val="20"/>
                <w:color w:val="auto"/>
              </w:rPr>
            </w:pPr>
            <w:r>
              <w:rPr>
                <w:rFonts w:ascii="Arial" w:cs="Arial" w:eastAsia="Arial" w:hAnsi="Arial"/>
                <w:sz w:val="9"/>
                <w:szCs w:val="9"/>
                <w:color w:val="auto"/>
              </w:rPr>
              <w:t>(4,542)</w:t>
            </w:r>
          </w:p>
        </w:tc>
        <w:tc>
          <w:tcPr>
            <w:tcW w:w="2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9"/>
                <w:szCs w:val="9"/>
                <w:color w:val="auto"/>
              </w:rPr>
              <w:t>(6,187)</w:t>
            </w:r>
          </w:p>
        </w:tc>
      </w:tr>
      <w:tr>
        <w:trPr>
          <w:trHeight w:val="116"/>
        </w:trPr>
        <w:tc>
          <w:tcPr>
            <w:tcW w:w="4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533"/>
              <w:spacing w:after="0" w:line="96" w:lineRule="exact"/>
              <w:rPr>
                <w:sz w:val="20"/>
                <w:szCs w:val="20"/>
                <w:color w:val="auto"/>
              </w:rPr>
            </w:pPr>
            <w:r>
              <w:rPr>
                <w:rFonts w:ascii="Arial" w:cs="Arial" w:eastAsia="Arial" w:hAnsi="Arial"/>
                <w:sz w:val="9"/>
                <w:szCs w:val="9"/>
                <w:color w:val="auto"/>
              </w:rPr>
              <w:t>(5,249)</w:t>
            </w:r>
          </w:p>
        </w:tc>
        <w:tc>
          <w:tcPr>
            <w:tcW w:w="2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ind w:right="80"/>
              <w:spacing w:after="0" w:line="96" w:lineRule="exact"/>
              <w:rPr>
                <w:sz w:val="20"/>
                <w:szCs w:val="20"/>
                <w:color w:val="auto"/>
              </w:rPr>
            </w:pPr>
            <w:r>
              <w:rPr>
                <w:rFonts w:ascii="Arial" w:cs="Arial" w:eastAsia="Arial" w:hAnsi="Arial"/>
                <w:sz w:val="9"/>
                <w:szCs w:val="9"/>
                <w:color w:val="auto"/>
              </w:rPr>
              <w:t>(6,404)</w:t>
            </w:r>
          </w:p>
        </w:tc>
      </w:tr>
      <w:tr>
        <w:trPr>
          <w:trHeight w:val="114"/>
        </w:trPr>
        <w:tc>
          <w:tcPr>
            <w:tcW w:w="420" w:type="dxa"/>
            <w:vAlign w:val="bottom"/>
            <w:tcBorders>
              <w:bottom w:val="single" w:sz="8" w:color="auto"/>
            </w:tcBorders>
          </w:tcPr>
          <w:p>
            <w:pPr>
              <w:jc w:val="right"/>
              <w:ind w:right="313"/>
              <w:spacing w:after="0" w:line="94" w:lineRule="exact"/>
              <w:rPr>
                <w:sz w:val="20"/>
                <w:szCs w:val="20"/>
                <w:color w:val="auto"/>
              </w:rPr>
            </w:pPr>
            <w:r>
              <w:rPr>
                <w:rFonts w:ascii="Arial" w:cs="Arial" w:eastAsia="Arial" w:hAnsi="Arial"/>
                <w:sz w:val="9"/>
                <w:szCs w:val="9"/>
                <w:color w:val="auto"/>
                <w:w w:val="78"/>
              </w:rPr>
              <w:t>$</w:t>
            </w:r>
          </w:p>
        </w:tc>
        <w:tc>
          <w:tcPr>
            <w:tcW w:w="2000" w:type="dxa"/>
            <w:vAlign w:val="bottom"/>
            <w:tcBorders>
              <w:bottom w:val="single" w:sz="8" w:color="auto"/>
            </w:tcBorders>
            <w:gridSpan w:val="4"/>
          </w:tcPr>
          <w:p>
            <w:pPr>
              <w:jc w:val="right"/>
              <w:ind w:right="593"/>
              <w:spacing w:after="0" w:line="94" w:lineRule="exact"/>
              <w:rPr>
                <w:sz w:val="20"/>
                <w:szCs w:val="20"/>
                <w:color w:val="auto"/>
              </w:rPr>
            </w:pPr>
            <w:r>
              <w:rPr>
                <w:rFonts w:ascii="Arial" w:cs="Arial" w:eastAsia="Arial" w:hAnsi="Arial"/>
                <w:sz w:val="9"/>
                <w:szCs w:val="9"/>
                <w:color w:val="auto"/>
              </w:rPr>
              <w:t>281,067</w:t>
            </w:r>
          </w:p>
        </w:tc>
        <w:tc>
          <w:tcPr>
            <w:tcW w:w="2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3"/>
          </w:tcPr>
          <w:p>
            <w:pPr>
              <w:jc w:val="right"/>
              <w:ind w:right="120"/>
              <w:spacing w:after="0" w:line="94" w:lineRule="exact"/>
              <w:rPr>
                <w:sz w:val="20"/>
                <w:szCs w:val="20"/>
                <w:color w:val="auto"/>
              </w:rPr>
            </w:pPr>
            <w:r>
              <w:rPr>
                <w:rFonts w:ascii="Arial" w:cs="Arial" w:eastAsia="Arial" w:hAnsi="Arial"/>
                <w:sz w:val="9"/>
                <w:szCs w:val="9"/>
                <w:color w:val="auto"/>
              </w:rPr>
              <w:t>259,452</w:t>
            </w:r>
          </w:p>
        </w:tc>
      </w:tr>
    </w:tbl>
    <w:p>
      <w:pPr>
        <w:spacing w:after="0" w:line="200" w:lineRule="exact"/>
        <w:rPr>
          <w:sz w:val="20"/>
          <w:szCs w:val="20"/>
          <w:color w:val="auto"/>
        </w:rPr>
      </w:pPr>
    </w:p>
    <w:p>
      <w:pPr>
        <w:spacing w:after="0" w:line="368" w:lineRule="exact"/>
        <w:rPr>
          <w:sz w:val="20"/>
          <w:szCs w:val="20"/>
          <w:color w:val="auto"/>
        </w:rPr>
      </w:pPr>
    </w:p>
    <w:p>
      <w:pPr>
        <w:ind w:left="2980"/>
        <w:spacing w:after="0"/>
        <w:tabs>
          <w:tab w:leader="none" w:pos="388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10</w:t>
      </w:r>
    </w:p>
    <w:p>
      <w:pPr>
        <w:sectPr>
          <w:pgSz w:w="11900" w:h="16838" w:orient="portrait"/>
          <w:cols w:equalWidth="0" w:num="2">
            <w:col w:w="6948" w:space="280"/>
            <w:col w:w="4080"/>
          </w:cols>
          <w:pgMar w:left="292" w:top="732" w:right="299" w:bottom="1440" w:gutter="0" w:footer="0" w:header="0"/>
        </w:sectPr>
      </w:pPr>
    </w:p>
    <w:bookmarkStart w:id="32" w:name="page33"/>
    <w:bookmarkEnd w:id="32"/>
    <w:p>
      <w:pPr>
        <w:jc w:val="center"/>
        <w:ind w:right="-7"/>
        <w:spacing w:after="0"/>
        <w:rPr>
          <w:sz w:val="20"/>
          <w:szCs w:val="20"/>
          <w:color w:val="auto"/>
        </w:rPr>
      </w:pPr>
      <w:r>
        <w:rPr>
          <w:rFonts w:ascii="Arial" w:cs="Arial" w:eastAsia="Arial" w:hAnsi="Arial"/>
          <w:sz w:val="12"/>
          <w:szCs w:val="12"/>
          <w:color w:val="auto"/>
          <w:highlight w:val="black"/>
        </w:rPr>
        <w:t xml:space="preserve">Summary </w:t>
      </w:r>
      <w:r>
        <w:rPr>
          <w:rFonts w:ascii="Arial" w:cs="Arial" w:eastAsia="Arial" w:hAnsi="Arial"/>
          <w:sz w:val="12"/>
          <w:szCs w:val="12"/>
          <w:color w:val="auto"/>
        </w:rPr>
        <w:t>of Consolidated Debt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 and December 31, 2025</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69"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540" w:type="dxa"/>
            <w:vAlign w:val="bottom"/>
            <w:tcBorders>
              <w:bottom w:val="single" w:sz="8" w:color="auto"/>
            </w:tcBorders>
            <w:gridSpan w:val="5"/>
          </w:tcPr>
          <w:p>
            <w:pPr>
              <w:spacing w:after="0"/>
              <w:rPr>
                <w:sz w:val="20"/>
                <w:szCs w:val="20"/>
                <w:color w:val="auto"/>
              </w:rPr>
            </w:pPr>
            <w:r>
              <w:rPr>
                <w:rFonts w:ascii="Arial" w:cs="Arial" w:eastAsia="Arial" w:hAnsi="Arial"/>
                <w:sz w:val="9"/>
                <w:szCs w:val="9"/>
                <w:color w:val="auto"/>
              </w:rPr>
              <w:t>Total Debt Outstanding:</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9"/>
                <w:szCs w:val="9"/>
                <w:color w:val="auto"/>
                <w:highlight w:val="black"/>
              </w:rPr>
              <w:t>3/31/2026</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9"/>
                <w:szCs w:val="9"/>
                <w:color w:val="auto"/>
                <w:highlight w:val="black"/>
              </w:rPr>
              <w:t>12/31/2025</w:t>
            </w:r>
          </w:p>
        </w:tc>
        <w:tc>
          <w:tcPr>
            <w:tcW w:w="120" w:type="dxa"/>
            <w:vAlign w:val="bottom"/>
          </w:tcPr>
          <w:p>
            <w:pPr>
              <w:spacing w:after="0"/>
              <w:rPr>
                <w:sz w:val="10"/>
                <w:szCs w:val="10"/>
                <w:color w:val="auto"/>
              </w:rPr>
            </w:pPr>
          </w:p>
        </w:tc>
      </w:tr>
      <w:tr>
        <w:trPr>
          <w:trHeight w:val="108"/>
        </w:trPr>
        <w:tc>
          <w:tcPr>
            <w:tcW w:w="4540" w:type="dxa"/>
            <w:vAlign w:val="bottom"/>
            <w:gridSpan w:val="5"/>
          </w:tcPr>
          <w:p>
            <w:pPr>
              <w:spacing w:after="0"/>
              <w:rPr>
                <w:sz w:val="20"/>
                <w:szCs w:val="20"/>
                <w:color w:val="auto"/>
              </w:rPr>
            </w:pPr>
            <w:r>
              <w:rPr>
                <w:rFonts w:ascii="Arial" w:cs="Arial" w:eastAsia="Arial" w:hAnsi="Arial"/>
                <w:sz w:val="9"/>
                <w:szCs w:val="9"/>
                <w:color w:val="auto"/>
              </w:rPr>
              <w:t>Notes Payable: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1"/>
        </w:trPr>
        <w:tc>
          <w:tcPr>
            <w:tcW w:w="4540" w:type="dxa"/>
            <w:vAlign w:val="bottom"/>
            <w:gridSpan w:val="5"/>
          </w:tcPr>
          <w:p>
            <w:pPr>
              <w:ind w:left="120"/>
              <w:spacing w:after="0"/>
              <w:rPr>
                <w:sz w:val="20"/>
                <w:szCs w:val="20"/>
                <w:color w:val="auto"/>
              </w:rPr>
            </w:pPr>
            <w:r>
              <w:rPr>
                <w:rFonts w:ascii="Arial" w:cs="Arial" w:eastAsia="Arial" w:hAnsi="Arial"/>
                <w:sz w:val="9"/>
                <w:szCs w:val="9"/>
                <w:color w:val="auto"/>
              </w:rPr>
              <w:t>Fixed rate mortgage loans</w:t>
            </w:r>
            <w:r>
              <w:rPr>
                <w:rFonts w:ascii="Arial" w:cs="Arial" w:eastAsia="Arial" w:hAnsi="Arial"/>
                <w:sz w:val="12"/>
                <w:szCs w:val="12"/>
                <w:color w:val="auto"/>
                <w:vertAlign w:val="superscript"/>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713"/>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656,287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1500" w:type="dxa"/>
            <w:vAlign w:val="bottom"/>
            <w:gridSpan w:val="2"/>
          </w:tcPr>
          <w:p>
            <w:pPr>
              <w:jc w:val="right"/>
              <w:spacing w:after="0"/>
              <w:rPr>
                <w:sz w:val="20"/>
                <w:szCs w:val="20"/>
                <w:color w:val="auto"/>
              </w:rPr>
            </w:pPr>
            <w:r>
              <w:rPr>
                <w:rFonts w:ascii="Arial" w:cs="Arial" w:eastAsia="Arial" w:hAnsi="Arial"/>
                <w:sz w:val="9"/>
                <w:szCs w:val="9"/>
                <w:color w:val="auto"/>
              </w:rPr>
              <w:t>746,437</w:t>
            </w:r>
          </w:p>
        </w:tc>
        <w:tc>
          <w:tcPr>
            <w:tcW w:w="120" w:type="dxa"/>
            <w:vAlign w:val="bottom"/>
          </w:tcPr>
          <w:p>
            <w:pPr>
              <w:spacing w:after="0"/>
              <w:rPr>
                <w:sz w:val="12"/>
                <w:szCs w:val="12"/>
                <w:color w:val="auto"/>
              </w:rPr>
            </w:pPr>
          </w:p>
        </w:tc>
      </w:tr>
      <w:tr>
        <w:trPr>
          <w:trHeight w:val="94"/>
        </w:trPr>
        <w:tc>
          <w:tcPr>
            <w:tcW w:w="4540" w:type="dxa"/>
            <w:vAlign w:val="bottom"/>
            <w:gridSpan w:val="5"/>
          </w:tcPr>
          <w:p>
            <w:pPr>
              <w:ind w:left="120"/>
              <w:spacing w:after="0" w:line="94" w:lineRule="exact"/>
              <w:rPr>
                <w:sz w:val="20"/>
                <w:szCs w:val="20"/>
                <w:color w:val="auto"/>
              </w:rPr>
            </w:pPr>
            <w:r>
              <w:rPr>
                <w:rFonts w:ascii="Arial" w:cs="Arial" w:eastAsia="Arial" w:hAnsi="Arial"/>
                <w:sz w:val="9"/>
                <w:szCs w:val="9"/>
                <w:color w:val="auto"/>
              </w:rPr>
              <w:t>Fixed rate unsecured public debt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jc w:val="right"/>
              <w:spacing w:after="0" w:line="94" w:lineRule="exact"/>
              <w:rPr>
                <w:sz w:val="20"/>
                <w:szCs w:val="20"/>
                <w:color w:val="auto"/>
              </w:rPr>
            </w:pPr>
            <w:r>
              <w:rPr>
                <w:rFonts w:ascii="Arial" w:cs="Arial" w:eastAsia="Arial" w:hAnsi="Arial"/>
                <w:sz w:val="9"/>
                <w:szCs w:val="9"/>
                <w:color w:val="auto"/>
              </w:rPr>
              <w:t>4,118,064</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tcPr>
          <w:p>
            <w:pPr>
              <w:jc w:val="right"/>
              <w:spacing w:after="0" w:line="94" w:lineRule="exact"/>
              <w:rPr>
                <w:sz w:val="20"/>
                <w:szCs w:val="20"/>
                <w:color w:val="auto"/>
              </w:rPr>
            </w:pPr>
            <w:r>
              <w:rPr>
                <w:rFonts w:ascii="Arial" w:cs="Arial" w:eastAsia="Arial" w:hAnsi="Arial"/>
                <w:sz w:val="9"/>
                <w:szCs w:val="9"/>
                <w:color w:val="auto"/>
              </w:rPr>
              <w:t>3,673,647</w:t>
            </w:r>
          </w:p>
        </w:tc>
        <w:tc>
          <w:tcPr>
            <w:tcW w:w="120" w:type="dxa"/>
            <w:vAlign w:val="bottom"/>
          </w:tcPr>
          <w:p>
            <w:pPr>
              <w:spacing w:after="0"/>
              <w:rPr>
                <w:sz w:val="8"/>
                <w:szCs w:val="8"/>
                <w:color w:val="auto"/>
              </w:rPr>
            </w:pPr>
          </w:p>
        </w:tc>
      </w:tr>
      <w:tr>
        <w:trPr>
          <w:trHeight w:val="118"/>
        </w:trPr>
        <w:tc>
          <w:tcPr>
            <w:tcW w:w="4540" w:type="dxa"/>
            <w:vAlign w:val="bottom"/>
            <w:gridSpan w:val="5"/>
          </w:tcPr>
          <w:p>
            <w:pPr>
              <w:ind w:left="120"/>
              <w:spacing w:after="0"/>
              <w:rPr>
                <w:sz w:val="20"/>
                <w:szCs w:val="20"/>
                <w:color w:val="auto"/>
              </w:rPr>
            </w:pPr>
            <w:r>
              <w:rPr>
                <w:rFonts w:ascii="Arial" w:cs="Arial" w:eastAsia="Arial" w:hAnsi="Arial"/>
                <w:sz w:val="9"/>
                <w:szCs w:val="9"/>
                <w:color w:val="auto"/>
              </w:rPr>
              <w:t>Fixed rate unsecured private debt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199,583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spacing w:after="0"/>
              <w:rPr>
                <w:sz w:val="20"/>
                <w:szCs w:val="20"/>
                <w:color w:val="auto"/>
              </w:rPr>
            </w:pPr>
            <w:r>
              <w:rPr>
                <w:rFonts w:ascii="Arial" w:cs="Arial" w:eastAsia="Arial" w:hAnsi="Arial"/>
                <w:sz w:val="9"/>
                <w:szCs w:val="9"/>
                <w:color w:val="auto"/>
              </w:rPr>
              <w:t>199,217</w:t>
            </w:r>
          </w:p>
        </w:tc>
        <w:tc>
          <w:tcPr>
            <w:tcW w:w="120" w:type="dxa"/>
            <w:vAlign w:val="bottom"/>
          </w:tcPr>
          <w:p>
            <w:pPr>
              <w:spacing w:after="0"/>
              <w:rPr>
                <w:sz w:val="10"/>
                <w:szCs w:val="10"/>
                <w:color w:val="auto"/>
              </w:rPr>
            </w:pPr>
          </w:p>
        </w:tc>
      </w:tr>
      <w:tr>
        <w:trPr>
          <w:trHeight w:val="118"/>
        </w:trPr>
        <w:tc>
          <w:tcPr>
            <w:tcW w:w="4540" w:type="dxa"/>
            <w:vAlign w:val="bottom"/>
            <w:gridSpan w:val="5"/>
          </w:tcPr>
          <w:p>
            <w:pPr>
              <w:spacing w:after="0"/>
              <w:rPr>
                <w:sz w:val="20"/>
                <w:szCs w:val="20"/>
                <w:color w:val="auto"/>
              </w:rPr>
            </w:pPr>
            <w:r>
              <w:rPr>
                <w:rFonts w:ascii="Arial" w:cs="Arial" w:eastAsia="Arial" w:hAnsi="Arial"/>
                <w:sz w:val="9"/>
                <w:szCs w:val="9"/>
                <w:color w:val="auto"/>
              </w:rPr>
              <w:t>Unsecured credit facility:</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6"/>
        </w:trPr>
        <w:tc>
          <w:tcPr>
            <w:tcW w:w="4540" w:type="dxa"/>
            <w:vAlign w:val="bottom"/>
            <w:gridSpan w:val="5"/>
          </w:tcPr>
          <w:p>
            <w:pPr>
              <w:ind w:left="120"/>
              <w:spacing w:after="0"/>
              <w:rPr>
                <w:sz w:val="20"/>
                <w:szCs w:val="20"/>
                <w:color w:val="auto"/>
              </w:rPr>
            </w:pPr>
            <w:r>
              <w:rPr>
                <w:rFonts w:ascii="Arial" w:cs="Arial" w:eastAsia="Arial" w:hAnsi="Arial"/>
                <w:sz w:val="9"/>
                <w:szCs w:val="9"/>
                <w:color w:val="auto"/>
              </w:rPr>
              <w:t>Revolving line of credit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30,000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2"/>
          </w:tcPr>
          <w:p>
            <w:pPr>
              <w:jc w:val="right"/>
              <w:spacing w:after="0" w:line="96" w:lineRule="exact"/>
              <w:rPr>
                <w:sz w:val="20"/>
                <w:szCs w:val="20"/>
                <w:color w:val="auto"/>
              </w:rPr>
            </w:pPr>
            <w:r>
              <w:rPr>
                <w:rFonts w:ascii="Arial" w:cs="Arial" w:eastAsia="Arial" w:hAnsi="Arial"/>
                <w:sz w:val="9"/>
                <w:szCs w:val="9"/>
                <w:color w:val="auto"/>
              </w:rPr>
              <w:t>120,000</w:t>
            </w:r>
          </w:p>
        </w:tc>
        <w:tc>
          <w:tcPr>
            <w:tcW w:w="120" w:type="dxa"/>
            <w:vAlign w:val="bottom"/>
          </w:tcPr>
          <w:p>
            <w:pPr>
              <w:spacing w:after="0"/>
              <w:rPr>
                <w:sz w:val="10"/>
                <w:szCs w:val="10"/>
                <w:color w:val="auto"/>
              </w:rPr>
            </w:pPr>
          </w:p>
        </w:tc>
      </w:tr>
      <w:tr>
        <w:trPr>
          <w:trHeight w:val="114"/>
        </w:trPr>
        <w:tc>
          <w:tcPr>
            <w:tcW w:w="4540" w:type="dxa"/>
            <w:vAlign w:val="bottom"/>
            <w:gridSpan w:val="5"/>
          </w:tcPr>
          <w:p>
            <w:pPr>
              <w:ind w:left="420"/>
              <w:spacing w:after="0"/>
              <w:rPr>
                <w:sz w:val="20"/>
                <w:szCs w:val="20"/>
                <w:color w:val="auto"/>
              </w:rPr>
            </w:pPr>
            <w:r>
              <w:rPr>
                <w:rFonts w:ascii="Arial" w:cs="Arial" w:eastAsia="Arial" w:hAnsi="Arial"/>
                <w:sz w:val="9"/>
                <w:szCs w:val="9"/>
                <w:color w:val="auto"/>
              </w:rPr>
              <w:t>Total</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bottom w:val="single" w:sz="8" w:color="auto"/>
            </w:tcBorders>
            <w:gridSpan w:val="2"/>
          </w:tcPr>
          <w:p>
            <w:pPr>
              <w:jc w:val="right"/>
              <w:ind w:right="713"/>
              <w:spacing w:after="0" w:line="94" w:lineRule="exact"/>
              <w:rPr>
                <w:sz w:val="20"/>
                <w:szCs w:val="20"/>
                <w:color w:val="auto"/>
              </w:rPr>
            </w:pPr>
            <w:r>
              <w:rPr>
                <w:rFonts w:ascii="Arial" w:cs="Arial" w:eastAsia="Arial" w:hAnsi="Arial"/>
                <w:sz w:val="9"/>
                <w:szCs w:val="9"/>
                <w:color w:val="auto"/>
                <w:w w:val="78"/>
              </w:rPr>
              <w:t>$</w:t>
            </w: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5,003,934</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500" w:type="dxa"/>
            <w:vAlign w:val="bottom"/>
            <w:tcBorders>
              <w:bottom w:val="single" w:sz="8" w:color="auto"/>
            </w:tcBorders>
            <w:gridSpan w:val="2"/>
          </w:tcPr>
          <w:p>
            <w:pPr>
              <w:jc w:val="right"/>
              <w:spacing w:after="0" w:line="94" w:lineRule="exact"/>
              <w:rPr>
                <w:sz w:val="20"/>
                <w:szCs w:val="20"/>
                <w:color w:val="auto"/>
              </w:rPr>
            </w:pPr>
            <w:r>
              <w:rPr>
                <w:rFonts w:ascii="Arial" w:cs="Arial" w:eastAsia="Arial" w:hAnsi="Arial"/>
                <w:sz w:val="9"/>
                <w:szCs w:val="9"/>
                <w:color w:val="auto"/>
              </w:rPr>
              <w:t>4,739,301</w:t>
            </w:r>
          </w:p>
        </w:tc>
        <w:tc>
          <w:tcPr>
            <w:tcW w:w="120" w:type="dxa"/>
            <w:vAlign w:val="bottom"/>
          </w:tcPr>
          <w:p>
            <w:pPr>
              <w:spacing w:after="0"/>
              <w:rPr>
                <w:sz w:val="9"/>
                <w:szCs w:val="9"/>
                <w:color w:val="auto"/>
              </w:rPr>
            </w:pPr>
          </w:p>
        </w:tc>
      </w:tr>
      <w:tr>
        <w:trPr>
          <w:trHeight w:val="409"/>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ind w:right="173"/>
              <w:spacing w:after="0"/>
              <w:rPr>
                <w:sz w:val="20"/>
                <w:szCs w:val="20"/>
                <w:color w:val="auto"/>
              </w:rPr>
            </w:pPr>
            <w:r>
              <w:rPr>
                <w:rFonts w:ascii="Arial" w:cs="Arial" w:eastAsia="Arial" w:hAnsi="Arial"/>
                <w:sz w:val="9"/>
                <w:szCs w:val="9"/>
                <w:color w:val="auto"/>
                <w:highlight w:val="black"/>
              </w:rPr>
              <w:t>Scheduled Principal</w:t>
            </w:r>
          </w:p>
        </w:tc>
        <w:tc>
          <w:tcPr>
            <w:tcW w:w="140" w:type="dxa"/>
            <w:vAlign w:val="bottom"/>
          </w:tcPr>
          <w:p>
            <w:pPr>
              <w:spacing w:after="0"/>
              <w:rPr>
                <w:sz w:val="24"/>
                <w:szCs w:val="24"/>
                <w:color w:val="auto"/>
              </w:rPr>
            </w:pPr>
          </w:p>
        </w:tc>
        <w:tc>
          <w:tcPr>
            <w:tcW w:w="1380" w:type="dxa"/>
            <w:vAlign w:val="bottom"/>
            <w:gridSpan w:val="3"/>
          </w:tcPr>
          <w:p>
            <w:pPr>
              <w:ind w:left="200"/>
              <w:spacing w:after="0"/>
              <w:rPr>
                <w:sz w:val="20"/>
                <w:szCs w:val="20"/>
                <w:color w:val="auto"/>
              </w:rPr>
            </w:pPr>
            <w:r>
              <w:rPr>
                <w:rFonts w:ascii="Arial" w:cs="Arial" w:eastAsia="Arial" w:hAnsi="Arial"/>
                <w:sz w:val="9"/>
                <w:szCs w:val="9"/>
                <w:color w:val="auto"/>
                <w:highlight w:val="black"/>
              </w:rPr>
              <w:t>Mortgage Loan</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9"/>
                <w:szCs w:val="9"/>
                <w:color w:val="auto"/>
              </w:rPr>
              <w:t>Weighted Average Contractual</w:t>
            </w:r>
          </w:p>
        </w:tc>
      </w:tr>
      <w:tr>
        <w:trPr>
          <w:trHeight w:val="116"/>
        </w:trPr>
        <w:tc>
          <w:tcPr>
            <w:tcW w:w="10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gridSpan w:val="3"/>
          </w:tcPr>
          <w:p>
            <w:pPr>
              <w:jc w:val="center"/>
              <w:ind w:right="1088"/>
              <w:spacing w:after="0" w:line="96" w:lineRule="exact"/>
              <w:rPr>
                <w:sz w:val="20"/>
                <w:szCs w:val="20"/>
                <w:color w:val="auto"/>
              </w:rPr>
            </w:pPr>
            <w:r>
              <w:rPr>
                <w:rFonts w:ascii="Arial" w:cs="Arial" w:eastAsia="Arial" w:hAnsi="Arial"/>
                <w:sz w:val="9"/>
                <w:szCs w:val="9"/>
                <w:color w:val="auto"/>
              </w:rPr>
              <w:t>Schedule of Maturities by Year:</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373"/>
              <w:spacing w:after="0" w:line="96" w:lineRule="exact"/>
              <w:rPr>
                <w:sz w:val="20"/>
                <w:szCs w:val="20"/>
                <w:color w:val="auto"/>
              </w:rPr>
            </w:pPr>
            <w:r>
              <w:rPr>
                <w:rFonts w:ascii="Arial" w:cs="Arial" w:eastAsia="Arial" w:hAnsi="Arial"/>
                <w:sz w:val="9"/>
                <w:szCs w:val="9"/>
                <w:color w:val="auto"/>
                <w:highlight w:val="black"/>
              </w:rPr>
              <w:t>Payments</w:t>
            </w:r>
          </w:p>
        </w:tc>
        <w:tc>
          <w:tcPr>
            <w:tcW w:w="140" w:type="dxa"/>
            <w:vAlign w:val="bottom"/>
          </w:tcPr>
          <w:p>
            <w:pPr>
              <w:spacing w:after="0"/>
              <w:rPr>
                <w:sz w:val="10"/>
                <w:szCs w:val="10"/>
                <w:color w:val="auto"/>
              </w:rPr>
            </w:pPr>
          </w:p>
        </w:tc>
        <w:tc>
          <w:tcPr>
            <w:tcW w:w="1160" w:type="dxa"/>
            <w:vAlign w:val="bottom"/>
            <w:tcBorders>
              <w:bottom w:val="single" w:sz="8" w:color="auto"/>
            </w:tcBorders>
          </w:tcPr>
          <w:p>
            <w:pPr>
              <w:jc w:val="right"/>
              <w:ind w:right="373"/>
              <w:spacing w:after="0" w:line="96" w:lineRule="exact"/>
              <w:rPr>
                <w:sz w:val="20"/>
                <w:szCs w:val="20"/>
                <w:color w:val="auto"/>
              </w:rPr>
            </w:pPr>
            <w:r>
              <w:rPr>
                <w:rFonts w:ascii="Arial" w:cs="Arial" w:eastAsia="Arial" w:hAnsi="Arial"/>
                <w:sz w:val="9"/>
                <w:szCs w:val="9"/>
                <w:color w:val="auto"/>
                <w:highlight w:val="black"/>
              </w:rPr>
              <w:t>Maturities</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13"/>
              <w:spacing w:after="0" w:line="96" w:lineRule="exact"/>
              <w:rPr>
                <w:sz w:val="20"/>
                <w:szCs w:val="20"/>
                <w:color w:val="auto"/>
              </w:rPr>
            </w:pPr>
            <w:r>
              <w:rPr>
                <w:rFonts w:ascii="Arial" w:cs="Arial" w:eastAsia="Arial" w:hAnsi="Arial"/>
                <w:sz w:val="9"/>
                <w:szCs w:val="9"/>
                <w:color w:val="auto"/>
              </w:rPr>
              <w:t xml:space="preserve">Unsecured Maturities </w:t>
            </w:r>
            <w:r>
              <w:rPr>
                <w:rFonts w:ascii="Arial" w:cs="Arial" w:eastAsia="Arial" w:hAnsi="Arial"/>
                <w:sz w:val="11"/>
                <w:szCs w:val="11"/>
                <w:color w:val="auto"/>
                <w:vertAlign w:val="superscript"/>
              </w:rPr>
              <w:t>(2)</w:t>
            </w: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ind w:right="380"/>
              <w:spacing w:after="0" w:line="96" w:lineRule="exact"/>
              <w:rPr>
                <w:sz w:val="20"/>
                <w:szCs w:val="20"/>
                <w:color w:val="auto"/>
              </w:rPr>
            </w:pPr>
            <w:r>
              <w:rPr>
                <w:rFonts w:ascii="Arial" w:cs="Arial" w:eastAsia="Arial" w:hAnsi="Arial"/>
                <w:sz w:val="9"/>
                <w:szCs w:val="9"/>
                <w:color w:val="auto"/>
                <w:highlight w:val="black"/>
              </w:rPr>
              <w:t>Total</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bottom w:val="single" w:sz="8" w:color="auto"/>
            </w:tcBorders>
            <w:gridSpan w:val="2"/>
          </w:tcPr>
          <w:p>
            <w:pPr>
              <w:ind w:left="160"/>
              <w:spacing w:after="0" w:line="96" w:lineRule="exact"/>
              <w:rPr>
                <w:sz w:val="20"/>
                <w:szCs w:val="20"/>
                <w:color w:val="auto"/>
              </w:rPr>
            </w:pPr>
            <w:r>
              <w:rPr>
                <w:rFonts w:ascii="Arial" w:cs="Arial" w:eastAsia="Arial" w:hAnsi="Arial"/>
                <w:sz w:val="9"/>
                <w:szCs w:val="9"/>
                <w:color w:val="auto"/>
              </w:rPr>
              <w:t>Interest Rate on Maturities</w:t>
            </w:r>
          </w:p>
        </w:tc>
      </w:tr>
      <w:tr>
        <w:trPr>
          <w:trHeight w:val="10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2026</w:t>
            </w:r>
          </w:p>
        </w:tc>
        <w:tc>
          <w:tcPr>
            <w:tcW w:w="22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9,634</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59,849</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200,000</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269,483</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4.00%</w:t>
            </w:r>
          </w:p>
        </w:tc>
        <w:tc>
          <w:tcPr>
            <w:tcW w:w="120" w:type="dxa"/>
            <w:vAlign w:val="bottom"/>
          </w:tcPr>
          <w:p>
            <w:pPr>
              <w:spacing w:after="0"/>
              <w:rPr>
                <w:sz w:val="9"/>
                <w:szCs w:val="9"/>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2027</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10,051</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222,558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525,000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757,609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3.65%</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2028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8,365</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51,939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330,000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390,304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4.39%</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2029</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5,619</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97,120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425,000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527,739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3.19%</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5,445</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2,163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600,000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607,608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3.70%</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5,263</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30,902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36,165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3.68%</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3,120</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57,121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400,000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460,241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4.84%</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2,992</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450,000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452,992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4.50%</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3,117</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400,000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403,117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5.25%</w:t>
            </w:r>
          </w:p>
        </w:tc>
        <w:tc>
          <w:tcPr>
            <w:tcW w:w="120" w:type="dxa"/>
            <w:vAlign w:val="bottom"/>
          </w:tcPr>
          <w:p>
            <w:pPr>
              <w:spacing w:after="0"/>
              <w:rPr>
                <w:sz w:val="10"/>
                <w:szCs w:val="10"/>
                <w:color w:val="auto"/>
              </w:rPr>
            </w:pPr>
          </w:p>
        </w:tc>
      </w:tr>
      <w:tr>
        <w:trPr>
          <w:trHeight w:val="118"/>
        </w:trPr>
        <w:tc>
          <w:tcPr>
            <w:tcW w:w="4540" w:type="dxa"/>
            <w:vAlign w:val="bottom"/>
            <w:gridSpan w:val="5"/>
          </w:tcPr>
          <w:p>
            <w:pPr>
              <w:jc w:val="center"/>
              <w:spacing w:after="0"/>
              <w:rPr>
                <w:sz w:val="20"/>
                <w:szCs w:val="20"/>
                <w:color w:val="auto"/>
              </w:rPr>
            </w:pPr>
            <w:r>
              <w:rPr>
                <w:rFonts w:ascii="Arial" w:cs="Arial" w:eastAsia="Arial" w:hAnsi="Arial"/>
                <w:sz w:val="9"/>
                <w:szCs w:val="9"/>
                <w:color w:val="auto"/>
              </w:rPr>
              <w:t>2035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3,247</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325,000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328,247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5.10%</w:t>
            </w:r>
          </w:p>
        </w:tc>
        <w:tc>
          <w:tcPr>
            <w:tcW w:w="120" w:type="dxa"/>
            <w:vAlign w:val="bottom"/>
          </w:tcPr>
          <w:p>
            <w:pPr>
              <w:spacing w:after="0"/>
              <w:rPr>
                <w:sz w:val="10"/>
                <w:szCs w:val="10"/>
                <w:color w:val="auto"/>
              </w:rPr>
            </w:pPr>
          </w:p>
        </w:tc>
      </w:tr>
      <w:tr>
        <w:trPr>
          <w:trHeight w:val="118"/>
        </w:trPr>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20" w:type="dxa"/>
            <w:vAlign w:val="bottom"/>
            <w:gridSpan w:val="3"/>
          </w:tcPr>
          <w:p>
            <w:pPr>
              <w:jc w:val="center"/>
              <w:ind w:right="1088"/>
              <w:spacing w:after="0"/>
              <w:rPr>
                <w:sz w:val="20"/>
                <w:szCs w:val="20"/>
                <w:color w:val="auto"/>
              </w:rPr>
            </w:pPr>
            <w:r>
              <w:rPr>
                <w:rFonts w:ascii="Arial" w:cs="Arial" w:eastAsia="Arial" w:hAnsi="Arial"/>
                <w:sz w:val="9"/>
                <w:szCs w:val="9"/>
                <w:color w:val="auto"/>
              </w:rPr>
              <w:t>&gt;10 years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Arial" w:cs="Arial" w:eastAsia="Arial" w:hAnsi="Arial"/>
                <w:sz w:val="9"/>
                <w:szCs w:val="9"/>
                <w:color w:val="auto"/>
              </w:rPr>
              <w:t>6,469</w:t>
            </w:r>
          </w:p>
        </w:tc>
        <w:tc>
          <w:tcPr>
            <w:tcW w:w="1300" w:type="dxa"/>
            <w:vAlign w:val="bottom"/>
            <w:gridSpan w:val="2"/>
          </w:tcPr>
          <w:p>
            <w:pPr>
              <w:jc w:val="right"/>
              <w:ind w:right="73"/>
              <w:spacing w:after="0"/>
              <w:rPr>
                <w:sz w:val="20"/>
                <w:szCs w:val="20"/>
                <w:color w:val="auto"/>
              </w:rPr>
            </w:pPr>
            <w:r>
              <w:rPr>
                <w:rFonts w:ascii="Arial" w:cs="Arial" w:eastAsia="Arial" w:hAnsi="Arial"/>
                <w:sz w:val="9"/>
                <w:szCs w:val="9"/>
                <w:color w:val="auto"/>
              </w:rPr>
              <w:t>102,652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tcPr>
          <w:p>
            <w:pPr>
              <w:jc w:val="right"/>
              <w:ind w:right="53"/>
              <w:spacing w:after="0"/>
              <w:rPr>
                <w:sz w:val="20"/>
                <w:szCs w:val="20"/>
                <w:color w:val="auto"/>
              </w:rPr>
            </w:pPr>
            <w:r>
              <w:rPr>
                <w:rFonts w:ascii="Arial" w:cs="Arial" w:eastAsia="Arial" w:hAnsi="Arial"/>
                <w:sz w:val="9"/>
                <w:szCs w:val="9"/>
                <w:color w:val="auto"/>
              </w:rPr>
              <w:t>725,000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9"/>
                <w:szCs w:val="9"/>
                <w:color w:val="auto"/>
              </w:rPr>
              <w:t>834,121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right"/>
              <w:ind w:right="433"/>
              <w:spacing w:after="0"/>
              <w:rPr>
                <w:sz w:val="20"/>
                <w:szCs w:val="20"/>
                <w:color w:val="auto"/>
              </w:rPr>
            </w:pPr>
            <w:r>
              <w:rPr>
                <w:rFonts w:ascii="Arial" w:cs="Arial" w:eastAsia="Arial" w:hAnsi="Arial"/>
                <w:sz w:val="9"/>
                <w:szCs w:val="9"/>
                <w:color w:val="auto"/>
              </w:rPr>
              <w:t>4.47%</w:t>
            </w:r>
          </w:p>
        </w:tc>
        <w:tc>
          <w:tcPr>
            <w:tcW w:w="120" w:type="dxa"/>
            <w:vAlign w:val="bottom"/>
          </w:tcPr>
          <w:p>
            <w:pPr>
              <w:spacing w:after="0"/>
              <w:rPr>
                <w:sz w:val="10"/>
                <w:szCs w:val="10"/>
                <w:color w:val="auto"/>
              </w:rPr>
            </w:pPr>
          </w:p>
        </w:tc>
      </w:tr>
      <w:tr>
        <w:trPr>
          <w:trHeight w:val="116"/>
        </w:trPr>
        <w:tc>
          <w:tcPr>
            <w:tcW w:w="4540" w:type="dxa"/>
            <w:vAlign w:val="bottom"/>
            <w:gridSpan w:val="5"/>
          </w:tcPr>
          <w:p>
            <w:pPr>
              <w:spacing w:after="0"/>
              <w:rPr>
                <w:sz w:val="20"/>
                <w:szCs w:val="20"/>
                <w:color w:val="auto"/>
              </w:rPr>
            </w:pPr>
            <w:r>
              <w:rPr>
                <w:rFonts w:ascii="Arial" w:cs="Arial" w:eastAsia="Arial" w:hAnsi="Arial"/>
                <w:sz w:val="9"/>
                <w:szCs w:val="9"/>
                <w:color w:val="auto"/>
              </w:rPr>
              <w:t>Unamortized debt premium/(discount), net of issuance costs</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3"/>
              <w:spacing w:after="0" w:line="96"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1160" w:type="dxa"/>
            <w:vAlign w:val="bottom"/>
            <w:tcBorders>
              <w:bottom w:val="single" w:sz="8" w:color="auto"/>
            </w:tcBorders>
          </w:tcPr>
          <w:p>
            <w:pPr>
              <w:jc w:val="right"/>
              <w:ind w:right="33"/>
              <w:spacing w:after="0" w:line="96" w:lineRule="exact"/>
              <w:rPr>
                <w:sz w:val="20"/>
                <w:szCs w:val="20"/>
                <w:color w:val="auto"/>
              </w:rPr>
            </w:pPr>
            <w:r>
              <w:rPr>
                <w:rFonts w:ascii="Arial" w:cs="Arial" w:eastAsia="Arial" w:hAnsi="Arial"/>
                <w:sz w:val="9"/>
                <w:szCs w:val="9"/>
                <w:color w:val="auto"/>
              </w:rPr>
              <w:t>(31,339)</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3"/>
              <w:spacing w:after="0" w:line="96" w:lineRule="exact"/>
              <w:rPr>
                <w:sz w:val="20"/>
                <w:szCs w:val="20"/>
                <w:color w:val="auto"/>
              </w:rPr>
            </w:pPr>
            <w:r>
              <w:rPr>
                <w:rFonts w:ascii="Arial" w:cs="Arial" w:eastAsia="Arial" w:hAnsi="Arial"/>
                <w:sz w:val="9"/>
                <w:szCs w:val="9"/>
                <w:color w:val="auto"/>
              </w:rPr>
              <w:t>(32,353)</w:t>
            </w: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spacing w:after="0" w:line="96" w:lineRule="exact"/>
              <w:rPr>
                <w:sz w:val="20"/>
                <w:szCs w:val="20"/>
                <w:color w:val="auto"/>
              </w:rPr>
            </w:pPr>
            <w:r>
              <w:rPr>
                <w:rFonts w:ascii="Arial" w:cs="Arial" w:eastAsia="Arial" w:hAnsi="Arial"/>
                <w:sz w:val="9"/>
                <w:szCs w:val="9"/>
                <w:color w:val="auto"/>
              </w:rPr>
              <w:t>(63,692)</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r>
        <w:trPr>
          <w:trHeight w:val="114"/>
        </w:trPr>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ind w:right="73"/>
              <w:spacing w:after="0" w:line="94" w:lineRule="exact"/>
              <w:rPr>
                <w:sz w:val="20"/>
                <w:szCs w:val="20"/>
                <w:color w:val="auto"/>
              </w:rPr>
            </w:pPr>
            <w:r>
              <w:rPr>
                <w:rFonts w:ascii="Arial" w:cs="Arial" w:eastAsia="Arial" w:hAnsi="Arial"/>
                <w:sz w:val="9"/>
                <w:szCs w:val="9"/>
                <w:color w:val="auto"/>
              </w:rPr>
              <w:t>63,322</w:t>
            </w:r>
          </w:p>
        </w:tc>
        <w:tc>
          <w:tcPr>
            <w:tcW w:w="140" w:type="dxa"/>
            <w:vAlign w:val="bottom"/>
          </w:tcPr>
          <w:p>
            <w:pPr>
              <w:spacing w:after="0"/>
              <w:rPr>
                <w:sz w:val="9"/>
                <w:szCs w:val="9"/>
                <w:color w:val="auto"/>
              </w:rPr>
            </w:pPr>
          </w:p>
        </w:tc>
        <w:tc>
          <w:tcPr>
            <w:tcW w:w="1160" w:type="dxa"/>
            <w:vAlign w:val="bottom"/>
            <w:tcBorders>
              <w:bottom w:val="single" w:sz="8" w:color="auto"/>
            </w:tcBorders>
          </w:tcPr>
          <w:p>
            <w:pPr>
              <w:jc w:val="right"/>
              <w:ind w:right="73"/>
              <w:spacing w:after="0" w:line="94" w:lineRule="exact"/>
              <w:rPr>
                <w:sz w:val="20"/>
                <w:szCs w:val="20"/>
                <w:color w:val="auto"/>
              </w:rPr>
            </w:pPr>
            <w:r>
              <w:rPr>
                <w:rFonts w:ascii="Arial" w:cs="Arial" w:eastAsia="Arial" w:hAnsi="Arial"/>
                <w:sz w:val="9"/>
                <w:szCs w:val="9"/>
                <w:color w:val="auto"/>
              </w:rPr>
              <w:t>592,965</w:t>
            </w: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jc w:val="right"/>
              <w:ind w:right="53"/>
              <w:spacing w:after="0" w:line="94" w:lineRule="exact"/>
              <w:rPr>
                <w:sz w:val="20"/>
                <w:szCs w:val="20"/>
                <w:color w:val="auto"/>
              </w:rPr>
            </w:pPr>
            <w:r>
              <w:rPr>
                <w:rFonts w:ascii="Arial" w:cs="Arial" w:eastAsia="Arial" w:hAnsi="Arial"/>
                <w:sz w:val="9"/>
                <w:szCs w:val="9"/>
                <w:color w:val="auto"/>
              </w:rPr>
              <w:t>4,347,647</w:t>
            </w:r>
          </w:p>
        </w:tc>
        <w:tc>
          <w:tcPr>
            <w:tcW w:w="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40"/>
              <w:spacing w:after="0" w:line="94" w:lineRule="exact"/>
              <w:rPr>
                <w:sz w:val="20"/>
                <w:szCs w:val="20"/>
                <w:color w:val="auto"/>
              </w:rPr>
            </w:pPr>
            <w:r>
              <w:rPr>
                <w:rFonts w:ascii="Arial" w:cs="Arial" w:eastAsia="Arial" w:hAnsi="Arial"/>
                <w:sz w:val="9"/>
                <w:szCs w:val="9"/>
                <w:color w:val="auto"/>
              </w:rPr>
              <w:t>5,003,934</w:t>
            </w: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Borders>
              <w:bottom w:val="single" w:sz="8" w:color="auto"/>
            </w:tcBorders>
          </w:tcPr>
          <w:p>
            <w:pPr>
              <w:jc w:val="right"/>
              <w:ind w:right="433"/>
              <w:spacing w:after="0" w:line="94" w:lineRule="exact"/>
              <w:rPr>
                <w:sz w:val="20"/>
                <w:szCs w:val="20"/>
                <w:color w:val="auto"/>
              </w:rPr>
            </w:pPr>
            <w:r>
              <w:rPr>
                <w:rFonts w:ascii="Arial" w:cs="Arial" w:eastAsia="Arial" w:hAnsi="Arial"/>
                <w:sz w:val="9"/>
                <w:szCs w:val="9"/>
                <w:color w:val="auto"/>
              </w:rPr>
              <w:t>4.23%</w:t>
            </w:r>
          </w:p>
        </w:tc>
        <w:tc>
          <w:tcPr>
            <w:tcW w:w="120" w:type="dxa"/>
            <w:vAlign w:val="bottom"/>
            <w:tcBorders>
              <w:bottom w:val="single" w:sz="8" w:color="auto"/>
            </w:tcBorders>
          </w:tcPr>
          <w:p>
            <w:pPr>
              <w:spacing w:after="0"/>
              <w:rPr>
                <w:sz w:val="9"/>
                <w:szCs w:val="9"/>
                <w:color w:val="auto"/>
              </w:rPr>
            </w:pPr>
          </w:p>
        </w:tc>
      </w:tr>
      <w:tr>
        <w:trPr>
          <w:trHeight w:val="418"/>
        </w:trPr>
        <w:tc>
          <w:tcPr>
            <w:tcW w:w="108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Percentage of Total Debt:</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9"/>
                <w:szCs w:val="9"/>
                <w:color w:val="auto"/>
                <w:highlight w:val="black"/>
              </w:rPr>
              <w:t>3/31/2026</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9"/>
                <w:szCs w:val="9"/>
                <w:color w:val="auto"/>
                <w:highlight w:val="black"/>
              </w:rPr>
              <w:t>12/31/2025</w:t>
            </w:r>
          </w:p>
        </w:tc>
        <w:tc>
          <w:tcPr>
            <w:tcW w:w="120" w:type="dxa"/>
            <w:vAlign w:val="bottom"/>
            <w:tcBorders>
              <w:bottom w:val="single" w:sz="8" w:color="auto"/>
            </w:tcBorders>
          </w:tcPr>
          <w:p>
            <w:pPr>
              <w:spacing w:after="0"/>
              <w:rPr>
                <w:sz w:val="24"/>
                <w:szCs w:val="24"/>
                <w:color w:val="auto"/>
              </w:rPr>
            </w:pPr>
          </w:p>
        </w:tc>
      </w:tr>
      <w:tr>
        <w:trPr>
          <w:trHeight w:val="97"/>
        </w:trPr>
        <w:tc>
          <w:tcPr>
            <w:tcW w:w="4540" w:type="dxa"/>
            <w:vAlign w:val="bottom"/>
            <w:gridSpan w:val="5"/>
          </w:tcPr>
          <w:p>
            <w:pPr>
              <w:ind w:left="140"/>
              <w:spacing w:after="0" w:line="98" w:lineRule="exact"/>
              <w:rPr>
                <w:sz w:val="20"/>
                <w:szCs w:val="20"/>
                <w:color w:val="auto"/>
              </w:rPr>
            </w:pPr>
            <w:r>
              <w:rPr>
                <w:rFonts w:ascii="Arial" w:cs="Arial" w:eastAsia="Arial" w:hAnsi="Arial"/>
                <w:sz w:val="9"/>
                <w:szCs w:val="9"/>
                <w:color w:val="auto"/>
              </w:rPr>
              <w:t>Fixed</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5"/>
          </w:tcPr>
          <w:p>
            <w:pPr>
              <w:jc w:val="center"/>
              <w:ind w:left="953"/>
              <w:spacing w:after="0" w:line="98" w:lineRule="exact"/>
              <w:rPr>
                <w:sz w:val="20"/>
                <w:szCs w:val="20"/>
                <w:color w:val="auto"/>
              </w:rPr>
            </w:pPr>
            <w:r>
              <w:rPr>
                <w:rFonts w:ascii="Arial" w:cs="Arial" w:eastAsia="Arial" w:hAnsi="Arial"/>
                <w:sz w:val="9"/>
                <w:szCs w:val="9"/>
                <w:color w:val="auto"/>
              </w:rPr>
              <w:t>99.4%</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tcPr>
          <w:p>
            <w:pPr>
              <w:jc w:val="center"/>
              <w:ind w:left="13"/>
              <w:spacing w:after="0" w:line="98" w:lineRule="exact"/>
              <w:rPr>
                <w:sz w:val="20"/>
                <w:szCs w:val="20"/>
                <w:color w:val="auto"/>
              </w:rPr>
            </w:pPr>
            <w:r>
              <w:rPr>
                <w:rFonts w:ascii="Arial" w:cs="Arial" w:eastAsia="Arial" w:hAnsi="Arial"/>
                <w:sz w:val="9"/>
                <w:szCs w:val="9"/>
                <w:color w:val="auto"/>
              </w:rPr>
              <w:t>97.5%</w:t>
            </w:r>
          </w:p>
        </w:tc>
        <w:tc>
          <w:tcPr>
            <w:tcW w:w="120" w:type="dxa"/>
            <w:vAlign w:val="bottom"/>
          </w:tcPr>
          <w:p>
            <w:pPr>
              <w:spacing w:after="0"/>
              <w:rPr>
                <w:sz w:val="8"/>
                <w:szCs w:val="8"/>
                <w:color w:val="auto"/>
              </w:rPr>
            </w:pPr>
          </w:p>
        </w:tc>
      </w:tr>
      <w:tr>
        <w:trPr>
          <w:trHeight w:val="11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Variable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5"/>
          </w:tcPr>
          <w:p>
            <w:pPr>
              <w:jc w:val="center"/>
              <w:ind w:left="933"/>
              <w:spacing w:after="0"/>
              <w:rPr>
                <w:sz w:val="20"/>
                <w:szCs w:val="20"/>
                <w:color w:val="auto"/>
              </w:rPr>
            </w:pPr>
            <w:r>
              <w:rPr>
                <w:rFonts w:ascii="Arial" w:cs="Arial" w:eastAsia="Arial" w:hAnsi="Arial"/>
                <w:sz w:val="9"/>
                <w:szCs w:val="9"/>
                <w:color w:val="auto"/>
              </w:rPr>
              <w:t>0.6%</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2.5%</w:t>
            </w:r>
          </w:p>
        </w:tc>
        <w:tc>
          <w:tcPr>
            <w:tcW w:w="120" w:type="dxa"/>
            <w:vAlign w:val="bottom"/>
          </w:tcPr>
          <w:p>
            <w:pPr>
              <w:spacing w:after="0"/>
              <w:rPr>
                <w:sz w:val="10"/>
                <w:szCs w:val="10"/>
                <w:color w:val="auto"/>
              </w:rPr>
            </w:pPr>
          </w:p>
        </w:tc>
      </w:tr>
      <w:tr>
        <w:trPr>
          <w:trHeight w:val="161"/>
        </w:trPr>
        <w:tc>
          <w:tcPr>
            <w:tcW w:w="2300" w:type="dxa"/>
            <w:vAlign w:val="bottom"/>
            <w:tcBorders>
              <w:bottom w:val="single" w:sz="8" w:color="auto"/>
            </w:tcBorders>
            <w:gridSpan w:val="4"/>
          </w:tcPr>
          <w:p>
            <w:pPr>
              <w:spacing w:after="0"/>
              <w:rPr>
                <w:sz w:val="20"/>
                <w:szCs w:val="20"/>
                <w:color w:val="auto"/>
              </w:rPr>
            </w:pPr>
            <w:r>
              <w:rPr>
                <w:rFonts w:ascii="Arial" w:cs="Arial" w:eastAsia="Arial" w:hAnsi="Arial"/>
                <w:sz w:val="9"/>
                <w:szCs w:val="9"/>
                <w:color w:val="auto"/>
              </w:rPr>
              <w:t>Current Weighted Average Contractual Interest Rates:</w:t>
            </w:r>
          </w:p>
        </w:tc>
        <w:tc>
          <w:tcPr>
            <w:tcW w:w="2240" w:type="dxa"/>
            <w:vAlign w:val="bottom"/>
          </w:tcPr>
          <w:p>
            <w:pPr>
              <w:jc w:val="right"/>
              <w:ind w:right="2128"/>
              <w:spacing w:after="0"/>
              <w:rPr>
                <w:sz w:val="20"/>
                <w:szCs w:val="20"/>
                <w:color w:val="auto"/>
              </w:rPr>
            </w:pPr>
            <w:r>
              <w:rPr>
                <w:rFonts w:ascii="Arial" w:cs="Arial" w:eastAsia="Arial" w:hAnsi="Arial"/>
                <w:sz w:val="6"/>
                <w:szCs w:val="6"/>
                <w:color w:val="auto"/>
                <w:w w:val="81"/>
              </w:rPr>
              <w:t>(3)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0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Fixed</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5"/>
          </w:tcPr>
          <w:p>
            <w:pPr>
              <w:jc w:val="center"/>
              <w:ind w:left="933"/>
              <w:spacing w:after="0"/>
              <w:rPr>
                <w:sz w:val="20"/>
                <w:szCs w:val="20"/>
                <w:color w:val="auto"/>
              </w:rPr>
            </w:pPr>
            <w:r>
              <w:rPr>
                <w:rFonts w:ascii="Arial" w:cs="Arial" w:eastAsia="Arial" w:hAnsi="Arial"/>
                <w:sz w:val="9"/>
                <w:szCs w:val="9"/>
                <w:color w:val="auto"/>
              </w:rPr>
              <w:t>4.2%</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4.2%</w:t>
            </w:r>
          </w:p>
        </w:tc>
        <w:tc>
          <w:tcPr>
            <w:tcW w:w="120" w:type="dxa"/>
            <w:vAlign w:val="bottom"/>
          </w:tcPr>
          <w:p>
            <w:pPr>
              <w:spacing w:after="0"/>
              <w:rPr>
                <w:sz w:val="9"/>
                <w:szCs w:val="9"/>
                <w:color w:val="auto"/>
              </w:rPr>
            </w:pPr>
          </w:p>
        </w:tc>
      </w:tr>
      <w:tr>
        <w:trPr>
          <w:trHeight w:val="11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Variable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5"/>
          </w:tcPr>
          <w:p>
            <w:pPr>
              <w:jc w:val="center"/>
              <w:ind w:left="933"/>
              <w:spacing w:after="0"/>
              <w:rPr>
                <w:sz w:val="20"/>
                <w:szCs w:val="20"/>
                <w:color w:val="auto"/>
              </w:rPr>
            </w:pPr>
            <w:r>
              <w:rPr>
                <w:rFonts w:ascii="Arial" w:cs="Arial" w:eastAsia="Arial" w:hAnsi="Arial"/>
                <w:sz w:val="9"/>
                <w:szCs w:val="9"/>
                <w:color w:val="auto"/>
              </w:rPr>
              <w:t>4.4%</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4.4%</w:t>
            </w:r>
          </w:p>
        </w:tc>
        <w:tc>
          <w:tcPr>
            <w:tcW w:w="120" w:type="dxa"/>
            <w:vAlign w:val="bottom"/>
          </w:tcPr>
          <w:p>
            <w:pPr>
              <w:spacing w:after="0"/>
              <w:rPr>
                <w:sz w:val="10"/>
                <w:szCs w:val="10"/>
                <w:color w:val="auto"/>
              </w:rPr>
            </w:pPr>
          </w:p>
        </w:tc>
      </w:tr>
      <w:tr>
        <w:trPr>
          <w:trHeight w:val="11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Combined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gridSpan w:val="5"/>
          </w:tcPr>
          <w:p>
            <w:pPr>
              <w:jc w:val="center"/>
              <w:ind w:left="933"/>
              <w:spacing w:after="0"/>
              <w:rPr>
                <w:sz w:val="20"/>
                <w:szCs w:val="20"/>
                <w:color w:val="auto"/>
              </w:rPr>
            </w:pPr>
            <w:r>
              <w:rPr>
                <w:rFonts w:ascii="Arial" w:cs="Arial" w:eastAsia="Arial" w:hAnsi="Arial"/>
                <w:sz w:val="9"/>
                <w:szCs w:val="9"/>
                <w:color w:val="auto"/>
              </w:rPr>
              <w:t>4.2%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4.2%</w:t>
            </w:r>
          </w:p>
        </w:tc>
        <w:tc>
          <w:tcPr>
            <w:tcW w:w="120" w:type="dxa"/>
            <w:vAlign w:val="bottom"/>
          </w:tcPr>
          <w:p>
            <w:pPr>
              <w:spacing w:after="0"/>
              <w:rPr>
                <w:sz w:val="10"/>
                <w:szCs w:val="10"/>
                <w:color w:val="auto"/>
              </w:rPr>
            </w:pPr>
          </w:p>
        </w:tc>
      </w:tr>
      <w:tr>
        <w:trPr>
          <w:trHeight w:val="215"/>
        </w:trPr>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9"/>
                <w:szCs w:val="9"/>
                <w:color w:val="auto"/>
              </w:rPr>
              <w:t>Current Weighted Average Effective Interest Rate:</w:t>
            </w:r>
          </w:p>
        </w:tc>
        <w:tc>
          <w:tcPr>
            <w:tcW w:w="2400" w:type="dxa"/>
            <w:vAlign w:val="bottom"/>
            <w:gridSpan w:val="2"/>
          </w:tcPr>
          <w:p>
            <w:pPr>
              <w:jc w:val="right"/>
              <w:ind w:right="2288"/>
              <w:spacing w:after="0"/>
              <w:rPr>
                <w:sz w:val="20"/>
                <w:szCs w:val="20"/>
                <w:color w:val="auto"/>
              </w:rPr>
            </w:pPr>
            <w:r>
              <w:rPr>
                <w:rFonts w:ascii="Arial" w:cs="Arial" w:eastAsia="Arial" w:hAnsi="Arial"/>
                <w:sz w:val="6"/>
                <w:szCs w:val="6"/>
                <w:color w:val="auto"/>
                <w:w w:val="81"/>
              </w:rPr>
              <w:t>(4)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Combined</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5"/>
          </w:tcPr>
          <w:p>
            <w:pPr>
              <w:jc w:val="center"/>
              <w:ind w:left="933"/>
              <w:spacing w:after="0"/>
              <w:rPr>
                <w:sz w:val="20"/>
                <w:szCs w:val="20"/>
                <w:color w:val="auto"/>
              </w:rPr>
            </w:pPr>
            <w:r>
              <w:rPr>
                <w:rFonts w:ascii="Arial" w:cs="Arial" w:eastAsia="Arial" w:hAnsi="Arial"/>
                <w:sz w:val="9"/>
                <w:szCs w:val="9"/>
                <w:color w:val="auto"/>
              </w:rPr>
              <w:t>4.5%</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4.5%</w:t>
            </w:r>
          </w:p>
        </w:tc>
        <w:tc>
          <w:tcPr>
            <w:tcW w:w="120" w:type="dxa"/>
            <w:vAlign w:val="bottom"/>
          </w:tcPr>
          <w:p>
            <w:pPr>
              <w:spacing w:after="0"/>
              <w:rPr>
                <w:sz w:val="9"/>
                <w:szCs w:val="9"/>
                <w:color w:val="auto"/>
              </w:rPr>
            </w:pPr>
          </w:p>
        </w:tc>
      </w:tr>
      <w:tr>
        <w:trPr>
          <w:trHeight w:val="215"/>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9"/>
                <w:szCs w:val="9"/>
                <w:color w:val="auto"/>
              </w:rPr>
              <w:t>Average Years to Maturity:</w:t>
            </w:r>
          </w:p>
        </w:tc>
        <w:tc>
          <w:tcPr>
            <w:tcW w:w="3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Fixed</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4"/>
          </w:tcPr>
          <w:p>
            <w:pPr>
              <w:jc w:val="center"/>
              <w:ind w:left="1113"/>
              <w:spacing w:after="0"/>
              <w:rPr>
                <w:sz w:val="20"/>
                <w:szCs w:val="20"/>
                <w:color w:val="auto"/>
              </w:rPr>
            </w:pPr>
            <w:r>
              <w:rPr>
                <w:rFonts w:ascii="Arial" w:cs="Arial" w:eastAsia="Arial" w:hAnsi="Arial"/>
                <w:sz w:val="9"/>
                <w:szCs w:val="9"/>
                <w:color w:val="auto"/>
              </w:rPr>
              <w:t>7.0</w:t>
            </w: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7.2</w:t>
            </w:r>
          </w:p>
        </w:tc>
        <w:tc>
          <w:tcPr>
            <w:tcW w:w="120" w:type="dxa"/>
            <w:vAlign w:val="bottom"/>
          </w:tcPr>
          <w:p>
            <w:pPr>
              <w:spacing w:after="0"/>
              <w:rPr>
                <w:sz w:val="9"/>
                <w:szCs w:val="9"/>
                <w:color w:val="auto"/>
              </w:rPr>
            </w:pPr>
          </w:p>
        </w:tc>
      </w:tr>
      <w:tr>
        <w:trPr>
          <w:trHeight w:val="118"/>
        </w:trPr>
        <w:tc>
          <w:tcPr>
            <w:tcW w:w="4540" w:type="dxa"/>
            <w:vAlign w:val="bottom"/>
            <w:gridSpan w:val="5"/>
          </w:tcPr>
          <w:p>
            <w:pPr>
              <w:ind w:left="140"/>
              <w:spacing w:after="0"/>
              <w:rPr>
                <w:sz w:val="20"/>
                <w:szCs w:val="20"/>
                <w:color w:val="auto"/>
              </w:rPr>
            </w:pPr>
            <w:r>
              <w:rPr>
                <w:rFonts w:ascii="Arial" w:cs="Arial" w:eastAsia="Arial" w:hAnsi="Arial"/>
                <w:sz w:val="9"/>
                <w:szCs w:val="9"/>
                <w:color w:val="auto"/>
              </w:rPr>
              <w:t>Variable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4"/>
          </w:tcPr>
          <w:p>
            <w:pPr>
              <w:jc w:val="center"/>
              <w:ind w:left="1113"/>
              <w:spacing w:after="0"/>
              <w:rPr>
                <w:sz w:val="20"/>
                <w:szCs w:val="20"/>
                <w:color w:val="auto"/>
              </w:rPr>
            </w:pPr>
            <w:r>
              <w:rPr>
                <w:rFonts w:ascii="Arial" w:cs="Arial" w:eastAsia="Arial" w:hAnsi="Arial"/>
                <w:sz w:val="9"/>
                <w:szCs w:val="9"/>
                <w:color w:val="auto"/>
              </w:rPr>
              <w:t>2.1</w:t>
            </w: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jc w:val="center"/>
              <w:spacing w:after="0"/>
              <w:rPr>
                <w:sz w:val="20"/>
                <w:szCs w:val="20"/>
                <w:color w:val="auto"/>
              </w:rPr>
            </w:pPr>
            <w:r>
              <w:rPr>
                <w:rFonts w:ascii="Arial" w:cs="Arial" w:eastAsia="Arial" w:hAnsi="Arial"/>
                <w:sz w:val="9"/>
                <w:szCs w:val="9"/>
                <w:color w:val="auto"/>
              </w:rPr>
              <w:t>2.3</w:t>
            </w: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-2343150</wp:posOffset>
            </wp:positionV>
            <wp:extent cx="76200" cy="66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200" cy="66675"/>
                    </a:xfrm>
                    <a:prstGeom prst="rect">
                      <a:avLst/>
                    </a:prstGeom>
                    <a:noFill/>
                  </pic:spPr>
                </pic:pic>
              </a:graphicData>
            </a:graphic>
          </wp:anchor>
        </w:drawing>
        <w:drawing>
          <wp:anchor simplePos="0" relativeHeight="251657728" behindDoc="1" locked="0" layoutInCell="0" allowOverlap="1">
            <wp:simplePos x="0" y="0"/>
            <wp:positionH relativeFrom="column">
              <wp:posOffset>1452880</wp:posOffset>
            </wp:positionH>
            <wp:positionV relativeFrom="paragraph">
              <wp:posOffset>-821055</wp:posOffset>
            </wp:positionV>
            <wp:extent cx="76200" cy="66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200" cy="6667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-454025</wp:posOffset>
            </wp:positionV>
            <wp:extent cx="76200" cy="666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195" w:lineRule="exact"/>
        <w:rPr>
          <w:sz w:val="20"/>
          <w:szCs w:val="20"/>
          <w:color w:val="auto"/>
        </w:rPr>
      </w:pPr>
    </w:p>
    <w:p>
      <w:pPr>
        <w:ind w:left="308" w:hanging="308"/>
        <w:spacing w:after="0"/>
        <w:tabs>
          <w:tab w:leader="none" w:pos="308" w:val="left"/>
        </w:tabs>
        <w:numPr>
          <w:ilvl w:val="0"/>
          <w:numId w:val="41"/>
        </w:numPr>
        <w:rPr>
          <w:rFonts w:ascii="Arial" w:cs="Arial" w:eastAsia="Arial" w:hAnsi="Arial"/>
          <w:sz w:val="11"/>
          <w:szCs w:val="11"/>
          <w:color w:val="auto"/>
          <w:vertAlign w:val="superscript"/>
        </w:rPr>
      </w:pPr>
      <w:r>
        <w:rPr>
          <w:rFonts w:ascii="Arial" w:cs="Arial" w:eastAsia="Arial" w:hAnsi="Arial"/>
          <w:sz w:val="8"/>
          <w:szCs w:val="8"/>
          <w:color w:val="auto"/>
        </w:rPr>
        <w:t>Includes variable rate mortgage loans that have been fixed through interest rate swaps.</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1"/>
        </w:numPr>
        <w:rPr>
          <w:rFonts w:ascii="Arial" w:cs="Arial" w:eastAsia="Arial" w:hAnsi="Arial"/>
          <w:sz w:val="9"/>
          <w:szCs w:val="9"/>
          <w:color w:val="auto"/>
          <w:vertAlign w:val="superscript"/>
        </w:rPr>
      </w:pPr>
      <w:r>
        <w:rPr>
          <w:rFonts w:ascii="Arial" w:cs="Arial" w:eastAsia="Arial" w:hAnsi="Arial"/>
          <w:sz w:val="7"/>
          <w:szCs w:val="7"/>
          <w:color w:val="auto"/>
        </w:rPr>
        <w:t>Includes unsecured public and private placement debt and any drawn balance on unsecured revolving line of credit.</w:t>
      </w:r>
    </w:p>
    <w:p>
      <w:pPr>
        <w:spacing w:after="0" w:line="26"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1"/>
        </w:numPr>
        <w:rPr>
          <w:rFonts w:ascii="Arial" w:cs="Arial" w:eastAsia="Arial" w:hAnsi="Arial"/>
          <w:sz w:val="9"/>
          <w:szCs w:val="9"/>
          <w:color w:val="auto"/>
          <w:vertAlign w:val="superscript"/>
        </w:rPr>
      </w:pPr>
      <w:r>
        <w:rPr>
          <w:rFonts w:ascii="Arial" w:cs="Arial" w:eastAsia="Arial" w:hAnsi="Arial"/>
          <w:sz w:val="7"/>
          <w:szCs w:val="7"/>
          <w:color w:val="auto"/>
        </w:rPr>
        <w:t>Interest rates are calculated as of the quarter end.</w:t>
      </w:r>
    </w:p>
    <w:p>
      <w:pPr>
        <w:spacing w:after="0" w:line="35"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1"/>
        </w:numPr>
        <w:rPr>
          <w:rFonts w:ascii="Arial" w:cs="Arial" w:eastAsia="Arial" w:hAnsi="Arial"/>
          <w:sz w:val="9"/>
          <w:szCs w:val="9"/>
          <w:color w:val="auto"/>
          <w:vertAlign w:val="superscript"/>
        </w:rPr>
      </w:pPr>
      <w:r>
        <w:rPr>
          <w:rFonts w:ascii="Arial" w:cs="Arial" w:eastAsia="Arial" w:hAnsi="Arial"/>
          <w:sz w:val="7"/>
          <w:szCs w:val="7"/>
          <w:color w:val="auto"/>
        </w:rPr>
        <w:t>Effective interest rates are calculated in accordance with US GAAP, as of the quarter end, and include the impact of debt premium/(discount) amortization, issuance cost amortization, interest rate swaps, and facility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635</wp:posOffset>
            </wp:positionV>
            <wp:extent cx="281305" cy="149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7" w:lineRule="exact"/>
        <w:rPr>
          <w:sz w:val="20"/>
          <w:szCs w:val="20"/>
          <w:color w:val="auto"/>
        </w:rPr>
      </w:pPr>
    </w:p>
    <w:p>
      <w:pPr>
        <w:ind w:left="10208"/>
        <w:spacing w:after="0"/>
        <w:tabs>
          <w:tab w:leader="none" w:pos="1110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33" w:name="page34"/>
    <w:bookmarkEnd w:id="33"/>
    <w:p>
      <w:pPr>
        <w:jc w:val="center"/>
        <w:ind w:right="-7"/>
        <w:spacing w:after="0"/>
        <w:rPr>
          <w:sz w:val="20"/>
          <w:szCs w:val="20"/>
          <w:color w:val="auto"/>
        </w:rPr>
      </w:pPr>
      <w:r>
        <w:rPr>
          <w:rFonts w:ascii="Arial" w:cs="Arial" w:eastAsia="Arial" w:hAnsi="Arial"/>
          <w:sz w:val="12"/>
          <w:szCs w:val="12"/>
          <w:color w:val="auto"/>
          <w:highlight w:val="black"/>
        </w:rPr>
        <w:t xml:space="preserve">Details </w:t>
      </w:r>
      <w:r>
        <w:rPr>
          <w:rFonts w:ascii="Arial" w:cs="Arial" w:eastAsia="Arial" w:hAnsi="Arial"/>
          <w:sz w:val="12"/>
          <w:szCs w:val="12"/>
          <w:color w:val="auto"/>
        </w:rPr>
        <w:t>of Consolidated Debt</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March 31, 2026 and December 31, 2025</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ectPr>
          <w:pgSz w:w="11900" w:h="16838" w:orient="portrait"/>
          <w:cols w:equalWidth="0" w:num="1">
            <w:col w:w="11308"/>
          </w:cols>
          <w:pgMar w:left="292" w:top="732" w:right="299" w:bottom="1440" w:gutter="0" w:footer="0" w:header="0"/>
        </w:sectPr>
      </w:pP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00"/>
        </w:trPr>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7"/>
                <w:szCs w:val="7"/>
                <w:color w:val="auto"/>
                <w:highlight w:val="black"/>
              </w:rPr>
              <w:t>Contractual</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20" w:type="dxa"/>
            <w:vAlign w:val="bottom"/>
            <w:tcBorders>
              <w:bottom w:val="single" w:sz="8" w:color="auto"/>
            </w:tcBorders>
          </w:tcPr>
          <w:p>
            <w:pPr>
              <w:spacing w:after="0" w:line="62" w:lineRule="exact"/>
              <w:rPr>
                <w:sz w:val="20"/>
                <w:szCs w:val="20"/>
                <w:color w:val="auto"/>
              </w:rPr>
            </w:pPr>
            <w:r>
              <w:rPr>
                <w:rFonts w:ascii="Arial" w:cs="Arial" w:eastAsia="Arial" w:hAnsi="Arial"/>
                <w:sz w:val="7"/>
                <w:szCs w:val="7"/>
                <w:color w:val="auto"/>
                <w:highlight w:val="black"/>
                <w:w w:val="91"/>
              </w:rPr>
              <w:t>Lender</w:t>
            </w: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Borders>
              <w:bottom w:val="single" w:sz="8" w:color="auto"/>
            </w:tcBorders>
          </w:tcPr>
          <w:p>
            <w:pPr>
              <w:spacing w:after="0" w:line="62" w:lineRule="exact"/>
              <w:rPr>
                <w:sz w:val="20"/>
                <w:szCs w:val="20"/>
                <w:color w:val="auto"/>
              </w:rPr>
            </w:pPr>
            <w:r>
              <w:rPr>
                <w:rFonts w:ascii="Arial" w:cs="Arial" w:eastAsia="Arial" w:hAnsi="Arial"/>
                <w:sz w:val="7"/>
                <w:szCs w:val="7"/>
                <w:color w:val="auto"/>
                <w:highlight w:val="black"/>
                <w:w w:val="94"/>
              </w:rPr>
              <w:t>Collateral</w:t>
            </w: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jc w:val="center"/>
              <w:spacing w:after="0" w:line="62" w:lineRule="exact"/>
              <w:rPr>
                <w:sz w:val="20"/>
                <w:szCs w:val="20"/>
                <w:color w:val="auto"/>
              </w:rPr>
            </w:pPr>
            <w:r>
              <w:rPr>
                <w:rFonts w:ascii="Arial" w:cs="Arial" w:eastAsia="Arial" w:hAnsi="Arial"/>
                <w:sz w:val="7"/>
                <w:szCs w:val="7"/>
                <w:color w:val="auto"/>
                <w:highlight w:val="black"/>
                <w:w w:val="94"/>
              </w:rPr>
              <w:t>Rate</w:t>
            </w:r>
          </w:p>
        </w:tc>
        <w:tc>
          <w:tcPr>
            <w:tcW w:w="76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60" w:type="dxa"/>
            <w:vAlign w:val="bottom"/>
            <w:tcBorders>
              <w:bottom w:val="single" w:sz="8" w:color="auto"/>
            </w:tcBorders>
            <w:gridSpan w:val="3"/>
          </w:tcPr>
          <w:p>
            <w:pPr>
              <w:spacing w:after="0" w:line="62" w:lineRule="exact"/>
              <w:rPr>
                <w:sz w:val="20"/>
                <w:szCs w:val="20"/>
                <w:color w:val="auto"/>
              </w:rPr>
            </w:pPr>
            <w:r>
              <w:rPr>
                <w:rFonts w:ascii="Arial" w:cs="Arial" w:eastAsia="Arial" w:hAnsi="Arial"/>
                <w:sz w:val="7"/>
                <w:szCs w:val="7"/>
                <w:color w:val="auto"/>
                <w:w w:val="98"/>
              </w:rPr>
              <w:t>Secured Debt - Fixed Rate Mortgage Loans</w:t>
            </w:r>
          </w:p>
        </w:tc>
        <w:tc>
          <w:tcPr>
            <w:tcW w:w="16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3040" w:type="dxa"/>
            <w:vAlign w:val="bottom"/>
            <w:gridSpan w:val="4"/>
          </w:tcPr>
          <w:p>
            <w:pPr>
              <w:spacing w:after="0" w:line="77" w:lineRule="exact"/>
              <w:rPr>
                <w:sz w:val="20"/>
                <w:szCs w:val="20"/>
                <w:color w:val="auto"/>
              </w:rPr>
            </w:pPr>
            <w:r>
              <w:rPr>
                <w:rFonts w:ascii="Arial" w:cs="Arial" w:eastAsia="Arial" w:hAnsi="Arial"/>
                <w:sz w:val="7"/>
                <w:szCs w:val="7"/>
                <w:color w:val="auto"/>
              </w:rPr>
              <w:t>M&amp;T Bank</w:t>
            </w:r>
          </w:p>
        </w:tc>
        <w:tc>
          <w:tcPr>
            <w:tcW w:w="2580" w:type="dxa"/>
            <w:vAlign w:val="bottom"/>
            <w:gridSpan w:val="3"/>
          </w:tcPr>
          <w:p>
            <w:pPr>
              <w:ind w:left="220"/>
              <w:spacing w:after="0" w:line="77" w:lineRule="exact"/>
              <w:rPr>
                <w:sz w:val="20"/>
                <w:szCs w:val="20"/>
                <w:color w:val="auto"/>
              </w:rPr>
            </w:pPr>
            <w:r>
              <w:rPr>
                <w:rFonts w:ascii="Arial" w:cs="Arial" w:eastAsia="Arial" w:hAnsi="Arial"/>
                <w:sz w:val="7"/>
                <w:szCs w:val="7"/>
                <w:color w:val="auto"/>
              </w:rPr>
              <w:t>Cos Cob Plaza &amp; Greenwich Commons</w:t>
            </w:r>
          </w:p>
        </w:tc>
        <w:tc>
          <w:tcPr>
            <w:tcW w:w="1000" w:type="dxa"/>
            <w:vAlign w:val="bottom"/>
            <w:gridSpan w:val="4"/>
          </w:tcPr>
          <w:p>
            <w:pPr>
              <w:jc w:val="center"/>
              <w:ind w:left="605"/>
              <w:spacing w:after="0" w:line="77" w:lineRule="exact"/>
              <w:rPr>
                <w:sz w:val="20"/>
                <w:szCs w:val="20"/>
                <w:color w:val="auto"/>
              </w:rPr>
            </w:pPr>
            <w:r>
              <w:rPr>
                <w:rFonts w:ascii="Arial" w:cs="Arial" w:eastAsia="Arial" w:hAnsi="Arial"/>
                <w:sz w:val="7"/>
                <w:szCs w:val="7"/>
                <w:color w:val="auto"/>
              </w:rPr>
              <w:t>3.48%</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PNC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The Longmeadow Shops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5.56%</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Santander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Baederwood Shoppes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3.28%</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TD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Black Rock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6.03%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Voya Retire Insurance and Annuity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Meadtown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Voya Retire Insurance and Annuity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Midland Park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Voya Retire Insurance and Annuity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Valley Ridge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Voya Retire Insurance and Annuity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Cedar Hill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Willa Springs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Alden Bridge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Bethany Park Place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Blossom Valley</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Dunwoody Hall</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Guardian Life Insurance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Hasley Canyon Village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PNC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Fellsway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4.06%</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M&amp;T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Ridgeway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3.40%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New York Life Insurance</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Oak Shade Town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6.05%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Provident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Washington Commons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4.83%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TD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Brick Walk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6.71%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New York Life Insurance</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Von's Circle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5.20%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Bank of New York Mellon</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Putnam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4.81%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American United Life Insurance Company</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Ferry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4.63%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M&amp;T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Old Kings Market</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4.82%</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Bank of New York Mellon</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Lakeview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3.63%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State Farm</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Brentwood Place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3.50%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The Prudential Insurance Company of America</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Shops at Erwin Mill</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5.71%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Bank of New York Mellon</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McLean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5.74%</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Tanglewood Shopping Center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Tanglewood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5.05%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Tanglewood Shopping Center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Tanglewood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4.55%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Security Life of Denver Insurance Co.</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Newfield Green</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3.89%</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American United Life Insurance Company</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South Pass Village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3.50%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RGA Reinsurance Company</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Boonton Shopping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3.45%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Bank of New York Mellon</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The Dock-Dockside &amp; The Dock-Railside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3.05%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Bank of New York Mellon</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High Ridge Center</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5.55%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City of Rollingwood</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Shops at Mira Vista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8.00%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John Hancock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Terrace Shops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3.87%</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First County Bank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Old Greenwich CVS</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5.63%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John Hancock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Sendero Marketplace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4.45%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John Hancock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Sendero Marketplace</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4.52%</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State Farm</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Bridgepark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3.63%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John Hancock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Mercantile East</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4.07%</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John Hancock</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Mercantile West</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4.26%</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Metropolitan Life Insurance Company</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Westbury Plaza</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3.76%</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40" w:type="dxa"/>
            <w:vAlign w:val="bottom"/>
            <w:gridSpan w:val="4"/>
          </w:tcPr>
          <w:p>
            <w:pPr>
              <w:ind w:left="120"/>
              <w:spacing w:after="0"/>
              <w:rPr>
                <w:sz w:val="20"/>
                <w:szCs w:val="20"/>
                <w:color w:val="auto"/>
              </w:rPr>
            </w:pPr>
            <w:r>
              <w:rPr>
                <w:rFonts w:ascii="Arial" w:cs="Arial" w:eastAsia="Arial" w:hAnsi="Arial"/>
                <w:sz w:val="7"/>
                <w:szCs w:val="7"/>
                <w:color w:val="auto"/>
              </w:rPr>
              <w:t>Unamortized discount on assumed debt of acquired properties, net of issuance costs</w:t>
            </w: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2820" w:type="dxa"/>
            <w:vAlign w:val="bottom"/>
            <w:gridSpan w:val="3"/>
          </w:tcPr>
          <w:p>
            <w:pPr>
              <w:ind w:left="100"/>
              <w:spacing w:after="0"/>
              <w:rPr>
                <w:sz w:val="20"/>
                <w:szCs w:val="20"/>
                <w:color w:val="auto"/>
              </w:rPr>
            </w:pPr>
            <w:r>
              <w:rPr>
                <w:rFonts w:ascii="Arial" w:cs="Arial" w:eastAsia="Arial" w:hAnsi="Arial"/>
                <w:sz w:val="7"/>
                <w:szCs w:val="7"/>
                <w:b w:val="1"/>
                <w:bCs w:val="1"/>
                <w:color w:val="auto"/>
              </w:rPr>
              <w:t>Total Fixed Rate Mortgage Loans</w:t>
            </w: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Borders>
              <w:bottom w:val="single" w:sz="8" w:color="auto"/>
            </w:tcBorders>
            <w:gridSpan w:val="4"/>
          </w:tcPr>
          <w:p>
            <w:pPr>
              <w:jc w:val="center"/>
              <w:ind w:left="605"/>
              <w:spacing w:after="0" w:line="66" w:lineRule="exact"/>
              <w:rPr>
                <w:sz w:val="20"/>
                <w:szCs w:val="20"/>
                <w:color w:val="auto"/>
              </w:rPr>
            </w:pPr>
            <w:r>
              <w:rPr>
                <w:rFonts w:ascii="Arial" w:cs="Arial" w:eastAsia="Arial" w:hAnsi="Arial"/>
                <w:sz w:val="7"/>
                <w:szCs w:val="7"/>
                <w:color w:val="auto"/>
              </w:rPr>
              <w:t>4.17%</w:t>
            </w:r>
          </w:p>
        </w:tc>
        <w:tc>
          <w:tcPr>
            <w:tcW w:w="6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gridSpan w:val="2"/>
          </w:tcPr>
          <w:p>
            <w:pPr>
              <w:spacing w:after="0" w:line="70" w:lineRule="exact"/>
              <w:rPr>
                <w:sz w:val="20"/>
                <w:szCs w:val="20"/>
                <w:color w:val="auto"/>
              </w:rPr>
            </w:pPr>
            <w:r>
              <w:rPr>
                <w:rFonts w:ascii="Arial" w:cs="Arial" w:eastAsia="Arial" w:hAnsi="Arial"/>
                <w:sz w:val="7"/>
                <w:szCs w:val="7"/>
                <w:color w:val="auto"/>
                <w:highlight w:val="black"/>
                <w:w w:val="94"/>
              </w:rPr>
              <w:t>Unsecured Debt</w:t>
            </w:r>
          </w:p>
        </w:tc>
        <w:tc>
          <w:tcPr>
            <w:tcW w:w="2540" w:type="dxa"/>
            <w:vAlign w:val="bottom"/>
            <w:gridSpan w:val="2"/>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040" w:type="dxa"/>
            <w:vAlign w:val="bottom"/>
            <w:gridSpan w:val="4"/>
          </w:tcPr>
          <w:p>
            <w:pPr>
              <w:spacing w:after="0" w:line="77" w:lineRule="exact"/>
              <w:rPr>
                <w:sz w:val="20"/>
                <w:szCs w:val="20"/>
                <w:color w:val="auto"/>
              </w:rPr>
            </w:pPr>
            <w:r>
              <w:rPr>
                <w:rFonts w:ascii="Arial" w:cs="Arial" w:eastAsia="Arial" w:hAnsi="Arial"/>
                <w:sz w:val="7"/>
                <w:szCs w:val="7"/>
                <w:color w:val="auto"/>
              </w:rPr>
              <w:t>Debt Placement (5/11/16)</w:t>
            </w:r>
          </w:p>
        </w:tc>
        <w:tc>
          <w:tcPr>
            <w:tcW w:w="2580" w:type="dxa"/>
            <w:vAlign w:val="bottom"/>
            <w:gridSpan w:val="3"/>
          </w:tcPr>
          <w:p>
            <w:pPr>
              <w:ind w:left="220"/>
              <w:spacing w:after="0" w:line="77" w:lineRule="exact"/>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line="77" w:lineRule="exact"/>
              <w:rPr>
                <w:sz w:val="20"/>
                <w:szCs w:val="20"/>
                <w:color w:val="auto"/>
              </w:rPr>
            </w:pPr>
            <w:r>
              <w:rPr>
                <w:rFonts w:ascii="Arial" w:cs="Arial" w:eastAsia="Arial" w:hAnsi="Arial"/>
                <w:sz w:val="7"/>
                <w:szCs w:val="7"/>
                <w:color w:val="auto"/>
              </w:rPr>
              <w:t>3.81%</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Placement (8/11/16)</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3.91%</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(1/17/17)</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3.60%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(3/9/18)</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4.13%</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(8/13/19)</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2.95%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(5/13/20)</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3.70%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(5/8/25)</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5.00%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(2/18/26)</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4.50%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(1/18/24)</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5.25%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(8/15/24)</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5.10%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(1/17/17)</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4.40%</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40" w:type="dxa"/>
            <w:vAlign w:val="bottom"/>
            <w:gridSpan w:val="4"/>
          </w:tcPr>
          <w:p>
            <w:pPr>
              <w:spacing w:after="0"/>
              <w:rPr>
                <w:sz w:val="20"/>
                <w:szCs w:val="20"/>
                <w:color w:val="auto"/>
              </w:rPr>
            </w:pPr>
            <w:r>
              <w:rPr>
                <w:rFonts w:ascii="Arial" w:cs="Arial" w:eastAsia="Arial" w:hAnsi="Arial"/>
                <w:sz w:val="7"/>
                <w:szCs w:val="7"/>
                <w:color w:val="auto"/>
              </w:rPr>
              <w:t>Debt Offering (3/6/19)</w:t>
            </w:r>
          </w:p>
        </w:tc>
        <w:tc>
          <w:tcPr>
            <w:tcW w:w="2580" w:type="dxa"/>
            <w:vAlign w:val="bottom"/>
            <w:gridSpan w:val="3"/>
          </w:tcPr>
          <w:p>
            <w:pPr>
              <w:ind w:left="220"/>
              <w:spacing w:after="0"/>
              <w:rPr>
                <w:sz w:val="20"/>
                <w:szCs w:val="20"/>
                <w:color w:val="auto"/>
              </w:rPr>
            </w:pPr>
            <w:r>
              <w:rPr>
                <w:rFonts w:ascii="Arial" w:cs="Arial" w:eastAsia="Arial" w:hAnsi="Arial"/>
                <w:sz w:val="7"/>
                <w:szCs w:val="7"/>
                <w:color w:val="auto"/>
              </w:rPr>
              <w:t>Fixed-rate unsecured</w:t>
            </w:r>
          </w:p>
        </w:tc>
        <w:tc>
          <w:tcPr>
            <w:tcW w:w="1000" w:type="dxa"/>
            <w:vAlign w:val="bottom"/>
            <w:gridSpan w:val="4"/>
          </w:tcPr>
          <w:p>
            <w:pPr>
              <w:jc w:val="center"/>
              <w:ind w:left="605"/>
              <w:spacing w:after="0"/>
              <w:rPr>
                <w:sz w:val="20"/>
                <w:szCs w:val="20"/>
                <w:color w:val="auto"/>
              </w:rPr>
            </w:pPr>
            <w:r>
              <w:rPr>
                <w:rFonts w:ascii="Arial" w:cs="Arial" w:eastAsia="Arial" w:hAnsi="Arial"/>
                <w:sz w:val="7"/>
                <w:szCs w:val="7"/>
                <w:color w:val="auto"/>
              </w:rPr>
              <w:t>4.65%</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40" w:type="dxa"/>
            <w:vAlign w:val="bottom"/>
            <w:gridSpan w:val="4"/>
            <w:vMerge w:val="restart"/>
          </w:tcPr>
          <w:p>
            <w:pPr>
              <w:spacing w:after="0"/>
              <w:rPr>
                <w:sz w:val="20"/>
                <w:szCs w:val="20"/>
                <w:color w:val="auto"/>
              </w:rPr>
            </w:pPr>
            <w:r>
              <w:rPr>
                <w:rFonts w:ascii="Arial" w:cs="Arial" w:eastAsia="Arial" w:hAnsi="Arial"/>
                <w:sz w:val="7"/>
                <w:szCs w:val="7"/>
                <w:color w:val="auto"/>
              </w:rPr>
              <w:t>Revolving Line of Credit</w:t>
            </w:r>
          </w:p>
        </w:tc>
        <w:tc>
          <w:tcPr>
            <w:tcW w:w="2580" w:type="dxa"/>
            <w:vAlign w:val="bottom"/>
            <w:gridSpan w:val="3"/>
            <w:vMerge w:val="restart"/>
          </w:tcPr>
          <w:p>
            <w:pPr>
              <w:ind w:left="220"/>
              <w:spacing w:after="0"/>
              <w:rPr>
                <w:sz w:val="20"/>
                <w:szCs w:val="20"/>
                <w:color w:val="auto"/>
              </w:rPr>
            </w:pPr>
            <w:r>
              <w:rPr>
                <w:rFonts w:ascii="Arial" w:cs="Arial" w:eastAsia="Arial" w:hAnsi="Arial"/>
                <w:sz w:val="7"/>
                <w:szCs w:val="7"/>
                <w:color w:val="auto"/>
              </w:rPr>
              <w:t>Variable-rate unsecured</w:t>
            </w:r>
          </w:p>
        </w:tc>
        <w:tc>
          <w:tcPr>
            <w:tcW w:w="1640" w:type="dxa"/>
            <w:vAlign w:val="bottom"/>
            <w:gridSpan w:val="5"/>
            <w:vMerge w:val="restart"/>
          </w:tcPr>
          <w:p>
            <w:pPr>
              <w:jc w:val="center"/>
              <w:ind w:right="20"/>
              <w:spacing w:after="0"/>
              <w:rPr>
                <w:sz w:val="20"/>
                <w:szCs w:val="20"/>
                <w:color w:val="auto"/>
              </w:rPr>
            </w:pPr>
            <w:r>
              <w:rPr>
                <w:rFonts w:ascii="Arial" w:cs="Arial" w:eastAsia="Arial" w:hAnsi="Arial"/>
                <w:sz w:val="7"/>
                <w:szCs w:val="7"/>
                <w:color w:val="auto"/>
              </w:rPr>
              <w:t>Adjusted SOFR + 0.685%</w:t>
            </w:r>
          </w:p>
        </w:tc>
        <w:tc>
          <w:tcPr>
            <w:tcW w:w="160" w:type="dxa"/>
            <w:vAlign w:val="bottom"/>
          </w:tcPr>
          <w:p>
            <w:pPr>
              <w:jc w:val="right"/>
              <w:spacing w:after="0"/>
              <w:rPr>
                <w:sz w:val="20"/>
                <w:szCs w:val="20"/>
                <w:color w:val="auto"/>
              </w:rPr>
            </w:pPr>
            <w:r>
              <w:rPr>
                <w:rFonts w:ascii="Arial" w:cs="Arial" w:eastAsia="Arial" w:hAnsi="Arial"/>
                <w:sz w:val="5"/>
                <w:szCs w:val="5"/>
                <w:color w:val="auto"/>
              </w:rPr>
              <w:t>(2)</w:t>
            </w:r>
          </w:p>
        </w:tc>
        <w:tc>
          <w:tcPr>
            <w:tcW w:w="0" w:type="dxa"/>
            <w:vAlign w:val="bottom"/>
          </w:tcPr>
          <w:p>
            <w:pPr>
              <w:spacing w:after="0"/>
              <w:rPr>
                <w:sz w:val="1"/>
                <w:szCs w:val="1"/>
                <w:color w:val="auto"/>
              </w:rPr>
            </w:pPr>
          </w:p>
        </w:tc>
      </w:tr>
      <w:tr>
        <w:trPr>
          <w:trHeight w:val="32"/>
        </w:trPr>
        <w:tc>
          <w:tcPr>
            <w:tcW w:w="3040" w:type="dxa"/>
            <w:vAlign w:val="bottom"/>
            <w:gridSpan w:val="4"/>
            <w:vMerge w:val="continue"/>
          </w:tcPr>
          <w:p>
            <w:pPr>
              <w:spacing w:after="0"/>
              <w:rPr>
                <w:sz w:val="2"/>
                <w:szCs w:val="2"/>
                <w:color w:val="auto"/>
              </w:rPr>
            </w:pPr>
          </w:p>
        </w:tc>
        <w:tc>
          <w:tcPr>
            <w:tcW w:w="2580" w:type="dxa"/>
            <w:vAlign w:val="bottom"/>
            <w:gridSpan w:val="3"/>
            <w:vMerge w:val="continue"/>
          </w:tcPr>
          <w:p>
            <w:pPr>
              <w:spacing w:after="0"/>
              <w:rPr>
                <w:sz w:val="2"/>
                <w:szCs w:val="2"/>
                <w:color w:val="auto"/>
              </w:rPr>
            </w:pPr>
          </w:p>
        </w:tc>
        <w:tc>
          <w:tcPr>
            <w:tcW w:w="1640" w:type="dxa"/>
            <w:vAlign w:val="bottom"/>
            <w:gridSpan w:val="5"/>
            <w:vMerge w:val="continue"/>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-888365</wp:posOffset>
            </wp:positionV>
            <wp:extent cx="203200" cy="94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3200" cy="9461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-63500</wp:posOffset>
            </wp:positionV>
            <wp:extent cx="63500" cy="56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500" cy="56515"/>
                    </a:xfrm>
                    <a:prstGeom prst="rect">
                      <a:avLst/>
                    </a:prstGeom>
                    <a:noFill/>
                  </pic:spPr>
                </pic:pic>
              </a:graphicData>
            </a:graphic>
          </wp:anchor>
        </w:drawing>
      </w:r>
    </w:p>
    <w:p>
      <w:pPr>
        <w:ind w:left="128"/>
        <w:spacing w:after="0"/>
        <w:rPr>
          <w:sz w:val="20"/>
          <w:szCs w:val="20"/>
          <w:color w:val="auto"/>
        </w:rPr>
      </w:pPr>
      <w:r>
        <w:rPr>
          <w:rFonts w:ascii="Arial" w:cs="Arial" w:eastAsia="Arial" w:hAnsi="Arial"/>
          <w:sz w:val="7"/>
          <w:szCs w:val="7"/>
          <w:color w:val="auto"/>
        </w:rPr>
        <w:t>Unamortized debt discount and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-4445</wp:posOffset>
            </wp:positionV>
            <wp:extent cx="203200"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320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7"/>
          <w:szCs w:val="7"/>
          <w:color w:val="auto"/>
          <w:highlight w:val="black"/>
        </w:rPr>
        <w:t>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73355" cy="56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3355" cy="56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7"/>
          <w:szCs w:val="7"/>
          <w:color w:val="auto"/>
          <w:highlight w:val="black"/>
        </w:rPr>
        <w:t>Rate</w:t>
      </w:r>
      <w:r>
        <w:rPr>
          <w:rFonts w:ascii="Arial" w:cs="Arial" w:eastAsia="Arial" w:hAnsi="Arial"/>
          <w:sz w:val="9"/>
          <w:szCs w:val="9"/>
          <w:color w:val="auto"/>
          <w:highlight w:val="black"/>
          <w:vertAlign w:val="superscript"/>
        </w:rPr>
        <w:t>(</w:t>
      </w:r>
      <w:r>
        <w:rPr>
          <w:rFonts w:ascii="Arial" w:cs="Arial" w:eastAsia="Arial" w:hAnsi="Arial"/>
          <w:sz w:val="9"/>
          <w:szCs w:val="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2576195</wp:posOffset>
            </wp:positionV>
            <wp:extent cx="4826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2600" cy="571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-12700</wp:posOffset>
            </wp:positionV>
            <wp:extent cx="9207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207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7"/>
          <w:szCs w:val="7"/>
          <w:color w:val="auto"/>
        </w:rPr>
        <w:t>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22860</wp:posOffset>
            </wp:positionV>
            <wp:extent cx="4826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260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highlight w:val="black"/>
              </w:rPr>
              <w:t>Maturity</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highlight w:val="black"/>
              </w:rPr>
              <w:t>3/31/2026</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highlight w:val="black"/>
              </w:rPr>
              <w:t>12/31/2025</w:t>
            </w:r>
          </w:p>
        </w:tc>
        <w:tc>
          <w:tcPr>
            <w:tcW w:w="400" w:type="dxa"/>
            <w:vAlign w:val="bottom"/>
          </w:tcPr>
          <w:p>
            <w:pPr>
              <w:spacing w:after="0"/>
              <w:rPr>
                <w:sz w:val="8"/>
                <w:szCs w:val="8"/>
                <w:color w:val="auto"/>
              </w:rPr>
            </w:pPr>
          </w:p>
        </w:tc>
      </w:tr>
      <w:tr>
        <w:trPr>
          <w:trHeight w:val="167"/>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10/01/26</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7,941</w:t>
            </w:r>
          </w:p>
        </w:tc>
        <w:tc>
          <w:tcPr>
            <w:tcW w:w="340" w:type="dxa"/>
            <w:vAlign w:val="bottom"/>
            <w:gridSpan w:val="2"/>
          </w:tcPr>
          <w:p>
            <w:pPr>
              <w:jc w:val="right"/>
              <w:ind w:right="96"/>
              <w:spacing w:after="0"/>
              <w:rPr>
                <w:sz w:val="20"/>
                <w:szCs w:val="20"/>
                <w:color w:val="auto"/>
              </w:rPr>
            </w:pPr>
            <w:r>
              <w:rPr>
                <w:rFonts w:ascii="Arial" w:cs="Arial" w:eastAsia="Arial" w:hAnsi="Arial"/>
                <w:sz w:val="7"/>
                <w:szCs w:val="7"/>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8,037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12/01/26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13,000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13,000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12/19/26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24,365</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24,365</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12/31/26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14,882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14,939</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8,687</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8,765</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16,440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16,588</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15,562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15,702</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6,526</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6,585</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16,700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16,700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26,000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26,000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10,200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10,200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22,300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22,300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13,800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13,800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16,000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16,000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06/02/27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33,583</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33,727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07/01/27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40,369</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40,688</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05/10/28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2,140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2,369</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08/15/28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8,137</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8,210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09/19/28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30,134</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30,234</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10/10/28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2,416</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2,634</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10/17/28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16,431</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16,531</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04/01/29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8,043</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8,131</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04/03/29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21,979</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22,111</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06/25/29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10,337</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10,407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09/01/29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43,500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43,500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09/05/29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12,000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12,000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11/18/29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5,000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5,000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03/29/30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513</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513</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03/29/30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1,650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1,650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08/01/31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18,031</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18,175</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11/01/31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19,143</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19,258</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01/01/32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10,062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10,123</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01/31/32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31,925</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32,125</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02/20/32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132</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137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06/01/32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13,931</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14,007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06/01/37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789</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799</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07/01/37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6,534</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6,567</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07/01/37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37,744</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37,971</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03/01/38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17,100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17,383</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08/01/38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33,000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33,000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10/01/38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40,600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40,600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02/01/26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88,000</w:t>
            </w:r>
          </w:p>
        </w:tc>
      </w:tr>
      <w:tr>
        <w:trPr>
          <w:trHeight w:val="9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(31,339)</w:t>
            </w: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(32,394)</w:t>
            </w:r>
          </w:p>
        </w:tc>
      </w:tr>
      <w:tr>
        <w:trPr>
          <w:trHeight w:val="56"/>
        </w:trPr>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8"/>
              </w:rPr>
              <w:t>$</w:t>
            </w:r>
          </w:p>
        </w:tc>
        <w:tc>
          <w:tcPr>
            <w:tcW w:w="760" w:type="dxa"/>
            <w:vAlign w:val="bottom"/>
            <w:gridSpan w:val="3"/>
          </w:tcPr>
          <w:p>
            <w:pPr>
              <w:jc w:val="right"/>
              <w:ind w:right="120"/>
              <w:spacing w:after="0" w:line="57" w:lineRule="exact"/>
              <w:rPr>
                <w:sz w:val="20"/>
                <w:szCs w:val="20"/>
                <w:color w:val="auto"/>
              </w:rPr>
            </w:pPr>
            <w:r>
              <w:rPr>
                <w:rFonts w:ascii="Arial" w:cs="Arial" w:eastAsia="Arial" w:hAnsi="Arial"/>
                <w:sz w:val="6"/>
                <w:szCs w:val="6"/>
                <w:color w:val="auto"/>
              </w:rPr>
              <w:t>656,287</w:t>
            </w:r>
          </w:p>
        </w:tc>
        <w:tc>
          <w:tcPr>
            <w:tcW w:w="180" w:type="dxa"/>
            <w:vAlign w:val="bottom"/>
          </w:tcPr>
          <w:p>
            <w:pPr>
              <w:spacing w:after="0"/>
              <w:rPr>
                <w:sz w:val="4"/>
                <w:szCs w:val="4"/>
                <w:color w:val="auto"/>
              </w:rPr>
            </w:pPr>
          </w:p>
        </w:tc>
        <w:tc>
          <w:tcPr>
            <w:tcW w:w="160" w:type="dxa"/>
            <w:vAlign w:val="bottom"/>
          </w:tcPr>
          <w:p>
            <w:pPr>
              <w:jc w:val="right"/>
              <w:ind w:right="96"/>
              <w:spacing w:after="0" w:line="57" w:lineRule="exact"/>
              <w:rPr>
                <w:sz w:val="20"/>
                <w:szCs w:val="20"/>
                <w:color w:val="auto"/>
              </w:rPr>
            </w:pPr>
            <w:r>
              <w:rPr>
                <w:rFonts w:ascii="Arial" w:cs="Arial" w:eastAsia="Arial" w:hAnsi="Arial"/>
                <w:sz w:val="5"/>
                <w:szCs w:val="5"/>
                <w:color w:val="auto"/>
                <w:w w:val="70"/>
              </w:rPr>
              <w:t>$</w:t>
            </w:r>
          </w:p>
        </w:tc>
        <w:tc>
          <w:tcPr>
            <w:tcW w:w="900" w:type="dxa"/>
            <w:vAlign w:val="bottom"/>
            <w:gridSpan w:val="3"/>
          </w:tcPr>
          <w:p>
            <w:pPr>
              <w:jc w:val="right"/>
              <w:ind w:right="120"/>
              <w:spacing w:after="0" w:line="57" w:lineRule="exact"/>
              <w:rPr>
                <w:sz w:val="20"/>
                <w:szCs w:val="20"/>
                <w:color w:val="auto"/>
              </w:rPr>
            </w:pPr>
            <w:r>
              <w:rPr>
                <w:rFonts w:ascii="Arial" w:cs="Arial" w:eastAsia="Arial" w:hAnsi="Arial"/>
                <w:sz w:val="6"/>
                <w:szCs w:val="6"/>
                <w:color w:val="auto"/>
              </w:rPr>
              <w:t>746,437</w:t>
            </w: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76"/>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05/11/26</w:t>
            </w:r>
          </w:p>
        </w:tc>
        <w:tc>
          <w:tcPr>
            <w:tcW w:w="120" w:type="dxa"/>
            <w:vAlign w:val="bottom"/>
            <w:gridSpan w:val="2"/>
          </w:tcPr>
          <w:p>
            <w:pPr>
              <w:jc w:val="right"/>
              <w:ind w:right="74"/>
              <w:spacing w:after="0"/>
              <w:rPr>
                <w:sz w:val="20"/>
                <w:szCs w:val="20"/>
                <w:color w:val="auto"/>
              </w:rPr>
            </w:pPr>
            <w:r>
              <w:rPr>
                <w:rFonts w:ascii="Arial" w:cs="Arial" w:eastAsia="Arial" w:hAnsi="Arial"/>
                <w:sz w:val="5"/>
                <w:szCs w:val="5"/>
                <w:color w:val="auto"/>
                <w:w w:val="70"/>
              </w:rPr>
              <w:t>$</w:t>
            </w: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100,000</w:t>
            </w:r>
          </w:p>
        </w:tc>
        <w:tc>
          <w:tcPr>
            <w:tcW w:w="340" w:type="dxa"/>
            <w:vAlign w:val="bottom"/>
            <w:gridSpan w:val="2"/>
          </w:tcPr>
          <w:p>
            <w:pPr>
              <w:jc w:val="right"/>
              <w:ind w:right="96"/>
              <w:spacing w:after="0"/>
              <w:rPr>
                <w:sz w:val="20"/>
                <w:szCs w:val="20"/>
                <w:color w:val="auto"/>
              </w:rPr>
            </w:pPr>
            <w:r>
              <w:rPr>
                <w:rFonts w:ascii="Arial" w:cs="Arial" w:eastAsia="Arial" w:hAnsi="Arial"/>
                <w:sz w:val="7"/>
                <w:szCs w:val="7"/>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08/11/26</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100,000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02/01/27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525,000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525,000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03/15/28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09/15/29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425,000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425,000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06/15/30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600,000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600,000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07/15/32</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03/15/33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450,000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01/15/34</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01/15/35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325,000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325,000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02/01/47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425,000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425,000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03/15/49</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300,000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300,000</w:t>
            </w:r>
          </w:p>
        </w:tc>
      </w:tr>
      <w:tr>
        <w:trPr>
          <w:trHeight w:val="90"/>
        </w:trPr>
        <w:tc>
          <w:tcPr>
            <w:tcW w:w="500" w:type="dxa"/>
            <w:vAlign w:val="bottom"/>
            <w:gridSpan w:val="3"/>
          </w:tcPr>
          <w:p>
            <w:pPr>
              <w:jc w:val="center"/>
              <w:ind w:right="200"/>
              <w:spacing w:after="0"/>
              <w:rPr>
                <w:sz w:val="20"/>
                <w:szCs w:val="20"/>
                <w:color w:val="auto"/>
              </w:rPr>
            </w:pPr>
            <w:r>
              <w:rPr>
                <w:rFonts w:ascii="Arial" w:cs="Arial" w:eastAsia="Arial" w:hAnsi="Arial"/>
                <w:sz w:val="7"/>
                <w:szCs w:val="7"/>
                <w:color w:val="auto"/>
              </w:rPr>
              <w:t>03/23/28</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7"/>
                <w:szCs w:val="7"/>
                <w:color w:val="auto"/>
              </w:rPr>
              <w:t>30,000</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7"/>
                <w:szCs w:val="7"/>
                <w:color w:val="auto"/>
              </w:rPr>
              <w:t>120,000</w:t>
            </w:r>
          </w:p>
        </w:tc>
      </w:tr>
      <w:tr>
        <w:trPr>
          <w:trHeight w:val="9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(32,353)</w:t>
            </w: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(27,136)</w:t>
            </w:r>
          </w:p>
        </w:tc>
      </w:tr>
    </w:tbl>
    <w:p>
      <w:pPr>
        <w:spacing w:after="0" w:line="1" w:lineRule="exact"/>
        <w:rPr>
          <w:sz w:val="20"/>
          <w:szCs w:val="20"/>
          <w:color w:val="auto"/>
        </w:rPr>
      </w:pPr>
    </w:p>
    <w:p>
      <w:pPr>
        <w:sectPr>
          <w:pgSz w:w="11900" w:h="16838" w:orient="portrait"/>
          <w:cols w:equalWidth="0" w:num="3">
            <w:col w:w="7428" w:space="560"/>
            <w:col w:w="280" w:space="420"/>
            <w:col w:w="2620"/>
          </w:cols>
          <w:pgMar w:left="292" w:top="732" w:right="299" w:bottom="1440" w:gutter="0" w:footer="0" w:header="0"/>
          <w:type w:val="continuous"/>
        </w:sectPr>
      </w:pPr>
    </w:p>
    <w:tbl>
      <w:tblPr>
        <w:tblLayout w:type="fixed"/>
        <w:tblInd w:w="348" w:type="dxa"/>
        <w:tblCellMar>
          <w:top w:w="0" w:type="dxa"/>
          <w:left w:w="0" w:type="dxa"/>
          <w:bottom w:w="0" w:type="dxa"/>
          <w:right w:w="0" w:type="dxa"/>
        </w:tblCellMar>
      </w:tblPr>
      <w:tr>
        <w:trPr>
          <w:trHeight w:val="87"/>
        </w:trPr>
        <w:tc>
          <w:tcPr>
            <w:tcW w:w="5280" w:type="dxa"/>
            <w:vAlign w:val="bottom"/>
          </w:tcPr>
          <w:p>
            <w:pPr>
              <w:spacing w:after="0" w:line="80" w:lineRule="exact"/>
              <w:rPr>
                <w:sz w:val="20"/>
                <w:szCs w:val="20"/>
                <w:color w:val="auto"/>
              </w:rPr>
            </w:pPr>
            <w:r>
              <w:rPr>
                <w:rFonts w:ascii="Arial" w:cs="Arial" w:eastAsia="Arial" w:hAnsi="Arial"/>
                <w:sz w:val="7"/>
                <w:szCs w:val="7"/>
                <w:color w:val="auto"/>
              </w:rPr>
              <w:t>Total Unsecured Debt, Net of Discounts</w:t>
            </w:r>
          </w:p>
        </w:tc>
        <w:tc>
          <w:tcPr>
            <w:tcW w:w="1640" w:type="dxa"/>
            <w:vAlign w:val="bottom"/>
            <w:tcBorders>
              <w:top w:val="single" w:sz="8" w:color="auto"/>
              <w:bottom w:val="single" w:sz="8" w:color="auto"/>
            </w:tcBorders>
          </w:tcPr>
          <w:p>
            <w:pPr>
              <w:jc w:val="right"/>
              <w:ind w:right="685"/>
              <w:spacing w:after="0" w:line="80" w:lineRule="exact"/>
              <w:rPr>
                <w:sz w:val="20"/>
                <w:szCs w:val="20"/>
                <w:color w:val="auto"/>
              </w:rPr>
            </w:pPr>
            <w:r>
              <w:rPr>
                <w:rFonts w:ascii="Arial" w:cs="Arial" w:eastAsia="Arial" w:hAnsi="Arial"/>
                <w:sz w:val="7"/>
                <w:szCs w:val="7"/>
                <w:color w:val="auto"/>
              </w:rPr>
              <w:t>4.23%</w:t>
            </w:r>
          </w:p>
        </w:tc>
        <w:tc>
          <w:tcPr>
            <w:tcW w:w="480" w:type="dxa"/>
            <w:vAlign w:val="bottom"/>
          </w:tcPr>
          <w:p>
            <w:pPr>
              <w:spacing w:after="0"/>
              <w:rPr>
                <w:sz w:val="7"/>
                <w:szCs w:val="7"/>
                <w:color w:val="auto"/>
              </w:rPr>
            </w:pPr>
          </w:p>
        </w:tc>
        <w:tc>
          <w:tcPr>
            <w:tcW w:w="760" w:type="dxa"/>
            <w:vAlign w:val="bottom"/>
            <w:tcBorders>
              <w:top w:val="single" w:sz="8" w:color="auto"/>
              <w:bottom w:val="single" w:sz="8" w:color="auto"/>
            </w:tcBorders>
          </w:tcPr>
          <w:p>
            <w:pPr>
              <w:jc w:val="right"/>
              <w:ind w:right="245"/>
              <w:spacing w:after="0" w:line="80" w:lineRule="exact"/>
              <w:rPr>
                <w:sz w:val="20"/>
                <w:szCs w:val="20"/>
                <w:color w:val="auto"/>
              </w:rPr>
            </w:pPr>
            <w:r>
              <w:rPr>
                <w:rFonts w:ascii="Arial" w:cs="Arial" w:eastAsia="Arial" w:hAnsi="Arial"/>
                <w:sz w:val="7"/>
                <w:szCs w:val="7"/>
                <w:color w:val="auto"/>
              </w:rPr>
              <w:t>4.40%</w:t>
            </w:r>
          </w:p>
        </w:tc>
      </w:tr>
      <w:tr>
        <w:trPr>
          <w:trHeight w:val="107"/>
        </w:trPr>
        <w:tc>
          <w:tcPr>
            <w:tcW w:w="5280" w:type="dxa"/>
            <w:vAlign w:val="bottom"/>
          </w:tcPr>
          <w:p>
            <w:pPr>
              <w:spacing w:after="0"/>
              <w:rPr>
                <w:sz w:val="9"/>
                <w:szCs w:val="9"/>
                <w:color w:val="auto"/>
              </w:rPr>
            </w:pPr>
          </w:p>
        </w:tc>
        <w:tc>
          <w:tcPr>
            <w:tcW w:w="1640" w:type="dxa"/>
            <w:vAlign w:val="bottom"/>
            <w:tcBorders>
              <w:bottom w:val="single" w:sz="8" w:color="auto"/>
            </w:tcBorders>
          </w:tcPr>
          <w:p>
            <w:pPr>
              <w:jc w:val="right"/>
              <w:ind w:right="685"/>
              <w:spacing w:after="0"/>
              <w:rPr>
                <w:sz w:val="20"/>
                <w:szCs w:val="20"/>
                <w:color w:val="auto"/>
              </w:rPr>
            </w:pPr>
            <w:r>
              <w:rPr>
                <w:rFonts w:ascii="Arial" w:cs="Arial" w:eastAsia="Arial" w:hAnsi="Arial"/>
                <w:sz w:val="7"/>
                <w:szCs w:val="7"/>
                <w:color w:val="auto"/>
              </w:rPr>
              <w:t>4.23%</w:t>
            </w:r>
          </w:p>
        </w:tc>
        <w:tc>
          <w:tcPr>
            <w:tcW w:w="480" w:type="dxa"/>
            <w:vAlign w:val="bottom"/>
          </w:tcPr>
          <w:p>
            <w:pPr>
              <w:spacing w:after="0"/>
              <w:rPr>
                <w:sz w:val="9"/>
                <w:szCs w:val="9"/>
                <w:color w:val="auto"/>
              </w:rPr>
            </w:pPr>
          </w:p>
        </w:tc>
        <w:tc>
          <w:tcPr>
            <w:tcW w:w="760" w:type="dxa"/>
            <w:vAlign w:val="bottom"/>
            <w:tcBorders>
              <w:bottom w:val="single" w:sz="8" w:color="auto"/>
            </w:tcBorders>
          </w:tcPr>
          <w:p>
            <w:pPr>
              <w:jc w:val="right"/>
              <w:ind w:right="245"/>
              <w:spacing w:after="0"/>
              <w:rPr>
                <w:sz w:val="20"/>
                <w:szCs w:val="20"/>
                <w:color w:val="auto"/>
              </w:rPr>
            </w:pPr>
            <w:r>
              <w:rPr>
                <w:rFonts w:ascii="Arial" w:cs="Arial" w:eastAsia="Arial" w:hAnsi="Arial"/>
                <w:sz w:val="7"/>
                <w:szCs w:val="7"/>
                <w:color w:val="auto"/>
              </w:rPr>
              <w:t>4.55%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1"/>
        </w:trPr>
        <w:tc>
          <w:tcPr>
            <w:tcW w:w="240" w:type="dxa"/>
            <w:vAlign w:val="bottom"/>
            <w:tcBorders>
              <w:bottom w:val="single" w:sz="8" w:color="auto"/>
            </w:tcBorders>
          </w:tcPr>
          <w:p>
            <w:pPr>
              <w:jc w:val="right"/>
              <w:ind w:right="176"/>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7"/>
                <w:szCs w:val="7"/>
                <w:color w:val="auto"/>
              </w:rPr>
              <w:t>4,347,647</w:t>
            </w:r>
          </w:p>
        </w:tc>
        <w:tc>
          <w:tcPr>
            <w:tcW w:w="180" w:type="dxa"/>
            <w:vAlign w:val="bottom"/>
          </w:tcPr>
          <w:p>
            <w:pPr>
              <w:spacing w:after="0"/>
              <w:rPr>
                <w:sz w:val="7"/>
                <w:szCs w:val="7"/>
                <w:color w:val="auto"/>
              </w:rPr>
            </w:pPr>
          </w:p>
        </w:tc>
        <w:tc>
          <w:tcPr>
            <w:tcW w:w="340" w:type="dxa"/>
            <w:vAlign w:val="bottom"/>
            <w:tcBorders>
              <w:bottom w:val="single" w:sz="8" w:color="auto"/>
            </w:tcBorders>
          </w:tcPr>
          <w:p>
            <w:pPr>
              <w:jc w:val="right"/>
              <w:ind w:right="276"/>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7"/>
                <w:szCs w:val="7"/>
                <w:color w:val="auto"/>
              </w:rPr>
              <w:t>3,992,864</w:t>
            </w:r>
          </w:p>
        </w:tc>
      </w:tr>
      <w:tr>
        <w:trPr>
          <w:trHeight w:val="98"/>
        </w:trPr>
        <w:tc>
          <w:tcPr>
            <w:tcW w:w="240" w:type="dxa"/>
            <w:vAlign w:val="bottom"/>
            <w:tcBorders>
              <w:bottom w:val="single" w:sz="8" w:color="auto"/>
            </w:tcBorders>
          </w:tcPr>
          <w:p>
            <w:pPr>
              <w:jc w:val="right"/>
              <w:ind w:right="176"/>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7"/>
                <w:szCs w:val="7"/>
                <w:color w:val="auto"/>
              </w:rPr>
              <w:t>5,003,934</w:t>
            </w:r>
          </w:p>
        </w:tc>
        <w:tc>
          <w:tcPr>
            <w:tcW w:w="180" w:type="dxa"/>
            <w:vAlign w:val="bottom"/>
          </w:tcPr>
          <w:p>
            <w:pPr>
              <w:spacing w:after="0"/>
              <w:rPr>
                <w:sz w:val="8"/>
                <w:szCs w:val="8"/>
                <w:color w:val="auto"/>
              </w:rPr>
            </w:pPr>
          </w:p>
        </w:tc>
        <w:tc>
          <w:tcPr>
            <w:tcW w:w="340" w:type="dxa"/>
            <w:vAlign w:val="bottom"/>
            <w:tcBorders>
              <w:bottom w:val="single" w:sz="8" w:color="auto"/>
            </w:tcBorders>
          </w:tcPr>
          <w:p>
            <w:pPr>
              <w:jc w:val="right"/>
              <w:ind w:right="276"/>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7"/>
                <w:szCs w:val="7"/>
                <w:color w:val="auto"/>
              </w:rPr>
              <w:t>4,739,301</w:t>
            </w:r>
          </w:p>
        </w:tc>
      </w:tr>
    </w:tbl>
    <w:p>
      <w:pPr>
        <w:spacing w:after="0" w:line="81" w:lineRule="exact"/>
        <w:rPr>
          <w:sz w:val="20"/>
          <w:szCs w:val="20"/>
          <w:color w:val="auto"/>
        </w:rPr>
      </w:pPr>
    </w:p>
    <w:p>
      <w:pPr>
        <w:sectPr>
          <w:pgSz w:w="11900" w:h="16838" w:orient="portrait"/>
          <w:cols w:equalWidth="0" w:num="2">
            <w:col w:w="8508" w:space="680"/>
            <w:col w:w="2120"/>
          </w:cols>
          <w:pgMar w:left="292" w:top="732" w:right="299" w:bottom="1440" w:gutter="0" w:footer="0" w:header="0"/>
          <w:type w:val="continuous"/>
        </w:sectPr>
      </w:pPr>
    </w:p>
    <w:p>
      <w:pPr>
        <w:ind w:left="308" w:hanging="308"/>
        <w:spacing w:after="0"/>
        <w:tabs>
          <w:tab w:leader="none" w:pos="308" w:val="left"/>
        </w:tabs>
        <w:numPr>
          <w:ilvl w:val="0"/>
          <w:numId w:val="42"/>
        </w:numPr>
        <w:rPr>
          <w:rFonts w:ascii="Arial" w:cs="Arial" w:eastAsia="Arial" w:hAnsi="Arial"/>
          <w:sz w:val="11"/>
          <w:szCs w:val="11"/>
          <w:color w:val="auto"/>
          <w:vertAlign w:val="superscript"/>
        </w:rPr>
      </w:pPr>
      <w:r>
        <w:rPr>
          <w:rFonts w:ascii="Arial" w:cs="Arial" w:eastAsia="Arial" w:hAnsi="Arial"/>
          <w:sz w:val="8"/>
          <w:szCs w:val="8"/>
          <w:color w:val="auto"/>
        </w:rPr>
        <w:t>Effective interest rates are calculated in accordance with US GAAP, as of the quarter end, and include the impact of debt premium/(discount) amortization, issuance cost amortization, interest rate swaps, and facility and unused fees.</w:t>
      </w:r>
    </w:p>
    <w:p>
      <w:pPr>
        <w:spacing w:after="0" w:line="26" w:lineRule="exact"/>
        <w:rPr>
          <w:rFonts w:ascii="Arial" w:cs="Arial" w:eastAsia="Arial" w:hAnsi="Arial"/>
          <w:sz w:val="11"/>
          <w:szCs w:val="11"/>
          <w:color w:val="auto"/>
          <w:vertAlign w:val="superscript"/>
        </w:rPr>
      </w:pPr>
    </w:p>
    <w:p>
      <w:pPr>
        <w:ind w:left="308" w:right="60" w:hanging="308"/>
        <w:spacing w:after="0" w:line="199" w:lineRule="auto"/>
        <w:tabs>
          <w:tab w:leader="none" w:pos="308" w:val="left"/>
        </w:tabs>
        <w:numPr>
          <w:ilvl w:val="0"/>
          <w:numId w:val="42"/>
        </w:numPr>
        <w:rPr>
          <w:rFonts w:ascii="Arial" w:cs="Arial" w:eastAsia="Arial" w:hAnsi="Arial"/>
          <w:sz w:val="11"/>
          <w:szCs w:val="11"/>
          <w:color w:val="auto"/>
          <w:vertAlign w:val="superscript"/>
        </w:rPr>
      </w:pPr>
      <w:r>
        <w:rPr>
          <w:rFonts w:ascii="Arial" w:cs="Arial" w:eastAsia="Arial" w:hAnsi="Arial"/>
          <w:sz w:val="8"/>
          <w:szCs w:val="8"/>
          <w:color w:val="auto"/>
        </w:rPr>
        <w:t>The interest rate is SOFR plus a 0.100% market adjustment ("Adjusted SOFR") plus our applicable margin of 0.685%. Rate applies to drawn balance only. Additional annual facility fee of 0.115% applies to entire $1.5 billion line of credit. Expiration is subject to two additional six-month periods at the Company’s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635</wp:posOffset>
            </wp:positionV>
            <wp:extent cx="281305" cy="149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7" w:lineRule="exact"/>
        <w:rPr>
          <w:sz w:val="20"/>
          <w:szCs w:val="20"/>
          <w:color w:val="auto"/>
        </w:rPr>
      </w:pPr>
    </w:p>
    <w:p>
      <w:pPr>
        <w:ind w:left="10208"/>
        <w:spacing w:after="0"/>
        <w:tabs>
          <w:tab w:leader="none" w:pos="1110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type w:val="continuous"/>
        </w:sectPr>
      </w:pPr>
    </w:p>
    <w:bookmarkStart w:id="34" w:name="page35"/>
    <w:bookmarkEnd w:id="34"/>
    <w:p>
      <w:pPr>
        <w:jc w:val="center"/>
        <w:ind w:right="-7"/>
        <w:spacing w:after="0"/>
        <w:rPr>
          <w:sz w:val="20"/>
          <w:szCs w:val="20"/>
          <w:color w:val="auto"/>
        </w:rPr>
      </w:pPr>
      <w:r>
        <w:rPr>
          <w:rFonts w:ascii="Arial" w:cs="Arial" w:eastAsia="Arial" w:hAnsi="Arial"/>
          <w:sz w:val="12"/>
          <w:szCs w:val="12"/>
          <w:color w:val="auto"/>
          <w:highlight w:val="black"/>
        </w:rPr>
        <w:t xml:space="preserve">Summary </w:t>
      </w:r>
      <w:r>
        <w:rPr>
          <w:rFonts w:ascii="Arial" w:cs="Arial" w:eastAsia="Arial" w:hAnsi="Arial"/>
          <w:sz w:val="12"/>
          <w:szCs w:val="12"/>
          <w:color w:val="auto"/>
        </w:rPr>
        <w:t>of Unsecured Debt Covenants and Leverage Ratios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253" w:lineRule="exact"/>
        <w:rPr>
          <w:sz w:val="20"/>
          <w:szCs w:val="20"/>
          <w:color w:val="auto"/>
        </w:rPr>
      </w:pPr>
    </w:p>
    <w:tbl>
      <w:tblPr>
        <w:tblLayout w:type="fixed"/>
        <w:tblInd w:w="8" w:type="dxa"/>
        <w:tblCellMar>
          <w:top w:w="0" w:type="dxa"/>
          <w:left w:w="0" w:type="dxa"/>
          <w:bottom w:w="0" w:type="dxa"/>
          <w:right w:w="0" w:type="dxa"/>
        </w:tblCellMar>
      </w:tblPr>
      <w:tr>
        <w:trPr>
          <w:trHeight w:val="97"/>
        </w:trPr>
        <w:tc>
          <w:tcPr>
            <w:tcW w:w="4080" w:type="dxa"/>
            <w:vAlign w:val="bottom"/>
            <w:gridSpan w:val="3"/>
          </w:tcPr>
          <w:p>
            <w:pPr>
              <w:spacing w:after="0"/>
              <w:rPr>
                <w:sz w:val="20"/>
                <w:szCs w:val="20"/>
                <w:color w:val="auto"/>
              </w:rPr>
            </w:pPr>
            <w:r>
              <w:rPr>
                <w:rFonts w:ascii="Arial" w:cs="Arial" w:eastAsia="Arial" w:hAnsi="Arial"/>
                <w:sz w:val="8"/>
                <w:szCs w:val="8"/>
                <w:color w:val="auto"/>
              </w:rPr>
              <w:t>Outstanding Unsecured Public Debt:</w:t>
            </w: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jc w:val="center"/>
              <w:ind w:right="439"/>
              <w:spacing w:after="0"/>
              <w:rPr>
                <w:sz w:val="20"/>
                <w:szCs w:val="20"/>
                <w:color w:val="auto"/>
              </w:rPr>
            </w:pPr>
            <w:r>
              <w:rPr>
                <w:rFonts w:ascii="Arial" w:cs="Arial" w:eastAsia="Arial" w:hAnsi="Arial"/>
                <w:sz w:val="8"/>
                <w:szCs w:val="8"/>
                <w:color w:val="auto"/>
                <w:highlight w:val="black"/>
              </w:rPr>
              <w:t>Origination</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8"/>
                <w:szCs w:val="8"/>
                <w:color w:val="auto"/>
                <w:highlight w:val="black"/>
              </w:rPr>
              <w:t>Maturity</w:t>
            </w:r>
          </w:p>
        </w:tc>
        <w:tc>
          <w:tcPr>
            <w:tcW w:w="1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tcPr>
          <w:p>
            <w:pPr>
              <w:jc w:val="center"/>
              <w:ind w:right="459"/>
              <w:spacing w:after="0"/>
              <w:rPr>
                <w:sz w:val="20"/>
                <w:szCs w:val="20"/>
                <w:color w:val="auto"/>
              </w:rPr>
            </w:pPr>
            <w:r>
              <w:rPr>
                <w:rFonts w:ascii="Arial" w:cs="Arial" w:eastAsia="Arial" w:hAnsi="Arial"/>
                <w:sz w:val="8"/>
                <w:szCs w:val="8"/>
                <w:color w:val="auto"/>
                <w:highlight w:val="black"/>
                <w:w w:val="94"/>
              </w:rPr>
              <w:t>Rate</w:t>
            </w:r>
          </w:p>
        </w:tc>
        <w:tc>
          <w:tcPr>
            <w:tcW w:w="1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8"/>
                <w:szCs w:val="8"/>
                <w:color w:val="auto"/>
                <w:highlight w:val="black"/>
                <w:w w:val="96"/>
              </w:rPr>
              <w:t>Balance</w:t>
            </w:r>
          </w:p>
        </w:tc>
        <w:tc>
          <w:tcPr>
            <w:tcW w:w="140" w:type="dxa"/>
            <w:vAlign w:val="bottom"/>
          </w:tcPr>
          <w:p>
            <w:pPr>
              <w:spacing w:after="0"/>
              <w:rPr>
                <w:sz w:val="8"/>
                <w:szCs w:val="8"/>
                <w:color w:val="auto"/>
              </w:rPr>
            </w:pPr>
          </w:p>
        </w:tc>
      </w:tr>
      <w:tr>
        <w:trPr>
          <w:trHeight w:val="102"/>
        </w:trPr>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01/17/17</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02/01/27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3.600%</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$525,000</w:t>
            </w:r>
          </w:p>
        </w:tc>
        <w:tc>
          <w:tcPr>
            <w:tcW w:w="140" w:type="dxa"/>
            <w:vAlign w:val="bottom"/>
          </w:tcPr>
          <w:p>
            <w:pPr>
              <w:spacing w:after="0"/>
              <w:rPr>
                <w:sz w:val="8"/>
                <w:szCs w:val="8"/>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03/09/18</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03/15/28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4.125%</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$300,000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08/20/19</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09/15/29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2.950%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$425,000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05/13/20</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06/15/30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3.700%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$600,000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05/13/25</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07/15/32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5.000%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$400,000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02/23/26</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03/15/33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4.500%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$450,000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01/18/24</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01/15/34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5.250%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$400,000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08/15/24</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01/15/35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5.100%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$325,000</w:t>
            </w:r>
          </w:p>
        </w:tc>
        <w:tc>
          <w:tcPr>
            <w:tcW w:w="140" w:type="dxa"/>
            <w:vAlign w:val="bottom"/>
          </w:tcPr>
          <w:p>
            <w:pPr>
              <w:spacing w:after="0"/>
              <w:rPr>
                <w:sz w:val="10"/>
                <w:szCs w:val="10"/>
                <w:color w:val="auto"/>
              </w:rPr>
            </w:pPr>
          </w:p>
        </w:tc>
      </w:tr>
      <w:tr>
        <w:trPr>
          <w:trHeight w:val="118"/>
        </w:trPr>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01/17/17</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02/01/47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4.400%</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$425,000</w:t>
            </w:r>
          </w:p>
        </w:tc>
        <w:tc>
          <w:tcPr>
            <w:tcW w:w="140" w:type="dxa"/>
            <w:vAlign w:val="bottom"/>
          </w:tcPr>
          <w:p>
            <w:pPr>
              <w:spacing w:after="0"/>
              <w:rPr>
                <w:sz w:val="10"/>
                <w:szCs w:val="10"/>
                <w:color w:val="auto"/>
              </w:rPr>
            </w:pPr>
          </w:p>
        </w:tc>
      </w:tr>
      <w:tr>
        <w:trPr>
          <w:trHeight w:val="127"/>
        </w:trPr>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60" w:type="dxa"/>
            <w:vAlign w:val="bottom"/>
            <w:gridSpan w:val="3"/>
          </w:tcPr>
          <w:p>
            <w:pPr>
              <w:jc w:val="center"/>
              <w:spacing w:after="0"/>
              <w:rPr>
                <w:sz w:val="20"/>
                <w:szCs w:val="20"/>
                <w:color w:val="auto"/>
              </w:rPr>
            </w:pPr>
            <w:r>
              <w:rPr>
                <w:rFonts w:ascii="Arial" w:cs="Arial" w:eastAsia="Arial" w:hAnsi="Arial"/>
                <w:sz w:val="8"/>
                <w:szCs w:val="8"/>
                <w:color w:val="auto"/>
              </w:rPr>
              <w:t>03/06/19</w:t>
            </w:r>
          </w:p>
        </w:tc>
        <w:tc>
          <w:tcPr>
            <w:tcW w:w="1280" w:type="dxa"/>
            <w:vAlign w:val="bottom"/>
            <w:gridSpan w:val="4"/>
          </w:tcPr>
          <w:p>
            <w:pPr>
              <w:jc w:val="center"/>
              <w:ind w:left="479"/>
              <w:spacing w:after="0"/>
              <w:rPr>
                <w:sz w:val="20"/>
                <w:szCs w:val="20"/>
                <w:color w:val="auto"/>
              </w:rPr>
            </w:pPr>
            <w:r>
              <w:rPr>
                <w:rFonts w:ascii="Arial" w:cs="Arial" w:eastAsia="Arial" w:hAnsi="Arial"/>
                <w:sz w:val="8"/>
                <w:szCs w:val="8"/>
                <w:color w:val="auto"/>
              </w:rPr>
              <w:t>03/15/49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8"/>
                <w:szCs w:val="8"/>
                <w:color w:val="auto"/>
              </w:rPr>
              <w:t>4.650%</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jc w:val="center"/>
              <w:ind w:right="339"/>
              <w:spacing w:after="0"/>
              <w:rPr>
                <w:sz w:val="20"/>
                <w:szCs w:val="20"/>
                <w:color w:val="auto"/>
              </w:rPr>
            </w:pPr>
            <w:r>
              <w:rPr>
                <w:rFonts w:ascii="Arial" w:cs="Arial" w:eastAsia="Arial" w:hAnsi="Arial"/>
                <w:sz w:val="8"/>
                <w:szCs w:val="8"/>
                <w:color w:val="auto"/>
              </w:rPr>
              <w:t>$300,000</w:t>
            </w:r>
          </w:p>
        </w:tc>
        <w:tc>
          <w:tcPr>
            <w:tcW w:w="140" w:type="dxa"/>
            <w:vAlign w:val="bottom"/>
          </w:tcPr>
          <w:p>
            <w:pPr>
              <w:spacing w:after="0"/>
              <w:rPr>
                <w:sz w:val="11"/>
                <w:szCs w:val="11"/>
                <w:color w:val="auto"/>
              </w:rPr>
            </w:pPr>
          </w:p>
        </w:tc>
      </w:tr>
      <w:tr>
        <w:trPr>
          <w:trHeight w:val="271"/>
        </w:trPr>
        <w:tc>
          <w:tcPr>
            <w:tcW w:w="4080" w:type="dxa"/>
            <w:vAlign w:val="bottom"/>
            <w:gridSpan w:val="3"/>
          </w:tcPr>
          <w:p>
            <w:pPr>
              <w:spacing w:after="0"/>
              <w:rPr>
                <w:sz w:val="20"/>
                <w:szCs w:val="20"/>
                <w:color w:val="auto"/>
              </w:rPr>
            </w:pPr>
            <w:r>
              <w:rPr>
                <w:rFonts w:ascii="Arial" w:cs="Arial" w:eastAsia="Arial" w:hAnsi="Arial"/>
                <w:sz w:val="8"/>
                <w:szCs w:val="8"/>
                <w:color w:val="auto"/>
              </w:rPr>
              <w:t>Unsecured Public Debt Covenants:</w:t>
            </w:r>
          </w:p>
        </w:tc>
        <w:tc>
          <w:tcPr>
            <w:tcW w:w="760" w:type="dxa"/>
            <w:vAlign w:val="bottom"/>
          </w:tcPr>
          <w:p>
            <w:pPr>
              <w:ind w:left="340"/>
              <w:spacing w:after="0"/>
              <w:rPr>
                <w:sz w:val="20"/>
                <w:szCs w:val="20"/>
                <w:color w:val="auto"/>
              </w:rPr>
            </w:pPr>
            <w:r>
              <w:rPr>
                <w:rFonts w:ascii="Arial" w:cs="Arial" w:eastAsia="Arial" w:hAnsi="Arial"/>
                <w:sz w:val="8"/>
                <w:szCs w:val="8"/>
                <w:color w:val="auto"/>
                <w:highlight w:val="black"/>
              </w:rPr>
              <w:t>Required</w:t>
            </w: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highlight w:val="black"/>
              </w:rPr>
              <w:t>3/31/2026</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highlight w:val="black"/>
              </w:rPr>
              <w:t>12/31/2025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highlight w:val="black"/>
              </w:rPr>
              <w:t>9/30/2025</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highlight w:val="black"/>
              </w:rPr>
              <w:t>6/30/2025</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highlight w:val="black"/>
              </w:rPr>
              <w:t>3/31/2025</w:t>
            </w:r>
          </w:p>
        </w:tc>
        <w:tc>
          <w:tcPr>
            <w:tcW w:w="140" w:type="dxa"/>
            <w:vAlign w:val="bottom"/>
          </w:tcPr>
          <w:p>
            <w:pPr>
              <w:spacing w:after="0"/>
              <w:rPr>
                <w:sz w:val="23"/>
                <w:szCs w:val="23"/>
                <w:color w:val="auto"/>
              </w:rPr>
            </w:pPr>
          </w:p>
        </w:tc>
      </w:tr>
      <w:tr>
        <w:trPr>
          <w:trHeight w:val="229"/>
        </w:trPr>
        <w:tc>
          <w:tcPr>
            <w:tcW w:w="4080" w:type="dxa"/>
            <w:vAlign w:val="bottom"/>
            <w:gridSpan w:val="3"/>
          </w:tcPr>
          <w:p>
            <w:pPr>
              <w:spacing w:after="0"/>
              <w:rPr>
                <w:sz w:val="20"/>
                <w:szCs w:val="20"/>
                <w:color w:val="auto"/>
              </w:rPr>
            </w:pPr>
            <w:r>
              <w:rPr>
                <w:rFonts w:ascii="Arial" w:cs="Arial" w:eastAsia="Arial" w:hAnsi="Arial"/>
                <w:sz w:val="8"/>
                <w:szCs w:val="8"/>
                <w:color w:val="auto"/>
              </w:rPr>
              <w:t>Fair Market Value Calculation Method Covenants</w:t>
            </w:r>
            <w:r>
              <w:rPr>
                <w:rFonts w:ascii="Arial" w:cs="Arial" w:eastAsia="Arial" w:hAnsi="Arial"/>
                <w:sz w:val="11"/>
                <w:szCs w:val="11"/>
                <w:color w:val="auto"/>
                <w:vertAlign w:val="superscript"/>
              </w:rPr>
              <w:t>(1)(2)</w:t>
            </w: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r>
        <w:trPr>
          <w:trHeight w:val="158"/>
        </w:trPr>
        <w:tc>
          <w:tcPr>
            <w:tcW w:w="4080" w:type="dxa"/>
            <w:vAlign w:val="bottom"/>
            <w:gridSpan w:val="3"/>
          </w:tcPr>
          <w:p>
            <w:pPr>
              <w:spacing w:after="0"/>
              <w:rPr>
                <w:sz w:val="20"/>
                <w:szCs w:val="20"/>
                <w:color w:val="auto"/>
              </w:rPr>
            </w:pPr>
            <w:r>
              <w:rPr>
                <w:rFonts w:ascii="Arial" w:cs="Arial" w:eastAsia="Arial" w:hAnsi="Arial"/>
                <w:sz w:val="8"/>
                <w:szCs w:val="8"/>
                <w:color w:val="auto"/>
              </w:rPr>
              <w:t>Total Consolidated Debt to Total Consolidated Assets</w:t>
            </w:r>
          </w:p>
        </w:tc>
        <w:tc>
          <w:tcPr>
            <w:tcW w:w="760" w:type="dxa"/>
            <w:vAlign w:val="bottom"/>
          </w:tcPr>
          <w:p>
            <w:pPr>
              <w:jc w:val="center"/>
              <w:ind w:left="179"/>
              <w:spacing w:after="0"/>
              <w:rPr>
                <w:sz w:val="20"/>
                <w:szCs w:val="20"/>
                <w:color w:val="auto"/>
              </w:rPr>
            </w:pPr>
            <w:r>
              <w:rPr>
                <w:rFonts w:ascii="Arial" w:cs="Arial" w:eastAsia="Arial" w:hAnsi="Arial"/>
                <w:sz w:val="8"/>
                <w:szCs w:val="8"/>
                <w:color w:val="auto"/>
              </w:rPr>
              <w:t>≤ 65%</w:t>
            </w: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28%</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28%</w:t>
            </w:r>
          </w:p>
        </w:tc>
        <w:tc>
          <w:tcPr>
            <w:tcW w:w="1140" w:type="dxa"/>
            <w:vAlign w:val="bottom"/>
            <w:gridSpan w:val="4"/>
          </w:tcPr>
          <w:p>
            <w:pPr>
              <w:jc w:val="center"/>
              <w:ind w:left="839"/>
              <w:spacing w:after="0"/>
              <w:rPr>
                <w:sz w:val="20"/>
                <w:szCs w:val="20"/>
                <w:color w:val="auto"/>
              </w:rPr>
            </w:pPr>
            <w:r>
              <w:rPr>
                <w:rFonts w:ascii="Arial" w:cs="Arial" w:eastAsia="Arial" w:hAnsi="Arial"/>
                <w:sz w:val="8"/>
                <w:szCs w:val="8"/>
                <w:color w:val="auto"/>
              </w:rPr>
              <w:t>28%</w:t>
            </w:r>
          </w:p>
        </w:tc>
        <w:tc>
          <w:tcPr>
            <w:tcW w:w="380" w:type="dxa"/>
            <w:vAlign w:val="bottom"/>
          </w:tcPr>
          <w:p>
            <w:pPr>
              <w:spacing w:after="0"/>
              <w:rPr>
                <w:sz w:val="13"/>
                <w:szCs w:val="13"/>
                <w:color w:val="auto"/>
              </w:rPr>
            </w:pP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27%</w:t>
            </w:r>
          </w:p>
        </w:tc>
        <w:tc>
          <w:tcPr>
            <w:tcW w:w="140" w:type="dxa"/>
            <w:vAlign w:val="bottom"/>
          </w:tcPr>
          <w:p>
            <w:pPr>
              <w:spacing w:after="0"/>
              <w:rPr>
                <w:sz w:val="13"/>
                <w:szCs w:val="13"/>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Secured Consolidated Debt to Total Consolidated Assets</w:t>
            </w:r>
          </w:p>
        </w:tc>
        <w:tc>
          <w:tcPr>
            <w:tcW w:w="760" w:type="dxa"/>
            <w:vAlign w:val="bottom"/>
          </w:tcPr>
          <w:p>
            <w:pPr>
              <w:jc w:val="center"/>
              <w:ind w:left="179"/>
              <w:spacing w:after="0"/>
              <w:rPr>
                <w:sz w:val="20"/>
                <w:szCs w:val="20"/>
                <w:color w:val="auto"/>
              </w:rPr>
            </w:pPr>
            <w:r>
              <w:rPr>
                <w:rFonts w:ascii="Arial" w:cs="Arial" w:eastAsia="Arial" w:hAnsi="Arial"/>
                <w:sz w:val="8"/>
                <w:szCs w:val="8"/>
                <w:color w:val="auto"/>
              </w:rPr>
              <w:t>≤ 40%</w:t>
            </w: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4%</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4%</w:t>
            </w:r>
          </w:p>
        </w:tc>
        <w:tc>
          <w:tcPr>
            <w:tcW w:w="1140" w:type="dxa"/>
            <w:vAlign w:val="bottom"/>
            <w:gridSpan w:val="4"/>
          </w:tcPr>
          <w:p>
            <w:pPr>
              <w:jc w:val="center"/>
              <w:ind w:left="839"/>
              <w:spacing w:after="0"/>
              <w:rPr>
                <w:sz w:val="20"/>
                <w:szCs w:val="20"/>
                <w:color w:val="auto"/>
              </w:rPr>
            </w:pPr>
            <w:r>
              <w:rPr>
                <w:rFonts w:ascii="Arial" w:cs="Arial" w:eastAsia="Arial" w:hAnsi="Arial"/>
                <w:sz w:val="8"/>
                <w:szCs w:val="8"/>
                <w:color w:val="auto"/>
              </w:rPr>
              <w:t>4%</w:t>
            </w:r>
          </w:p>
        </w:tc>
        <w:tc>
          <w:tcPr>
            <w:tcW w:w="380" w:type="dxa"/>
            <w:vAlign w:val="bottom"/>
          </w:tcPr>
          <w:p>
            <w:pPr>
              <w:spacing w:after="0"/>
              <w:rPr>
                <w:sz w:val="8"/>
                <w:szCs w:val="8"/>
                <w:color w:val="auto"/>
              </w:rPr>
            </w:pP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4%</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Consolidated Income for Debt Service to Consolidated Debt Service</w:t>
            </w:r>
          </w:p>
        </w:tc>
        <w:tc>
          <w:tcPr>
            <w:tcW w:w="760" w:type="dxa"/>
            <w:vAlign w:val="bottom"/>
          </w:tcPr>
          <w:p>
            <w:pPr>
              <w:jc w:val="center"/>
              <w:ind w:left="199"/>
              <w:spacing w:after="0"/>
              <w:rPr>
                <w:sz w:val="20"/>
                <w:szCs w:val="20"/>
                <w:color w:val="auto"/>
              </w:rPr>
            </w:pPr>
            <w:r>
              <w:rPr>
                <w:rFonts w:ascii="Arial" w:cs="Arial" w:eastAsia="Arial" w:hAnsi="Arial"/>
                <w:sz w:val="8"/>
                <w:szCs w:val="8"/>
                <w:color w:val="auto"/>
              </w:rPr>
              <w:t>≥ 1.5x</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4.5x</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4.8x</w:t>
            </w:r>
          </w:p>
        </w:tc>
        <w:tc>
          <w:tcPr>
            <w:tcW w:w="160" w:type="dxa"/>
            <w:vAlign w:val="bottom"/>
          </w:tcPr>
          <w:p>
            <w:pPr>
              <w:spacing w:after="0"/>
              <w:rPr>
                <w:sz w:val="8"/>
                <w:szCs w:val="8"/>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4.5x</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4.3x</w:t>
            </w:r>
          </w:p>
        </w:tc>
        <w:tc>
          <w:tcPr>
            <w:tcW w:w="220" w:type="dxa"/>
            <w:vAlign w:val="bottom"/>
          </w:tcPr>
          <w:p>
            <w:pPr>
              <w:spacing w:after="0"/>
              <w:rPr>
                <w:sz w:val="8"/>
                <w:szCs w:val="8"/>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4.6x</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Unencumbered Consolidated Assets to Unsecured Consolidated Debt</w:t>
            </w:r>
          </w:p>
        </w:tc>
        <w:tc>
          <w:tcPr>
            <w:tcW w:w="760" w:type="dxa"/>
            <w:vAlign w:val="bottom"/>
          </w:tcPr>
          <w:p>
            <w:pPr>
              <w:jc w:val="center"/>
              <w:ind w:left="199"/>
              <w:spacing w:after="0"/>
              <w:rPr>
                <w:sz w:val="20"/>
                <w:szCs w:val="20"/>
                <w:color w:val="auto"/>
              </w:rPr>
            </w:pPr>
            <w:r>
              <w:rPr>
                <w:rFonts w:ascii="Arial" w:cs="Arial" w:eastAsia="Arial" w:hAnsi="Arial"/>
                <w:sz w:val="8"/>
                <w:szCs w:val="8"/>
                <w:color w:val="auto"/>
              </w:rPr>
              <w:t>&gt;150%</w:t>
            </w: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372%</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396%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378%</w:t>
            </w:r>
          </w:p>
        </w:tc>
        <w:tc>
          <w:tcPr>
            <w:tcW w:w="1140" w:type="dxa"/>
            <w:vAlign w:val="bottom"/>
            <w:gridSpan w:val="4"/>
          </w:tcPr>
          <w:p>
            <w:pPr>
              <w:jc w:val="center"/>
              <w:ind w:left="839"/>
              <w:spacing w:after="0"/>
              <w:rPr>
                <w:sz w:val="20"/>
                <w:szCs w:val="20"/>
                <w:color w:val="auto"/>
              </w:rPr>
            </w:pPr>
            <w:r>
              <w:rPr>
                <w:rFonts w:ascii="Arial" w:cs="Arial" w:eastAsia="Arial" w:hAnsi="Arial"/>
                <w:sz w:val="8"/>
                <w:szCs w:val="8"/>
                <w:color w:val="auto"/>
              </w:rPr>
              <w:t>374%</w:t>
            </w:r>
          </w:p>
        </w:tc>
        <w:tc>
          <w:tcPr>
            <w:tcW w:w="380" w:type="dxa"/>
            <w:vAlign w:val="bottom"/>
          </w:tcPr>
          <w:p>
            <w:pPr>
              <w:spacing w:after="0"/>
              <w:rPr>
                <w:sz w:val="8"/>
                <w:szCs w:val="8"/>
                <w:color w:val="auto"/>
              </w:rPr>
            </w:pP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380%</w:t>
            </w:r>
          </w:p>
        </w:tc>
        <w:tc>
          <w:tcPr>
            <w:tcW w:w="140" w:type="dxa"/>
            <w:vAlign w:val="bottom"/>
          </w:tcPr>
          <w:p>
            <w:pPr>
              <w:spacing w:after="0"/>
              <w:rPr>
                <w:sz w:val="8"/>
                <w:szCs w:val="8"/>
                <w:color w:val="auto"/>
              </w:rPr>
            </w:pPr>
          </w:p>
        </w:tc>
      </w:tr>
      <w:tr>
        <w:trPr>
          <w:trHeight w:val="200"/>
        </w:trPr>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spacing w:after="0"/>
              <w:rPr>
                <w:sz w:val="17"/>
                <w:szCs w:val="17"/>
                <w:color w:val="auto"/>
              </w:rPr>
            </w:pPr>
          </w:p>
        </w:tc>
        <w:tc>
          <w:tcPr>
            <w:tcW w:w="1280" w:type="dxa"/>
            <w:vAlign w:val="bottom"/>
            <w:tcBorders>
              <w:bottom w:val="single" w:sz="8" w:color="auto"/>
            </w:tcBorders>
            <w:gridSpan w:val="4"/>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spacing w:after="0"/>
              <w:rPr>
                <w:sz w:val="17"/>
                <w:szCs w:val="17"/>
                <w:color w:val="auto"/>
              </w:rPr>
            </w:pPr>
          </w:p>
        </w:tc>
        <w:tc>
          <w:tcPr>
            <w:tcW w:w="1520" w:type="dxa"/>
            <w:vAlign w:val="bottom"/>
            <w:tcBorders>
              <w:bottom w:val="single" w:sz="8" w:color="auto"/>
            </w:tcBorders>
            <w:gridSpan w:val="5"/>
          </w:tcPr>
          <w:p>
            <w:pPr>
              <w:spacing w:after="0"/>
              <w:rPr>
                <w:sz w:val="17"/>
                <w:szCs w:val="17"/>
                <w:color w:val="auto"/>
              </w:rPr>
            </w:pPr>
          </w:p>
        </w:tc>
        <w:tc>
          <w:tcPr>
            <w:tcW w:w="106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287"/>
        </w:trPr>
        <w:tc>
          <w:tcPr>
            <w:tcW w:w="4080" w:type="dxa"/>
            <w:vAlign w:val="bottom"/>
            <w:gridSpan w:val="3"/>
          </w:tcPr>
          <w:p>
            <w:pPr>
              <w:spacing w:after="0"/>
              <w:rPr>
                <w:sz w:val="20"/>
                <w:szCs w:val="20"/>
                <w:color w:val="auto"/>
              </w:rPr>
            </w:pPr>
            <w:r>
              <w:rPr>
                <w:rFonts w:ascii="Arial" w:cs="Arial" w:eastAsia="Arial" w:hAnsi="Arial"/>
                <w:sz w:val="8"/>
                <w:szCs w:val="8"/>
                <w:color w:val="auto"/>
                <w:highlight w:val="black"/>
              </w:rPr>
              <w:t>Ratios:</w:t>
            </w:r>
          </w:p>
        </w:tc>
        <w:tc>
          <w:tcPr>
            <w:tcW w:w="760" w:type="dxa"/>
            <w:vAlign w:val="bottom"/>
          </w:tcPr>
          <w:p>
            <w:pPr>
              <w:spacing w:after="0"/>
              <w:rPr>
                <w:sz w:val="24"/>
                <w:szCs w:val="24"/>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highlight w:val="black"/>
              </w:rPr>
              <w:t>3/31/2026</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highlight w:val="black"/>
              </w:rPr>
              <w:t>12/31/2025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highlight w:val="black"/>
              </w:rPr>
              <w:t>9/30/2025</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highlight w:val="black"/>
              </w:rPr>
              <w:t>6/30/2025</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highlight w:val="black"/>
              </w:rPr>
              <w:t>3/31/2025</w:t>
            </w:r>
          </w:p>
        </w:tc>
        <w:tc>
          <w:tcPr>
            <w:tcW w:w="140" w:type="dxa"/>
            <w:vAlign w:val="bottom"/>
          </w:tcPr>
          <w:p>
            <w:pPr>
              <w:spacing w:after="0"/>
              <w:rPr>
                <w:sz w:val="24"/>
                <w:szCs w:val="24"/>
                <w:color w:val="auto"/>
              </w:rPr>
            </w:pPr>
          </w:p>
        </w:tc>
      </w:tr>
      <w:tr>
        <w:trPr>
          <w:trHeight w:val="79"/>
        </w:trPr>
        <w:tc>
          <w:tcPr>
            <w:tcW w:w="660" w:type="dxa"/>
            <w:vAlign w:val="bottom"/>
            <w:tcBorders>
              <w:bottom w:val="single" w:sz="8" w:color="auto"/>
            </w:tcBorders>
          </w:tcPr>
          <w:p>
            <w:pPr>
              <w:spacing w:after="0" w:line="60" w:lineRule="exact"/>
              <w:rPr>
                <w:sz w:val="20"/>
                <w:szCs w:val="20"/>
                <w:color w:val="auto"/>
              </w:rPr>
            </w:pPr>
            <w:r>
              <w:rPr>
                <w:rFonts w:ascii="Arial" w:cs="Arial" w:eastAsia="Arial" w:hAnsi="Arial"/>
                <w:sz w:val="6"/>
                <w:szCs w:val="6"/>
                <w:color w:val="auto"/>
                <w:highlight w:val="black"/>
              </w:rPr>
              <w:t>Consolidated Only</w:t>
            </w:r>
          </w:p>
        </w:tc>
        <w:tc>
          <w:tcPr>
            <w:tcW w:w="1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r>
      <w:tr>
        <w:trPr>
          <w:trHeight w:val="187"/>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total market capitalization</w:t>
            </w:r>
          </w:p>
        </w:tc>
        <w:tc>
          <w:tcPr>
            <w:tcW w:w="760" w:type="dxa"/>
            <w:vAlign w:val="bottom"/>
          </w:tcPr>
          <w:p>
            <w:pPr>
              <w:spacing w:after="0"/>
              <w:rPr>
                <w:sz w:val="16"/>
                <w:szCs w:val="16"/>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25.3%</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26.0%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25.5%</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26.0%</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25.0%</w:t>
            </w:r>
          </w:p>
        </w:tc>
        <w:tc>
          <w:tcPr>
            <w:tcW w:w="140" w:type="dxa"/>
            <w:vAlign w:val="bottom"/>
          </w:tcPr>
          <w:p>
            <w:pPr>
              <w:spacing w:after="0"/>
              <w:rPr>
                <w:sz w:val="16"/>
                <w:szCs w:val="16"/>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real estate assets, before depreciation</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32.3%</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30.9%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31.8%</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32.2%</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31.8%</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total assets, before depreciation</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29.9%</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28.6%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29.4%</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29.6%</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29.4%</w:t>
            </w:r>
          </w:p>
        </w:tc>
        <w:tc>
          <w:tcPr>
            <w:tcW w:w="140" w:type="dxa"/>
            <w:vAlign w:val="bottom"/>
          </w:tcPr>
          <w:p>
            <w:pPr>
              <w:spacing w:after="0"/>
              <w:rPr>
                <w:sz w:val="8"/>
                <w:szCs w:val="8"/>
                <w:color w:val="auto"/>
              </w:rPr>
            </w:pPr>
          </w:p>
        </w:tc>
      </w:tr>
      <w:tr>
        <w:trPr>
          <w:trHeight w:val="199"/>
        </w:trPr>
        <w:tc>
          <w:tcPr>
            <w:tcW w:w="4080" w:type="dxa"/>
            <w:vAlign w:val="bottom"/>
            <w:gridSpan w:val="3"/>
          </w:tcPr>
          <w:p>
            <w:pPr>
              <w:spacing w:after="0"/>
              <w:rPr>
                <w:sz w:val="20"/>
                <w:szCs w:val="20"/>
                <w:color w:val="auto"/>
              </w:rPr>
            </w:pPr>
            <w:r>
              <w:rPr>
                <w:rFonts w:ascii="Arial" w:cs="Arial" w:eastAsia="Arial" w:hAnsi="Arial"/>
                <w:sz w:val="8"/>
                <w:szCs w:val="8"/>
                <w:color w:val="auto"/>
              </w:rPr>
              <w:t>Net debt and preferreds to Operating EBITDAre - TTM</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4.9x</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4.6x</w:t>
            </w:r>
          </w:p>
        </w:tc>
        <w:tc>
          <w:tcPr>
            <w:tcW w:w="160" w:type="dxa"/>
            <w:vAlign w:val="bottom"/>
          </w:tcPr>
          <w:p>
            <w:pPr>
              <w:spacing w:after="0"/>
              <w:rPr>
                <w:sz w:val="17"/>
                <w:szCs w:val="17"/>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4.8x</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4.9x</w:t>
            </w:r>
          </w:p>
        </w:tc>
        <w:tc>
          <w:tcPr>
            <w:tcW w:w="220" w:type="dxa"/>
            <w:vAlign w:val="bottom"/>
          </w:tcPr>
          <w:p>
            <w:pPr>
              <w:spacing w:after="0"/>
              <w:rPr>
                <w:sz w:val="17"/>
                <w:szCs w:val="17"/>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4.9x</w:t>
            </w:r>
          </w:p>
        </w:tc>
        <w:tc>
          <w:tcPr>
            <w:tcW w:w="140" w:type="dxa"/>
            <w:vAlign w:val="bottom"/>
          </w:tcPr>
          <w:p>
            <w:pPr>
              <w:spacing w:after="0"/>
              <w:rPr>
                <w:sz w:val="17"/>
                <w:szCs w:val="17"/>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Fixed charge coverage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4.6x</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4.6x</w:t>
            </w:r>
          </w:p>
        </w:tc>
        <w:tc>
          <w:tcPr>
            <w:tcW w:w="160" w:type="dxa"/>
            <w:vAlign w:val="bottom"/>
          </w:tcPr>
          <w:p>
            <w:pPr>
              <w:spacing w:after="0"/>
              <w:rPr>
                <w:sz w:val="8"/>
                <w:szCs w:val="8"/>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4.6x</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4.6x</w:t>
            </w:r>
          </w:p>
        </w:tc>
        <w:tc>
          <w:tcPr>
            <w:tcW w:w="220" w:type="dxa"/>
            <w:vAlign w:val="bottom"/>
          </w:tcPr>
          <w:p>
            <w:pPr>
              <w:spacing w:after="0"/>
              <w:rPr>
                <w:sz w:val="8"/>
                <w:szCs w:val="8"/>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4.7x</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Interest coverage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5.1x</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5.2x</w:t>
            </w:r>
          </w:p>
        </w:tc>
        <w:tc>
          <w:tcPr>
            <w:tcW w:w="160" w:type="dxa"/>
            <w:vAlign w:val="bottom"/>
          </w:tcPr>
          <w:p>
            <w:pPr>
              <w:spacing w:after="0"/>
              <w:rPr>
                <w:sz w:val="8"/>
                <w:szCs w:val="8"/>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5.2x</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5.2x</w:t>
            </w:r>
          </w:p>
        </w:tc>
        <w:tc>
          <w:tcPr>
            <w:tcW w:w="220" w:type="dxa"/>
            <w:vAlign w:val="bottom"/>
          </w:tcPr>
          <w:p>
            <w:pPr>
              <w:spacing w:after="0"/>
              <w:rPr>
                <w:sz w:val="8"/>
                <w:szCs w:val="8"/>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5.3x</w:t>
            </w:r>
          </w:p>
        </w:tc>
        <w:tc>
          <w:tcPr>
            <w:tcW w:w="140" w:type="dxa"/>
            <w:vAlign w:val="bottom"/>
          </w:tcPr>
          <w:p>
            <w:pPr>
              <w:spacing w:after="0"/>
              <w:rPr>
                <w:sz w:val="8"/>
                <w:szCs w:val="8"/>
                <w:color w:val="auto"/>
              </w:rPr>
            </w:pPr>
          </w:p>
        </w:tc>
      </w:tr>
      <w:tr>
        <w:trPr>
          <w:trHeight w:val="199"/>
        </w:trPr>
        <w:tc>
          <w:tcPr>
            <w:tcW w:w="4080" w:type="dxa"/>
            <w:vAlign w:val="bottom"/>
            <w:gridSpan w:val="3"/>
          </w:tcPr>
          <w:p>
            <w:pPr>
              <w:spacing w:after="0"/>
              <w:rPr>
                <w:sz w:val="20"/>
                <w:szCs w:val="20"/>
                <w:color w:val="auto"/>
              </w:rPr>
            </w:pPr>
            <w:r>
              <w:rPr>
                <w:rFonts w:ascii="Arial" w:cs="Arial" w:eastAsia="Arial" w:hAnsi="Arial"/>
                <w:sz w:val="8"/>
                <w:szCs w:val="8"/>
                <w:color w:val="auto"/>
              </w:rPr>
              <w:t>Unsecured assets to total real estate assets</w:t>
            </w:r>
          </w:p>
        </w:tc>
        <w:tc>
          <w:tcPr>
            <w:tcW w:w="760" w:type="dxa"/>
            <w:vAlign w:val="bottom"/>
          </w:tcPr>
          <w:p>
            <w:pPr>
              <w:spacing w:after="0"/>
              <w:rPr>
                <w:sz w:val="17"/>
                <w:szCs w:val="17"/>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88.5%</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87.3%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86.9%</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88.3%</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88.3%</w:t>
            </w:r>
          </w:p>
        </w:tc>
        <w:tc>
          <w:tcPr>
            <w:tcW w:w="140" w:type="dxa"/>
            <w:vAlign w:val="bottom"/>
          </w:tcPr>
          <w:p>
            <w:pPr>
              <w:spacing w:after="0"/>
              <w:rPr>
                <w:sz w:val="17"/>
                <w:szCs w:val="17"/>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Unsecured NOI to total NOI - TTM</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89.7%</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89.2%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89.5%</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89.4%</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89.4%</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Unencumbered assets to unsecured debt</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297%</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317%</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300%</w:t>
            </w:r>
          </w:p>
        </w:tc>
        <w:tc>
          <w:tcPr>
            <w:tcW w:w="1140" w:type="dxa"/>
            <w:vAlign w:val="bottom"/>
            <w:gridSpan w:val="4"/>
          </w:tcPr>
          <w:p>
            <w:pPr>
              <w:jc w:val="center"/>
              <w:ind w:left="839"/>
              <w:spacing w:after="0"/>
              <w:rPr>
                <w:sz w:val="20"/>
                <w:szCs w:val="20"/>
                <w:color w:val="auto"/>
              </w:rPr>
            </w:pPr>
            <w:r>
              <w:rPr>
                <w:rFonts w:ascii="Arial" w:cs="Arial" w:eastAsia="Arial" w:hAnsi="Arial"/>
                <w:sz w:val="8"/>
                <w:szCs w:val="8"/>
                <w:color w:val="auto"/>
              </w:rPr>
              <w:t>295%</w:t>
            </w:r>
          </w:p>
        </w:tc>
        <w:tc>
          <w:tcPr>
            <w:tcW w:w="380" w:type="dxa"/>
            <w:vAlign w:val="bottom"/>
          </w:tcPr>
          <w:p>
            <w:pPr>
              <w:spacing w:after="0"/>
              <w:rPr>
                <w:sz w:val="8"/>
                <w:szCs w:val="8"/>
                <w:color w:val="auto"/>
              </w:rPr>
            </w:pP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306%</w:t>
            </w:r>
          </w:p>
        </w:tc>
        <w:tc>
          <w:tcPr>
            <w:tcW w:w="140" w:type="dxa"/>
            <w:vAlign w:val="bottom"/>
          </w:tcPr>
          <w:p>
            <w:pPr>
              <w:spacing w:after="0"/>
              <w:rPr>
                <w:sz w:val="8"/>
                <w:szCs w:val="8"/>
                <w:color w:val="auto"/>
              </w:rPr>
            </w:pPr>
          </w:p>
        </w:tc>
      </w:tr>
      <w:tr>
        <w:trPr>
          <w:trHeight w:val="191"/>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highlight w:val="black"/>
                <w:w w:val="97"/>
              </w:rPr>
              <w:t>Total Pro-Rata Share</w:t>
            </w:r>
          </w:p>
        </w:tc>
        <w:tc>
          <w:tcPr>
            <w:tcW w:w="3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7"/>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total market capitalization</w:t>
            </w:r>
          </w:p>
        </w:tc>
        <w:tc>
          <w:tcPr>
            <w:tcW w:w="760" w:type="dxa"/>
            <w:vAlign w:val="bottom"/>
          </w:tcPr>
          <w:p>
            <w:pPr>
              <w:spacing w:after="0"/>
              <w:rPr>
                <w:sz w:val="16"/>
                <w:szCs w:val="16"/>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27.3%</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28.2%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27.7%</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28.3%</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27.3%</w:t>
            </w:r>
          </w:p>
        </w:tc>
        <w:tc>
          <w:tcPr>
            <w:tcW w:w="140" w:type="dxa"/>
            <w:vAlign w:val="bottom"/>
          </w:tcPr>
          <w:p>
            <w:pPr>
              <w:spacing w:after="0"/>
              <w:rPr>
                <w:sz w:val="16"/>
                <w:szCs w:val="16"/>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real estate assets, before depreciation</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33.7%</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32.4%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33.4%</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33.8%</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33.4%</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Net debt to total assets, before depreciation</w:t>
            </w:r>
          </w:p>
        </w:tc>
        <w:tc>
          <w:tcPr>
            <w:tcW w:w="760" w:type="dxa"/>
            <w:vAlign w:val="bottom"/>
          </w:tcPr>
          <w:p>
            <w:pPr>
              <w:spacing w:after="0"/>
              <w:rPr>
                <w:sz w:val="8"/>
                <w:szCs w:val="8"/>
                <w:color w:val="auto"/>
              </w:rPr>
            </w:pPr>
          </w:p>
        </w:tc>
        <w:tc>
          <w:tcPr>
            <w:tcW w:w="1460" w:type="dxa"/>
            <w:vAlign w:val="bottom"/>
            <w:gridSpan w:val="3"/>
          </w:tcPr>
          <w:p>
            <w:pPr>
              <w:jc w:val="center"/>
              <w:ind w:left="479"/>
              <w:spacing w:after="0"/>
              <w:rPr>
                <w:sz w:val="20"/>
                <w:szCs w:val="20"/>
                <w:color w:val="auto"/>
              </w:rPr>
            </w:pPr>
            <w:r>
              <w:rPr>
                <w:rFonts w:ascii="Arial" w:cs="Arial" w:eastAsia="Arial" w:hAnsi="Arial"/>
                <w:sz w:val="8"/>
                <w:szCs w:val="8"/>
                <w:color w:val="auto"/>
              </w:rPr>
              <w:t>31.1%</w:t>
            </w:r>
          </w:p>
        </w:tc>
        <w:tc>
          <w:tcPr>
            <w:tcW w:w="1280" w:type="dxa"/>
            <w:vAlign w:val="bottom"/>
            <w:gridSpan w:val="4"/>
          </w:tcPr>
          <w:p>
            <w:pPr>
              <w:jc w:val="center"/>
              <w:ind w:left="219"/>
              <w:spacing w:after="0"/>
              <w:rPr>
                <w:sz w:val="20"/>
                <w:szCs w:val="20"/>
                <w:color w:val="auto"/>
              </w:rPr>
            </w:pPr>
            <w:r>
              <w:rPr>
                <w:rFonts w:ascii="Arial" w:cs="Arial" w:eastAsia="Arial" w:hAnsi="Arial"/>
                <w:sz w:val="8"/>
                <w:szCs w:val="8"/>
                <w:color w:val="auto"/>
              </w:rPr>
              <w:t>29.9%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tcPr>
          <w:p>
            <w:pPr>
              <w:jc w:val="center"/>
              <w:ind w:left="59"/>
              <w:spacing w:after="0"/>
              <w:rPr>
                <w:sz w:val="20"/>
                <w:szCs w:val="20"/>
                <w:color w:val="auto"/>
              </w:rPr>
            </w:pPr>
            <w:r>
              <w:rPr>
                <w:rFonts w:ascii="Arial" w:cs="Arial" w:eastAsia="Arial" w:hAnsi="Arial"/>
                <w:sz w:val="8"/>
                <w:szCs w:val="8"/>
                <w:color w:val="auto"/>
              </w:rPr>
              <w:t>30.7%</w:t>
            </w:r>
          </w:p>
        </w:tc>
        <w:tc>
          <w:tcPr>
            <w:tcW w:w="1520" w:type="dxa"/>
            <w:vAlign w:val="bottom"/>
            <w:gridSpan w:val="5"/>
          </w:tcPr>
          <w:p>
            <w:pPr>
              <w:jc w:val="center"/>
              <w:ind w:left="459"/>
              <w:spacing w:after="0"/>
              <w:rPr>
                <w:sz w:val="20"/>
                <w:szCs w:val="20"/>
                <w:color w:val="auto"/>
              </w:rPr>
            </w:pPr>
            <w:r>
              <w:rPr>
                <w:rFonts w:ascii="Arial" w:cs="Arial" w:eastAsia="Arial" w:hAnsi="Arial"/>
                <w:sz w:val="8"/>
                <w:szCs w:val="8"/>
                <w:color w:val="auto"/>
              </w:rPr>
              <w:t>31.0%</w:t>
            </w:r>
          </w:p>
        </w:tc>
        <w:tc>
          <w:tcPr>
            <w:tcW w:w="1060" w:type="dxa"/>
            <w:vAlign w:val="bottom"/>
            <w:gridSpan w:val="2"/>
          </w:tcPr>
          <w:p>
            <w:pPr>
              <w:jc w:val="center"/>
              <w:ind w:left="319"/>
              <w:spacing w:after="0"/>
              <w:rPr>
                <w:sz w:val="20"/>
                <w:szCs w:val="20"/>
                <w:color w:val="auto"/>
              </w:rPr>
            </w:pPr>
            <w:r>
              <w:rPr>
                <w:rFonts w:ascii="Arial" w:cs="Arial" w:eastAsia="Arial" w:hAnsi="Arial"/>
                <w:sz w:val="8"/>
                <w:szCs w:val="8"/>
                <w:color w:val="auto"/>
              </w:rPr>
              <w:t>30.8%</w:t>
            </w:r>
          </w:p>
        </w:tc>
        <w:tc>
          <w:tcPr>
            <w:tcW w:w="140" w:type="dxa"/>
            <w:vAlign w:val="bottom"/>
          </w:tcPr>
          <w:p>
            <w:pPr>
              <w:spacing w:after="0"/>
              <w:rPr>
                <w:sz w:val="8"/>
                <w:szCs w:val="8"/>
                <w:color w:val="auto"/>
              </w:rPr>
            </w:pPr>
          </w:p>
        </w:tc>
      </w:tr>
      <w:tr>
        <w:trPr>
          <w:trHeight w:val="199"/>
        </w:trPr>
        <w:tc>
          <w:tcPr>
            <w:tcW w:w="4080" w:type="dxa"/>
            <w:vAlign w:val="bottom"/>
            <w:gridSpan w:val="3"/>
          </w:tcPr>
          <w:p>
            <w:pPr>
              <w:spacing w:after="0"/>
              <w:rPr>
                <w:sz w:val="20"/>
                <w:szCs w:val="20"/>
                <w:color w:val="auto"/>
              </w:rPr>
            </w:pPr>
            <w:r>
              <w:rPr>
                <w:rFonts w:ascii="Arial" w:cs="Arial" w:eastAsia="Arial" w:hAnsi="Arial"/>
                <w:sz w:val="8"/>
                <w:szCs w:val="8"/>
                <w:color w:val="auto"/>
              </w:rPr>
              <w:t>Net debt and preferreds to Operating EBITDAre - TTM</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5.2x</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5.1x</w:t>
            </w:r>
          </w:p>
        </w:tc>
        <w:tc>
          <w:tcPr>
            <w:tcW w:w="160" w:type="dxa"/>
            <w:vAlign w:val="bottom"/>
          </w:tcPr>
          <w:p>
            <w:pPr>
              <w:spacing w:after="0"/>
              <w:rPr>
                <w:sz w:val="17"/>
                <w:szCs w:val="17"/>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5.3x</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5.3x</w:t>
            </w:r>
          </w:p>
        </w:tc>
        <w:tc>
          <w:tcPr>
            <w:tcW w:w="220" w:type="dxa"/>
            <w:vAlign w:val="bottom"/>
          </w:tcPr>
          <w:p>
            <w:pPr>
              <w:spacing w:after="0"/>
              <w:rPr>
                <w:sz w:val="17"/>
                <w:szCs w:val="17"/>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5.3x</w:t>
            </w:r>
          </w:p>
        </w:tc>
        <w:tc>
          <w:tcPr>
            <w:tcW w:w="140" w:type="dxa"/>
            <w:vAlign w:val="bottom"/>
          </w:tcPr>
          <w:p>
            <w:pPr>
              <w:spacing w:after="0"/>
              <w:rPr>
                <w:sz w:val="17"/>
                <w:szCs w:val="17"/>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Fixed charge coverage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4.2x</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4.2x</w:t>
            </w:r>
          </w:p>
        </w:tc>
        <w:tc>
          <w:tcPr>
            <w:tcW w:w="160" w:type="dxa"/>
            <w:vAlign w:val="bottom"/>
          </w:tcPr>
          <w:p>
            <w:pPr>
              <w:spacing w:after="0"/>
              <w:rPr>
                <w:sz w:val="8"/>
                <w:szCs w:val="8"/>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4.2x</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4.2x</w:t>
            </w:r>
          </w:p>
        </w:tc>
        <w:tc>
          <w:tcPr>
            <w:tcW w:w="220" w:type="dxa"/>
            <w:vAlign w:val="bottom"/>
          </w:tcPr>
          <w:p>
            <w:pPr>
              <w:spacing w:after="0"/>
              <w:rPr>
                <w:sz w:val="8"/>
                <w:szCs w:val="8"/>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4.3x</w:t>
            </w:r>
          </w:p>
        </w:tc>
        <w:tc>
          <w:tcPr>
            <w:tcW w:w="140" w:type="dxa"/>
            <w:vAlign w:val="bottom"/>
          </w:tcPr>
          <w:p>
            <w:pPr>
              <w:spacing w:after="0"/>
              <w:rPr>
                <w:sz w:val="8"/>
                <w:szCs w:val="8"/>
                <w:color w:val="auto"/>
              </w:rPr>
            </w:pPr>
          </w:p>
        </w:tc>
      </w:tr>
      <w:tr>
        <w:trPr>
          <w:trHeight w:val="99"/>
        </w:trPr>
        <w:tc>
          <w:tcPr>
            <w:tcW w:w="4080" w:type="dxa"/>
            <w:vAlign w:val="bottom"/>
            <w:gridSpan w:val="3"/>
          </w:tcPr>
          <w:p>
            <w:pPr>
              <w:spacing w:after="0"/>
              <w:rPr>
                <w:sz w:val="20"/>
                <w:szCs w:val="20"/>
                <w:color w:val="auto"/>
              </w:rPr>
            </w:pPr>
            <w:r>
              <w:rPr>
                <w:rFonts w:ascii="Arial" w:cs="Arial" w:eastAsia="Arial" w:hAnsi="Arial"/>
                <w:sz w:val="8"/>
                <w:szCs w:val="8"/>
                <w:color w:val="auto"/>
              </w:rPr>
              <w:t>Interest coverage</w:t>
            </w: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jc w:val="center"/>
              <w:spacing w:after="0"/>
              <w:rPr>
                <w:sz w:val="20"/>
                <w:szCs w:val="20"/>
                <w:color w:val="auto"/>
              </w:rPr>
            </w:pPr>
            <w:r>
              <w:rPr>
                <w:rFonts w:ascii="Arial" w:cs="Arial" w:eastAsia="Arial" w:hAnsi="Arial"/>
                <w:sz w:val="8"/>
                <w:szCs w:val="8"/>
                <w:color w:val="auto"/>
              </w:rPr>
              <w:t>4.7x</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8"/>
                <w:szCs w:val="8"/>
                <w:color w:val="auto"/>
              </w:rPr>
              <w:t>4.7x</w:t>
            </w:r>
          </w:p>
        </w:tc>
        <w:tc>
          <w:tcPr>
            <w:tcW w:w="160" w:type="dxa"/>
            <w:vAlign w:val="bottom"/>
          </w:tcPr>
          <w:p>
            <w:pPr>
              <w:spacing w:after="0"/>
              <w:rPr>
                <w:sz w:val="8"/>
                <w:szCs w:val="8"/>
                <w:color w:val="auto"/>
              </w:rPr>
            </w:pPr>
          </w:p>
        </w:tc>
        <w:tc>
          <w:tcPr>
            <w:tcW w:w="480" w:type="dxa"/>
            <w:vAlign w:val="bottom"/>
          </w:tcPr>
          <w:p>
            <w:pPr>
              <w:jc w:val="center"/>
              <w:ind w:right="39"/>
              <w:spacing w:after="0"/>
              <w:rPr>
                <w:sz w:val="20"/>
                <w:szCs w:val="20"/>
                <w:color w:val="auto"/>
              </w:rPr>
            </w:pPr>
            <w:r>
              <w:rPr>
                <w:rFonts w:ascii="Arial" w:cs="Arial" w:eastAsia="Arial" w:hAnsi="Arial"/>
                <w:sz w:val="8"/>
                <w:szCs w:val="8"/>
                <w:color w:val="auto"/>
              </w:rPr>
              <w:t>4.7x</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3"/>
          </w:tcPr>
          <w:p>
            <w:pPr>
              <w:jc w:val="center"/>
              <w:spacing w:after="0"/>
              <w:rPr>
                <w:sz w:val="20"/>
                <w:szCs w:val="20"/>
                <w:color w:val="auto"/>
              </w:rPr>
            </w:pPr>
            <w:r>
              <w:rPr>
                <w:rFonts w:ascii="Arial" w:cs="Arial" w:eastAsia="Arial" w:hAnsi="Arial"/>
                <w:sz w:val="8"/>
                <w:szCs w:val="8"/>
                <w:color w:val="auto"/>
              </w:rPr>
              <w:t>4.7x</w:t>
            </w:r>
          </w:p>
        </w:tc>
        <w:tc>
          <w:tcPr>
            <w:tcW w:w="220" w:type="dxa"/>
            <w:vAlign w:val="bottom"/>
          </w:tcPr>
          <w:p>
            <w:pPr>
              <w:spacing w:after="0"/>
              <w:rPr>
                <w:sz w:val="8"/>
                <w:szCs w:val="8"/>
                <w:color w:val="auto"/>
              </w:rPr>
            </w:pPr>
          </w:p>
        </w:tc>
        <w:tc>
          <w:tcPr>
            <w:tcW w:w="840" w:type="dxa"/>
            <w:vAlign w:val="bottom"/>
          </w:tcPr>
          <w:p>
            <w:pPr>
              <w:jc w:val="center"/>
              <w:ind w:left="79"/>
              <w:spacing w:after="0"/>
              <w:rPr>
                <w:sz w:val="20"/>
                <w:szCs w:val="20"/>
                <w:color w:val="auto"/>
              </w:rPr>
            </w:pPr>
            <w:r>
              <w:rPr>
                <w:rFonts w:ascii="Arial" w:cs="Arial" w:eastAsia="Arial" w:hAnsi="Arial"/>
                <w:sz w:val="8"/>
                <w:szCs w:val="8"/>
                <w:color w:val="auto"/>
              </w:rPr>
              <w:t>4.8x</w:t>
            </w:r>
          </w:p>
        </w:tc>
        <w:tc>
          <w:tcPr>
            <w:tcW w:w="140" w:type="dxa"/>
            <w:vAlign w:val="bottom"/>
          </w:tcPr>
          <w:p>
            <w:pPr>
              <w:spacing w:after="0"/>
              <w:rPr>
                <w:sz w:val="8"/>
                <w:szCs w:val="8"/>
                <w:color w:val="auto"/>
              </w:rPr>
            </w:pPr>
          </w:p>
        </w:tc>
      </w:tr>
    </w:tbl>
    <w:p>
      <w:pPr>
        <w:spacing w:after="0" w:line="217" w:lineRule="exact"/>
        <w:rPr>
          <w:sz w:val="20"/>
          <w:szCs w:val="20"/>
          <w:color w:val="auto"/>
        </w:rPr>
      </w:pPr>
    </w:p>
    <w:p>
      <w:pPr>
        <w:ind w:left="308" w:hanging="308"/>
        <w:spacing w:after="0"/>
        <w:tabs>
          <w:tab w:leader="none" w:pos="308" w:val="left"/>
        </w:tabs>
        <w:numPr>
          <w:ilvl w:val="0"/>
          <w:numId w:val="43"/>
        </w:numPr>
        <w:rPr>
          <w:rFonts w:ascii="Arial" w:cs="Arial" w:eastAsia="Arial" w:hAnsi="Arial"/>
          <w:sz w:val="11"/>
          <w:szCs w:val="11"/>
          <w:color w:val="auto"/>
          <w:vertAlign w:val="superscript"/>
        </w:rPr>
      </w:pPr>
      <w:r>
        <w:rPr>
          <w:rFonts w:ascii="Arial" w:cs="Arial" w:eastAsia="Arial" w:hAnsi="Arial"/>
          <w:sz w:val="8"/>
          <w:szCs w:val="8"/>
          <w:color w:val="auto"/>
        </w:rPr>
        <w:t>For a complete listing of all Debt Covenants related to the Company’s Senior Unsecured Notes, as well as definitions of the above terms, please refer to the Company’s filings with the Securities and Exchange Commission.</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3"/>
        </w:numPr>
        <w:rPr>
          <w:rFonts w:ascii="Arial" w:cs="Arial" w:eastAsia="Arial" w:hAnsi="Arial"/>
          <w:sz w:val="9"/>
          <w:szCs w:val="9"/>
          <w:color w:val="auto"/>
          <w:vertAlign w:val="superscript"/>
        </w:rPr>
      </w:pPr>
      <w:r>
        <w:rPr>
          <w:rFonts w:ascii="Arial" w:cs="Arial" w:eastAsia="Arial" w:hAnsi="Arial"/>
          <w:sz w:val="7"/>
          <w:szCs w:val="7"/>
          <w:color w:val="auto"/>
        </w:rPr>
        <w:t>Current period debt covenants are finalized and submitted after the Company’s most recent Form 10-Q or Form 10-K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635</wp:posOffset>
            </wp:positionV>
            <wp:extent cx="281305" cy="149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7" w:lineRule="exact"/>
        <w:rPr>
          <w:sz w:val="20"/>
          <w:szCs w:val="20"/>
          <w:color w:val="auto"/>
        </w:rPr>
      </w:pPr>
    </w:p>
    <w:p>
      <w:pPr>
        <w:ind w:left="10208"/>
        <w:spacing w:after="0"/>
        <w:tabs>
          <w:tab w:leader="none" w:pos="1110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35" w:name="page36"/>
    <w:bookmarkEnd w:id="35"/>
    <w:p>
      <w:pPr>
        <w:jc w:val="center"/>
        <w:ind w:right="-7"/>
        <w:spacing w:after="0"/>
        <w:rPr>
          <w:sz w:val="20"/>
          <w:szCs w:val="20"/>
          <w:color w:val="auto"/>
        </w:rPr>
      </w:pPr>
      <w:r>
        <w:rPr>
          <w:rFonts w:ascii="Arial" w:cs="Arial" w:eastAsia="Arial" w:hAnsi="Arial"/>
          <w:sz w:val="12"/>
          <w:szCs w:val="12"/>
          <w:color w:val="auto"/>
          <w:highlight w:val="black"/>
        </w:rPr>
        <w:t xml:space="preserve">Summary </w:t>
      </w:r>
      <w:r>
        <w:rPr>
          <w:rFonts w:ascii="Arial" w:cs="Arial" w:eastAsia="Arial" w:hAnsi="Arial"/>
          <w:sz w:val="12"/>
          <w:szCs w:val="12"/>
          <w:color w:val="auto"/>
        </w:rPr>
        <w:t>of Unconsolidated Debt</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 and December 31, 2025</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3060" w:type="dxa"/>
            <w:vAlign w:val="bottom"/>
            <w:gridSpan w:val="7"/>
          </w:tcPr>
          <w:p>
            <w:pPr>
              <w:spacing w:after="0"/>
              <w:rPr>
                <w:sz w:val="20"/>
                <w:szCs w:val="20"/>
                <w:color w:val="auto"/>
              </w:rPr>
            </w:pPr>
            <w:r>
              <w:rPr>
                <w:rFonts w:ascii="Arial" w:cs="Arial" w:eastAsia="Arial" w:hAnsi="Arial"/>
                <w:sz w:val="8"/>
                <w:szCs w:val="8"/>
                <w:color w:val="auto"/>
              </w:rPr>
              <w:t>Total Debt Outstanding:</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60" w:type="dxa"/>
            <w:vAlign w:val="bottom"/>
            <w:gridSpan w:val="7"/>
          </w:tcPr>
          <w:p>
            <w:pPr>
              <w:jc w:val="right"/>
              <w:ind w:right="579"/>
              <w:spacing w:after="0"/>
              <w:rPr>
                <w:sz w:val="20"/>
                <w:szCs w:val="20"/>
                <w:color w:val="auto"/>
              </w:rPr>
            </w:pPr>
            <w:r>
              <w:rPr>
                <w:rFonts w:ascii="Arial" w:cs="Arial" w:eastAsia="Arial" w:hAnsi="Arial"/>
                <w:sz w:val="8"/>
                <w:szCs w:val="8"/>
                <w:color w:val="auto"/>
                <w:highlight w:val="black"/>
              </w:rPr>
              <w:t>3/31/2026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right"/>
              <w:ind w:right="519"/>
              <w:spacing w:after="0"/>
              <w:rPr>
                <w:sz w:val="20"/>
                <w:szCs w:val="20"/>
                <w:color w:val="auto"/>
              </w:rPr>
            </w:pPr>
            <w:r>
              <w:rPr>
                <w:rFonts w:ascii="Arial" w:cs="Arial" w:eastAsia="Arial" w:hAnsi="Arial"/>
                <w:sz w:val="8"/>
                <w:szCs w:val="8"/>
                <w:color w:val="auto"/>
                <w:highlight w:val="black"/>
              </w:rPr>
              <w:t>12/31/2025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60" w:type="dxa"/>
            <w:vAlign w:val="bottom"/>
            <w:tcBorders>
              <w:top w:val="single" w:sz="8" w:color="auto"/>
            </w:tcBorders>
            <w:gridSpan w:val="7"/>
          </w:tcPr>
          <w:p>
            <w:pPr>
              <w:spacing w:after="0" w:line="89" w:lineRule="exact"/>
              <w:rPr>
                <w:sz w:val="20"/>
                <w:szCs w:val="20"/>
                <w:color w:val="auto"/>
              </w:rPr>
            </w:pPr>
            <w:r>
              <w:rPr>
                <w:rFonts w:ascii="Arial" w:cs="Arial" w:eastAsia="Arial" w:hAnsi="Arial"/>
                <w:sz w:val="8"/>
                <w:szCs w:val="8"/>
                <w:color w:val="auto"/>
              </w:rPr>
              <w:t>Mortgage loans payable:</w:t>
            </w: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60" w:type="dxa"/>
            <w:vAlign w:val="bottom"/>
            <w:gridSpan w:val="7"/>
          </w:tcPr>
          <w:p>
            <w:pPr>
              <w:ind w:left="120"/>
              <w:spacing w:after="0"/>
              <w:rPr>
                <w:sz w:val="20"/>
                <w:szCs w:val="20"/>
                <w:color w:val="auto"/>
              </w:rPr>
            </w:pPr>
            <w:r>
              <w:rPr>
                <w:rFonts w:ascii="Arial" w:cs="Arial" w:eastAsia="Arial" w:hAnsi="Arial"/>
                <w:sz w:val="8"/>
                <w:szCs w:val="8"/>
                <w:color w:val="auto"/>
              </w:rPr>
              <w:t>Fixed rate secured loans</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gridSpan w:val="3"/>
          </w:tcPr>
          <w:p>
            <w:pPr>
              <w:jc w:val="right"/>
              <w:spacing w:after="0"/>
              <w:rPr>
                <w:sz w:val="20"/>
                <w:szCs w:val="20"/>
                <w:color w:val="auto"/>
              </w:rPr>
            </w:pPr>
            <w:r>
              <w:rPr>
                <w:rFonts w:ascii="Arial" w:cs="Arial" w:eastAsia="Arial" w:hAnsi="Arial"/>
                <w:sz w:val="8"/>
                <w:szCs w:val="8"/>
                <w:color w:val="auto"/>
              </w:rPr>
              <w:t>$</w:t>
            </w:r>
          </w:p>
        </w:tc>
        <w:tc>
          <w:tcPr>
            <w:tcW w:w="720" w:type="dxa"/>
            <w:vAlign w:val="bottom"/>
          </w:tcPr>
          <w:p>
            <w:pPr>
              <w:spacing w:after="0"/>
              <w:rPr>
                <w:sz w:val="8"/>
                <w:szCs w:val="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8"/>
                <w:szCs w:val="8"/>
                <w:color w:val="auto"/>
              </w:rPr>
              <w:t>1,444,115</w:t>
            </w:r>
          </w:p>
        </w:tc>
        <w:tc>
          <w:tcPr>
            <w:tcW w:w="100" w:type="dxa"/>
            <w:vAlign w:val="bottom"/>
          </w:tcPr>
          <w:p>
            <w:pPr>
              <w:spacing w:after="0"/>
              <w:rPr>
                <w:sz w:val="8"/>
                <w:szCs w:val="8"/>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8"/>
                <w:szCs w:val="8"/>
                <w:color w:val="auto"/>
              </w:rPr>
              <w:t>1,442,870</w:t>
            </w:r>
          </w:p>
        </w:tc>
        <w:tc>
          <w:tcPr>
            <w:tcW w:w="0" w:type="dxa"/>
            <w:vAlign w:val="bottom"/>
          </w:tcPr>
          <w:p>
            <w:pPr>
              <w:spacing w:after="0"/>
              <w:rPr>
                <w:sz w:val="1"/>
                <w:szCs w:val="1"/>
                <w:color w:val="auto"/>
              </w:rPr>
            </w:pPr>
          </w:p>
        </w:tc>
      </w:tr>
      <w:tr>
        <w:trPr>
          <w:trHeight w:val="99"/>
        </w:trPr>
        <w:tc>
          <w:tcPr>
            <w:tcW w:w="3060" w:type="dxa"/>
            <w:vAlign w:val="bottom"/>
            <w:gridSpan w:val="7"/>
          </w:tcPr>
          <w:p>
            <w:pPr>
              <w:ind w:left="120"/>
              <w:spacing w:after="0"/>
              <w:rPr>
                <w:sz w:val="20"/>
                <w:szCs w:val="20"/>
                <w:color w:val="auto"/>
              </w:rPr>
            </w:pPr>
            <w:r>
              <w:rPr>
                <w:rFonts w:ascii="Arial" w:cs="Arial" w:eastAsia="Arial" w:hAnsi="Arial"/>
                <w:sz w:val="8"/>
                <w:szCs w:val="8"/>
                <w:color w:val="auto"/>
              </w:rPr>
              <w:t>Variable rate secured loans</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right"/>
              <w:spacing w:after="0"/>
              <w:rPr>
                <w:sz w:val="20"/>
                <w:szCs w:val="20"/>
                <w:color w:val="auto"/>
              </w:rPr>
            </w:pPr>
            <w:r>
              <w:rPr>
                <w:rFonts w:ascii="Arial" w:cs="Arial" w:eastAsia="Arial" w:hAnsi="Arial"/>
                <w:sz w:val="8"/>
                <w:szCs w:val="8"/>
                <w:color w:val="auto"/>
              </w:rPr>
              <w:t>62,798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8"/>
                <w:szCs w:val="8"/>
                <w:color w:val="auto"/>
              </w:rPr>
              <w:t>60,080</w:t>
            </w:r>
          </w:p>
        </w:tc>
        <w:tc>
          <w:tcPr>
            <w:tcW w:w="0" w:type="dxa"/>
            <w:vAlign w:val="bottom"/>
          </w:tcPr>
          <w:p>
            <w:pPr>
              <w:spacing w:after="0"/>
              <w:rPr>
                <w:sz w:val="1"/>
                <w:szCs w:val="1"/>
                <w:color w:val="auto"/>
              </w:rPr>
            </w:pPr>
          </w:p>
        </w:tc>
      </w:tr>
      <w:tr>
        <w:trPr>
          <w:trHeight w:val="100"/>
        </w:trPr>
        <w:tc>
          <w:tcPr>
            <w:tcW w:w="3060" w:type="dxa"/>
            <w:vAlign w:val="bottom"/>
            <w:gridSpan w:val="7"/>
          </w:tcPr>
          <w:p>
            <w:pPr>
              <w:spacing w:after="0"/>
              <w:rPr>
                <w:sz w:val="20"/>
                <w:szCs w:val="20"/>
                <w:color w:val="auto"/>
              </w:rPr>
            </w:pPr>
            <w:r>
              <w:rPr>
                <w:rFonts w:ascii="Arial" w:cs="Arial" w:eastAsia="Arial" w:hAnsi="Arial"/>
                <w:sz w:val="8"/>
                <w:szCs w:val="8"/>
                <w:color w:val="auto"/>
              </w:rPr>
              <w:t>Unsecured credit facility variable rate</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right"/>
              <w:spacing w:after="0"/>
              <w:rPr>
                <w:sz w:val="20"/>
                <w:szCs w:val="20"/>
                <w:color w:val="auto"/>
              </w:rPr>
            </w:pPr>
            <w:r>
              <w:rPr>
                <w:rFonts w:ascii="Arial" w:cs="Arial" w:eastAsia="Arial" w:hAnsi="Arial"/>
                <w:sz w:val="8"/>
                <w:szCs w:val="8"/>
                <w:color w:val="auto"/>
              </w:rPr>
              <w:t>13,000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8"/>
                <w:szCs w:val="8"/>
                <w:color w:val="auto"/>
              </w:rPr>
              <w:t>20,000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060" w:type="dxa"/>
            <w:vAlign w:val="bottom"/>
            <w:gridSpan w:val="7"/>
          </w:tcPr>
          <w:p>
            <w:pPr>
              <w:ind w:left="400"/>
              <w:spacing w:after="0" w:line="89" w:lineRule="exact"/>
              <w:rPr>
                <w:sz w:val="20"/>
                <w:szCs w:val="20"/>
                <w:color w:val="auto"/>
              </w:rPr>
            </w:pPr>
            <w:r>
              <w:rPr>
                <w:rFonts w:ascii="Arial" w:cs="Arial" w:eastAsia="Arial" w:hAnsi="Arial"/>
                <w:sz w:val="8"/>
                <w:szCs w:val="8"/>
                <w:color w:val="auto"/>
              </w:rPr>
              <w:t>Total</w:t>
            </w: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60" w:type="dxa"/>
            <w:vAlign w:val="bottom"/>
          </w:tcPr>
          <w:p>
            <w:pPr>
              <w:jc w:val="right"/>
              <w:spacing w:after="0" w:line="80" w:lineRule="exact"/>
              <w:rPr>
                <w:sz w:val="20"/>
                <w:szCs w:val="20"/>
                <w:color w:val="auto"/>
              </w:rPr>
            </w:pPr>
            <w:r>
              <w:rPr>
                <w:rFonts w:ascii="Arial" w:cs="Arial" w:eastAsia="Arial" w:hAnsi="Arial"/>
                <w:sz w:val="8"/>
                <w:szCs w:val="8"/>
                <w:color w:val="auto"/>
                <w:w w:val="88"/>
              </w:rPr>
              <w:t>$</w:t>
            </w:r>
          </w:p>
        </w:tc>
        <w:tc>
          <w:tcPr>
            <w:tcW w:w="720" w:type="dxa"/>
            <w:vAlign w:val="bottom"/>
          </w:tcPr>
          <w:p>
            <w:pPr>
              <w:spacing w:after="0"/>
              <w:rPr>
                <w:sz w:val="7"/>
                <w:szCs w:val="7"/>
                <w:color w:val="auto"/>
              </w:rPr>
            </w:pPr>
          </w:p>
        </w:tc>
        <w:tc>
          <w:tcPr>
            <w:tcW w:w="960" w:type="dxa"/>
            <w:vAlign w:val="bottom"/>
            <w:gridSpan w:val="4"/>
          </w:tcPr>
          <w:p>
            <w:pPr>
              <w:jc w:val="right"/>
              <w:ind w:right="100"/>
              <w:spacing w:after="0" w:line="80" w:lineRule="exact"/>
              <w:rPr>
                <w:sz w:val="20"/>
                <w:szCs w:val="20"/>
                <w:color w:val="auto"/>
              </w:rPr>
            </w:pPr>
            <w:r>
              <w:rPr>
                <w:rFonts w:ascii="Arial" w:cs="Arial" w:eastAsia="Arial" w:hAnsi="Arial"/>
                <w:sz w:val="8"/>
                <w:szCs w:val="8"/>
                <w:color w:val="auto"/>
              </w:rPr>
              <w:t>1,519,913</w:t>
            </w:r>
          </w:p>
        </w:tc>
        <w:tc>
          <w:tcPr>
            <w:tcW w:w="100" w:type="dxa"/>
            <w:vAlign w:val="bottom"/>
          </w:tcPr>
          <w:p>
            <w:pPr>
              <w:spacing w:after="0"/>
              <w:rPr>
                <w:sz w:val="7"/>
                <w:szCs w:val="7"/>
                <w:color w:val="auto"/>
              </w:rPr>
            </w:pPr>
          </w:p>
        </w:tc>
        <w:tc>
          <w:tcPr>
            <w:tcW w:w="180" w:type="dxa"/>
            <w:vAlign w:val="bottom"/>
          </w:tcPr>
          <w:p>
            <w:pPr>
              <w:jc w:val="right"/>
              <w:spacing w:after="0" w:line="80" w:lineRule="exact"/>
              <w:rPr>
                <w:sz w:val="20"/>
                <w:szCs w:val="20"/>
                <w:color w:val="auto"/>
              </w:rPr>
            </w:pPr>
            <w:r>
              <w:rPr>
                <w:rFonts w:ascii="Arial" w:cs="Arial" w:eastAsia="Arial" w:hAnsi="Arial"/>
                <w:sz w:val="8"/>
                <w:szCs w:val="8"/>
                <w:color w:val="auto"/>
              </w:rPr>
              <w:t>$</w:t>
            </w:r>
          </w:p>
        </w:tc>
        <w:tc>
          <w:tcPr>
            <w:tcW w:w="1580" w:type="dxa"/>
            <w:vAlign w:val="bottom"/>
            <w:gridSpan w:val="2"/>
          </w:tcPr>
          <w:p>
            <w:pPr>
              <w:jc w:val="right"/>
              <w:ind w:right="120"/>
              <w:spacing w:after="0" w:line="80" w:lineRule="exact"/>
              <w:rPr>
                <w:sz w:val="20"/>
                <w:szCs w:val="20"/>
                <w:color w:val="auto"/>
              </w:rPr>
            </w:pPr>
            <w:r>
              <w:rPr>
                <w:rFonts w:ascii="Arial" w:cs="Arial" w:eastAsia="Arial" w:hAnsi="Arial"/>
                <w:sz w:val="8"/>
                <w:szCs w:val="8"/>
                <w:color w:val="auto"/>
              </w:rPr>
              <w:t>1,522,950</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8"/>
        </w:trPr>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8"/>
                <w:szCs w:val="8"/>
                <w:color w:val="auto"/>
                <w:highlight w:val="black"/>
              </w:rPr>
              <w:t>Weighted Average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159"/>
              <w:spacing w:after="0"/>
              <w:rPr>
                <w:sz w:val="20"/>
                <w:szCs w:val="20"/>
                <w:color w:val="auto"/>
              </w:rPr>
            </w:pPr>
            <w:r>
              <w:rPr>
                <w:rFonts w:ascii="Arial" w:cs="Arial" w:eastAsia="Arial" w:hAnsi="Arial"/>
                <w:sz w:val="8"/>
                <w:szCs w:val="8"/>
                <w:color w:val="auto"/>
                <w:highlight w:val="black"/>
                <w:w w:val="98"/>
              </w:rPr>
              <w:t>Scheduled Principal</w:t>
            </w:r>
          </w:p>
        </w:tc>
        <w:tc>
          <w:tcPr>
            <w:tcW w:w="120" w:type="dxa"/>
            <w:vAlign w:val="bottom"/>
          </w:tcPr>
          <w:p>
            <w:pPr>
              <w:spacing w:after="0"/>
              <w:rPr>
                <w:sz w:val="8"/>
                <w:szCs w:val="8"/>
                <w:color w:val="auto"/>
              </w:rPr>
            </w:pPr>
          </w:p>
        </w:tc>
        <w:tc>
          <w:tcPr>
            <w:tcW w:w="1060" w:type="dxa"/>
            <w:vAlign w:val="bottom"/>
          </w:tcPr>
          <w:p>
            <w:pPr>
              <w:jc w:val="right"/>
              <w:ind w:right="279"/>
              <w:spacing w:after="0"/>
              <w:rPr>
                <w:sz w:val="20"/>
                <w:szCs w:val="20"/>
                <w:color w:val="auto"/>
              </w:rPr>
            </w:pPr>
            <w:r>
              <w:rPr>
                <w:rFonts w:ascii="Arial" w:cs="Arial" w:eastAsia="Arial" w:hAnsi="Arial"/>
                <w:sz w:val="8"/>
                <w:szCs w:val="8"/>
                <w:color w:val="auto"/>
                <w:highlight w:val="black"/>
              </w:rPr>
              <w:t>Mortgage Loan</w:t>
            </w: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tcPr>
          <w:p>
            <w:pPr>
              <w:jc w:val="center"/>
              <w:spacing w:after="0"/>
              <w:rPr>
                <w:sz w:val="20"/>
                <w:szCs w:val="20"/>
                <w:color w:val="auto"/>
              </w:rPr>
            </w:pPr>
            <w:r>
              <w:rPr>
                <w:rFonts w:ascii="Arial" w:cs="Arial" w:eastAsia="Arial" w:hAnsi="Arial"/>
                <w:sz w:val="8"/>
                <w:szCs w:val="8"/>
                <w:color w:val="auto"/>
              </w:rPr>
              <w:t>Contractual Interest Rate</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8"/>
                <w:szCs w:val="8"/>
                <w:color w:val="auto"/>
                <w:highlight w:val="black"/>
              </w:rPr>
              <w:t>Regency's Pro Rata</w:t>
            </w:r>
          </w:p>
        </w:tc>
        <w:tc>
          <w:tcPr>
            <w:tcW w:w="180" w:type="dxa"/>
            <w:vAlign w:val="bottom"/>
          </w:tcPr>
          <w:p>
            <w:pPr>
              <w:spacing w:after="0"/>
              <w:rPr>
                <w:sz w:val="8"/>
                <w:szCs w:val="8"/>
                <w:color w:val="auto"/>
              </w:rPr>
            </w:pPr>
          </w:p>
        </w:tc>
        <w:tc>
          <w:tcPr>
            <w:tcW w:w="1580" w:type="dxa"/>
            <w:vAlign w:val="bottom"/>
            <w:gridSpan w:val="2"/>
          </w:tcPr>
          <w:p>
            <w:pPr>
              <w:ind w:left="40"/>
              <w:spacing w:after="0"/>
              <w:rPr>
                <w:sz w:val="20"/>
                <w:szCs w:val="20"/>
                <w:color w:val="auto"/>
              </w:rPr>
            </w:pPr>
            <w:r>
              <w:rPr>
                <w:rFonts w:ascii="Arial" w:cs="Arial" w:eastAsia="Arial" w:hAnsi="Arial"/>
                <w:sz w:val="8"/>
                <w:szCs w:val="8"/>
                <w:color w:val="auto"/>
              </w:rPr>
              <w:t>Regency's Pro Rata Weighted Average</w:t>
            </w:r>
          </w:p>
        </w:tc>
        <w:tc>
          <w:tcPr>
            <w:tcW w:w="0" w:type="dxa"/>
            <w:vAlign w:val="bottom"/>
          </w:tcPr>
          <w:p>
            <w:pPr>
              <w:spacing w:after="0"/>
              <w:rPr>
                <w:sz w:val="1"/>
                <w:szCs w:val="1"/>
                <w:color w:val="auto"/>
              </w:rPr>
            </w:pPr>
          </w:p>
        </w:tc>
      </w:tr>
      <w:tr>
        <w:trPr>
          <w:trHeight w:val="100"/>
        </w:trPr>
        <w:tc>
          <w:tcPr>
            <w:tcW w:w="3060" w:type="dxa"/>
            <w:vAlign w:val="bottom"/>
            <w:tcBorders>
              <w:bottom w:val="single" w:sz="8" w:color="auto"/>
            </w:tcBorders>
            <w:gridSpan w:val="7"/>
          </w:tcPr>
          <w:p>
            <w:pPr>
              <w:spacing w:after="0"/>
              <w:rPr>
                <w:sz w:val="20"/>
                <w:szCs w:val="20"/>
                <w:color w:val="auto"/>
              </w:rPr>
            </w:pPr>
            <w:r>
              <w:rPr>
                <w:rFonts w:ascii="Arial" w:cs="Arial" w:eastAsia="Arial" w:hAnsi="Arial"/>
                <w:sz w:val="8"/>
                <w:szCs w:val="8"/>
                <w:color w:val="auto"/>
              </w:rPr>
              <w:t>Schedule of Maturities by Year:</w:t>
            </w:r>
          </w:p>
        </w:tc>
        <w:tc>
          <w:tcPr>
            <w:tcW w:w="160" w:type="dxa"/>
            <w:vAlign w:val="bottom"/>
          </w:tcPr>
          <w:p>
            <w:pPr>
              <w:spacing w:after="0"/>
              <w:rPr>
                <w:sz w:val="8"/>
                <w:szCs w:val="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8"/>
                <w:szCs w:val="8"/>
                <w:color w:val="auto"/>
                <w:highlight w:val="black"/>
              </w:rPr>
              <w:t>Payments</w:t>
            </w:r>
          </w:p>
        </w:tc>
        <w:tc>
          <w:tcPr>
            <w:tcW w:w="120" w:type="dxa"/>
            <w:vAlign w:val="bottom"/>
          </w:tcPr>
          <w:p>
            <w:pPr>
              <w:spacing w:after="0"/>
              <w:rPr>
                <w:sz w:val="8"/>
                <w:szCs w:val="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8"/>
                <w:szCs w:val="8"/>
                <w:color w:val="auto"/>
                <w:highlight w:val="black"/>
              </w:rPr>
              <w:t>Maturities</w:t>
            </w:r>
          </w:p>
        </w:tc>
        <w:tc>
          <w:tcPr>
            <w:tcW w:w="120" w:type="dxa"/>
            <w:vAlign w:val="bottom"/>
          </w:tcPr>
          <w:p>
            <w:pPr>
              <w:spacing w:after="0"/>
              <w:rPr>
                <w:sz w:val="8"/>
                <w:szCs w:val="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Unsecured Maturities</w:t>
            </w:r>
          </w:p>
        </w:tc>
        <w:tc>
          <w:tcPr>
            <w:tcW w:w="140" w:type="dxa"/>
            <w:vAlign w:val="bottom"/>
          </w:tcPr>
          <w:p>
            <w:pPr>
              <w:spacing w:after="0"/>
              <w:rPr>
                <w:sz w:val="8"/>
                <w:szCs w:val="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8"/>
                <w:szCs w:val="8"/>
                <w:color w:val="auto"/>
                <w:highlight w:val="black"/>
              </w:rPr>
              <w:t>Total</w:t>
            </w: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8"/>
                <w:szCs w:val="8"/>
                <w:color w:val="auto"/>
              </w:rPr>
              <w:t>on Maturities</w:t>
            </w: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8"/>
                <w:szCs w:val="8"/>
                <w:color w:val="auto"/>
                <w:highlight w:val="black"/>
              </w:rPr>
              <w:t>Share</w:t>
            </w:r>
          </w:p>
        </w:tc>
        <w:tc>
          <w:tcPr>
            <w:tcW w:w="180" w:type="dxa"/>
            <w:vAlign w:val="bottom"/>
          </w:tcPr>
          <w:p>
            <w:pPr>
              <w:spacing w:after="0"/>
              <w:rPr>
                <w:sz w:val="8"/>
                <w:szCs w:val="8"/>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color w:val="auto"/>
              </w:rPr>
              <w:t>Contractual Interest Rate on Maturities</w:t>
            </w:r>
          </w:p>
        </w:tc>
        <w:tc>
          <w:tcPr>
            <w:tcW w:w="0" w:type="dxa"/>
            <w:vAlign w:val="bottom"/>
          </w:tcPr>
          <w:p>
            <w:pPr>
              <w:spacing w:after="0"/>
              <w:rPr>
                <w:sz w:val="1"/>
                <w:szCs w:val="1"/>
                <w:color w:val="auto"/>
              </w:rPr>
            </w:pPr>
          </w:p>
        </w:tc>
      </w:tr>
      <w:tr>
        <w:trPr>
          <w:trHeight w:val="88"/>
        </w:trPr>
        <w:tc>
          <w:tcPr>
            <w:tcW w:w="1900" w:type="dxa"/>
            <w:vAlign w:val="bottom"/>
            <w:gridSpan w:val="3"/>
          </w:tcPr>
          <w:p>
            <w:pPr>
              <w:jc w:val="center"/>
              <w:ind w:left="1119"/>
              <w:spacing w:after="0" w:line="89" w:lineRule="exact"/>
              <w:rPr>
                <w:sz w:val="20"/>
                <w:szCs w:val="20"/>
                <w:color w:val="auto"/>
              </w:rPr>
            </w:pPr>
            <w:r>
              <w:rPr>
                <w:rFonts w:ascii="Arial" w:cs="Arial" w:eastAsia="Arial" w:hAnsi="Arial"/>
                <w:sz w:val="8"/>
                <w:szCs w:val="8"/>
                <w:color w:val="auto"/>
              </w:rPr>
              <w:t>2026</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jc w:val="right"/>
              <w:spacing w:after="0" w:line="89"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79"/>
              <w:spacing w:after="0" w:line="89" w:lineRule="exact"/>
              <w:rPr>
                <w:sz w:val="20"/>
                <w:szCs w:val="20"/>
                <w:color w:val="auto"/>
              </w:rPr>
            </w:pPr>
            <w:r>
              <w:rPr>
                <w:rFonts w:ascii="Arial" w:cs="Arial" w:eastAsia="Arial" w:hAnsi="Arial"/>
                <w:sz w:val="8"/>
                <w:szCs w:val="8"/>
                <w:color w:val="auto"/>
              </w:rPr>
              <w:t>5,323</w:t>
            </w:r>
          </w:p>
        </w:tc>
        <w:tc>
          <w:tcPr>
            <w:tcW w:w="1180" w:type="dxa"/>
            <w:vAlign w:val="bottom"/>
            <w:gridSpan w:val="2"/>
          </w:tcPr>
          <w:p>
            <w:pPr>
              <w:jc w:val="right"/>
              <w:ind w:right="79"/>
              <w:spacing w:after="0" w:line="89" w:lineRule="exact"/>
              <w:rPr>
                <w:sz w:val="20"/>
                <w:szCs w:val="20"/>
                <w:color w:val="auto"/>
              </w:rPr>
            </w:pPr>
            <w:r>
              <w:rPr>
                <w:rFonts w:ascii="Arial" w:cs="Arial" w:eastAsia="Arial" w:hAnsi="Arial"/>
                <w:sz w:val="8"/>
                <w:szCs w:val="8"/>
                <w:color w:val="auto"/>
              </w:rPr>
              <w:t>171,062</w:t>
            </w:r>
          </w:p>
        </w:tc>
        <w:tc>
          <w:tcPr>
            <w:tcW w:w="1020" w:type="dxa"/>
            <w:vAlign w:val="bottom"/>
            <w:gridSpan w:val="2"/>
          </w:tcPr>
          <w:p>
            <w:pPr>
              <w:jc w:val="right"/>
              <w:ind w:right="59"/>
              <w:spacing w:after="0" w:line="89" w:lineRule="exact"/>
              <w:rPr>
                <w:sz w:val="20"/>
                <w:szCs w:val="20"/>
                <w:color w:val="auto"/>
              </w:rPr>
            </w:pPr>
            <w:r>
              <w:rPr>
                <w:rFonts w:ascii="Arial" w:cs="Arial" w:eastAsia="Arial" w:hAnsi="Arial"/>
                <w:sz w:val="8"/>
                <w:szCs w:val="8"/>
                <w:color w:val="auto"/>
              </w:rPr>
              <w:t>13,000</w:t>
            </w:r>
          </w:p>
        </w:tc>
        <w:tc>
          <w:tcPr>
            <w:tcW w:w="1040" w:type="dxa"/>
            <w:vAlign w:val="bottom"/>
            <w:gridSpan w:val="2"/>
          </w:tcPr>
          <w:p>
            <w:pPr>
              <w:jc w:val="right"/>
              <w:ind w:right="79"/>
              <w:spacing w:after="0" w:line="89" w:lineRule="exact"/>
              <w:rPr>
                <w:sz w:val="20"/>
                <w:szCs w:val="20"/>
                <w:color w:val="auto"/>
              </w:rPr>
            </w:pPr>
            <w:r>
              <w:rPr>
                <w:rFonts w:ascii="Arial" w:cs="Arial" w:eastAsia="Arial" w:hAnsi="Arial"/>
                <w:sz w:val="8"/>
                <w:szCs w:val="8"/>
                <w:color w:val="auto"/>
              </w:rPr>
              <w:t>189,385</w:t>
            </w:r>
          </w:p>
        </w:tc>
        <w:tc>
          <w:tcPr>
            <w:tcW w:w="1100" w:type="dxa"/>
            <w:vAlign w:val="bottom"/>
            <w:gridSpan w:val="4"/>
          </w:tcPr>
          <w:p>
            <w:pPr>
              <w:jc w:val="center"/>
              <w:ind w:left="99"/>
              <w:spacing w:after="0" w:line="89" w:lineRule="exact"/>
              <w:rPr>
                <w:sz w:val="20"/>
                <w:szCs w:val="20"/>
                <w:color w:val="auto"/>
              </w:rPr>
            </w:pPr>
            <w:r>
              <w:rPr>
                <w:rFonts w:ascii="Arial" w:cs="Arial" w:eastAsia="Arial" w:hAnsi="Arial"/>
                <w:sz w:val="8"/>
                <w:szCs w:val="8"/>
                <w:color w:val="auto"/>
              </w:rPr>
              <w:t>5.95%</w:t>
            </w:r>
          </w:p>
        </w:tc>
        <w:tc>
          <w:tcPr>
            <w:tcW w:w="960" w:type="dxa"/>
            <w:vAlign w:val="bottom"/>
            <w:gridSpan w:val="4"/>
          </w:tcPr>
          <w:p>
            <w:pPr>
              <w:jc w:val="right"/>
              <w:ind w:right="20"/>
              <w:spacing w:after="0" w:line="89" w:lineRule="exact"/>
              <w:rPr>
                <w:sz w:val="20"/>
                <w:szCs w:val="20"/>
                <w:color w:val="auto"/>
              </w:rPr>
            </w:pPr>
            <w:r>
              <w:rPr>
                <w:rFonts w:ascii="Arial" w:cs="Arial" w:eastAsia="Arial" w:hAnsi="Arial"/>
                <w:sz w:val="8"/>
                <w:szCs w:val="8"/>
                <w:color w:val="auto"/>
              </w:rPr>
              <w:t>65,063</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9" w:lineRule="exact"/>
              <w:rPr>
                <w:sz w:val="20"/>
                <w:szCs w:val="20"/>
                <w:color w:val="auto"/>
              </w:rPr>
            </w:pPr>
            <w:r>
              <w:rPr>
                <w:rFonts w:ascii="Arial" w:cs="Arial" w:eastAsia="Arial" w:hAnsi="Arial"/>
                <w:sz w:val="8"/>
                <w:szCs w:val="8"/>
                <w:color w:val="auto"/>
              </w:rPr>
              <w:t>5.93%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2027</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7,303</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32,800</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40,103</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2.60%</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13,417</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2.41%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2028</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4,097</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231,235</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235,332</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4.86%</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81,592</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4.98%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2029</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2,855</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104,434</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107,289</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5.00%</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37,157</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5.26%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2030</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2,349</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215,893</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218,242</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3.39%</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77,886</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3.17%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958</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340,600</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341,558</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3.14%</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132,608</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3.13%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2032</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585</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206,534</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207,119</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3.56%</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71,239</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3.38%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2033</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406</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60,000</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60,406</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5.10%</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12,081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5.10%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2034</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210</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37,497</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37,707</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6.11%</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13,941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6.28%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00" w:type="dxa"/>
            <w:vAlign w:val="bottom"/>
            <w:gridSpan w:val="3"/>
          </w:tcPr>
          <w:p>
            <w:pPr>
              <w:jc w:val="center"/>
              <w:ind w:left="1119"/>
              <w:spacing w:after="0"/>
              <w:rPr>
                <w:sz w:val="20"/>
                <w:szCs w:val="20"/>
                <w:color w:val="auto"/>
              </w:rPr>
            </w:pPr>
            <w:r>
              <w:rPr>
                <w:rFonts w:ascii="Arial" w:cs="Arial" w:eastAsia="Arial" w:hAnsi="Arial"/>
                <w:sz w:val="8"/>
                <w:szCs w:val="8"/>
                <w:color w:val="auto"/>
              </w:rPr>
              <w:t>2035</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0.00%</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5"/>
          </w:tcPr>
          <w:p>
            <w:pPr>
              <w:jc w:val="center"/>
              <w:ind w:right="980"/>
              <w:spacing w:after="0"/>
              <w:rPr>
                <w:sz w:val="20"/>
                <w:szCs w:val="20"/>
                <w:color w:val="auto"/>
              </w:rPr>
            </w:pPr>
            <w:r>
              <w:rPr>
                <w:rFonts w:ascii="Arial" w:cs="Arial" w:eastAsia="Arial" w:hAnsi="Arial"/>
                <w:sz w:val="8"/>
                <w:szCs w:val="8"/>
                <w:color w:val="auto"/>
              </w:rPr>
              <w:t>&gt;10 Years</w:t>
            </w:r>
          </w:p>
        </w:tc>
        <w:tc>
          <w:tcPr>
            <w:tcW w:w="160" w:type="dxa"/>
            <w:vAlign w:val="bottom"/>
          </w:tcPr>
          <w:p>
            <w:pPr>
              <w:spacing w:after="0"/>
              <w:rPr>
                <w:sz w:val="8"/>
                <w:szCs w:val="8"/>
                <w:color w:val="auto"/>
              </w:rPr>
            </w:pPr>
          </w:p>
        </w:tc>
        <w:tc>
          <w:tcPr>
            <w:tcW w:w="920" w:type="dxa"/>
            <w:vAlign w:val="bottom"/>
          </w:tcPr>
          <w:p>
            <w:pPr>
              <w:jc w:val="right"/>
              <w:ind w:right="79"/>
              <w:spacing w:after="0"/>
              <w:rPr>
                <w:sz w:val="20"/>
                <w:szCs w:val="20"/>
                <w:color w:val="auto"/>
              </w:rPr>
            </w:pPr>
            <w:r>
              <w:rPr>
                <w:rFonts w:ascii="Arial" w:cs="Arial" w:eastAsia="Arial" w:hAnsi="Arial"/>
                <w:sz w:val="8"/>
                <w:szCs w:val="8"/>
                <w:color w:val="auto"/>
              </w:rPr>
              <w:t>-</w:t>
            </w:r>
          </w:p>
        </w:tc>
        <w:tc>
          <w:tcPr>
            <w:tcW w:w="1180" w:type="dxa"/>
            <w:vAlign w:val="bottom"/>
            <w:gridSpan w:val="2"/>
          </w:tcPr>
          <w:p>
            <w:pPr>
              <w:jc w:val="right"/>
              <w:ind w:right="79"/>
              <w:spacing w:after="0"/>
              <w:rPr>
                <w:sz w:val="20"/>
                <w:szCs w:val="20"/>
                <w:color w:val="auto"/>
              </w:rPr>
            </w:pPr>
            <w:r>
              <w:rPr>
                <w:rFonts w:ascii="Arial" w:cs="Arial" w:eastAsia="Arial" w:hAnsi="Arial"/>
                <w:sz w:val="8"/>
                <w:szCs w:val="8"/>
                <w:color w:val="auto"/>
              </w:rPr>
              <w:t>90,500</w:t>
            </w:r>
          </w:p>
        </w:tc>
        <w:tc>
          <w:tcPr>
            <w:tcW w:w="1020" w:type="dxa"/>
            <w:vAlign w:val="bottom"/>
            <w:gridSpan w:val="2"/>
          </w:tcPr>
          <w:p>
            <w:pPr>
              <w:jc w:val="right"/>
              <w:ind w:right="59"/>
              <w:spacing w:after="0"/>
              <w:rPr>
                <w:sz w:val="20"/>
                <w:szCs w:val="20"/>
                <w:color w:val="auto"/>
              </w:rPr>
            </w:pPr>
            <w:r>
              <w:rPr>
                <w:rFonts w:ascii="Arial" w:cs="Arial" w:eastAsia="Arial" w:hAnsi="Arial"/>
                <w:sz w:val="8"/>
                <w:szCs w:val="8"/>
                <w:color w:val="auto"/>
              </w:rPr>
              <w:t>-</w:t>
            </w:r>
          </w:p>
        </w:tc>
        <w:tc>
          <w:tcPr>
            <w:tcW w:w="1040" w:type="dxa"/>
            <w:vAlign w:val="bottom"/>
            <w:gridSpan w:val="2"/>
          </w:tcPr>
          <w:p>
            <w:pPr>
              <w:jc w:val="right"/>
              <w:ind w:right="79"/>
              <w:spacing w:after="0"/>
              <w:rPr>
                <w:sz w:val="20"/>
                <w:szCs w:val="20"/>
                <w:color w:val="auto"/>
              </w:rPr>
            </w:pPr>
            <w:r>
              <w:rPr>
                <w:rFonts w:ascii="Arial" w:cs="Arial" w:eastAsia="Arial" w:hAnsi="Arial"/>
                <w:sz w:val="8"/>
                <w:szCs w:val="8"/>
                <w:color w:val="auto"/>
              </w:rPr>
              <w:t>90,500</w:t>
            </w:r>
          </w:p>
        </w:tc>
        <w:tc>
          <w:tcPr>
            <w:tcW w:w="1100" w:type="dxa"/>
            <w:vAlign w:val="bottom"/>
            <w:gridSpan w:val="4"/>
          </w:tcPr>
          <w:p>
            <w:pPr>
              <w:jc w:val="center"/>
              <w:ind w:left="99"/>
              <w:spacing w:after="0"/>
              <w:rPr>
                <w:sz w:val="20"/>
                <w:szCs w:val="20"/>
                <w:color w:val="auto"/>
              </w:rPr>
            </w:pPr>
            <w:r>
              <w:rPr>
                <w:rFonts w:ascii="Arial" w:cs="Arial" w:eastAsia="Arial" w:hAnsi="Arial"/>
                <w:sz w:val="8"/>
                <w:szCs w:val="8"/>
                <w:color w:val="auto"/>
              </w:rPr>
              <w:t>5.27%</w:t>
            </w:r>
          </w:p>
        </w:tc>
        <w:tc>
          <w:tcPr>
            <w:tcW w:w="960" w:type="dxa"/>
            <w:vAlign w:val="bottom"/>
            <w:gridSpan w:val="4"/>
          </w:tcPr>
          <w:p>
            <w:pPr>
              <w:jc w:val="right"/>
              <w:ind w:right="20"/>
              <w:spacing w:after="0"/>
              <w:rPr>
                <w:sz w:val="20"/>
                <w:szCs w:val="20"/>
                <w:color w:val="auto"/>
              </w:rPr>
            </w:pPr>
            <w:r>
              <w:rPr>
                <w:rFonts w:ascii="Arial" w:cs="Arial" w:eastAsia="Arial" w:hAnsi="Arial"/>
                <w:sz w:val="8"/>
                <w:szCs w:val="8"/>
                <w:color w:val="auto"/>
              </w:rPr>
              <w:t>36,200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5.27%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060" w:type="dxa"/>
            <w:vAlign w:val="bottom"/>
            <w:gridSpan w:val="7"/>
          </w:tcPr>
          <w:p>
            <w:pPr>
              <w:spacing w:after="0" w:line="100" w:lineRule="exact"/>
              <w:rPr>
                <w:sz w:val="20"/>
                <w:szCs w:val="20"/>
                <w:color w:val="auto"/>
              </w:rPr>
            </w:pPr>
            <w:r>
              <w:rPr>
                <w:rFonts w:ascii="Arial" w:cs="Arial" w:eastAsia="Arial" w:hAnsi="Arial"/>
                <w:sz w:val="8"/>
                <w:szCs w:val="8"/>
                <w:color w:val="auto"/>
              </w:rPr>
              <w:t xml:space="preserve">Unamortized debt premium/(discount) and issuance costs </w:t>
            </w:r>
            <w:r>
              <w:rPr>
                <w:rFonts w:ascii="Arial" w:cs="Arial" w:eastAsia="Arial" w:hAnsi="Arial"/>
                <w:sz w:val="11"/>
                <w:szCs w:val="11"/>
                <w:color w:val="auto"/>
                <w:vertAlign w:val="superscript"/>
              </w:rPr>
              <w:t>(2)</w:t>
            </w:r>
          </w:p>
        </w:tc>
        <w:tc>
          <w:tcPr>
            <w:tcW w:w="160" w:type="dxa"/>
            <w:vAlign w:val="bottom"/>
          </w:tcPr>
          <w:p>
            <w:pPr>
              <w:spacing w:after="0"/>
              <w:rPr>
                <w:sz w:val="8"/>
                <w:szCs w:val="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8"/>
                <w:szCs w:val="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(7,728)</w:t>
            </w:r>
          </w:p>
        </w:tc>
        <w:tc>
          <w:tcPr>
            <w:tcW w:w="120" w:type="dxa"/>
            <w:vAlign w:val="bottom"/>
          </w:tcPr>
          <w:p>
            <w:pPr>
              <w:spacing w:after="0"/>
              <w:rPr>
                <w:sz w:val="8"/>
                <w:szCs w:val="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8"/>
                <w:szCs w:val="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8"/>
                <w:szCs w:val="8"/>
                <w:color w:val="auto"/>
              </w:rPr>
              <w:t>(7,728)</w:t>
            </w: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8"/>
                <w:szCs w:val="8"/>
                <w:color w:val="auto"/>
              </w:rPr>
              <w:t>(2,713)</w:t>
            </w:r>
          </w:p>
        </w:tc>
        <w:tc>
          <w:tcPr>
            <w:tcW w:w="18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jc w:val="right"/>
              <w:spacing w:after="0" w:line="88" w:lineRule="exact"/>
              <w:rPr>
                <w:sz w:val="20"/>
                <w:szCs w:val="20"/>
                <w:color w:val="auto"/>
              </w:rPr>
            </w:pPr>
            <w:r>
              <w:rPr>
                <w:rFonts w:ascii="Arial" w:cs="Arial" w:eastAsia="Arial" w:hAnsi="Arial"/>
                <w:sz w:val="8"/>
                <w:szCs w:val="8"/>
                <w:color w:val="auto"/>
              </w:rPr>
              <w:t>$</w:t>
            </w:r>
          </w:p>
        </w:tc>
        <w:tc>
          <w:tcPr>
            <w:tcW w:w="920" w:type="dxa"/>
            <w:vAlign w:val="bottom"/>
          </w:tcPr>
          <w:p>
            <w:pPr>
              <w:jc w:val="right"/>
              <w:ind w:right="79"/>
              <w:spacing w:after="0" w:line="88" w:lineRule="exact"/>
              <w:rPr>
                <w:sz w:val="20"/>
                <w:szCs w:val="20"/>
                <w:color w:val="auto"/>
              </w:rPr>
            </w:pPr>
            <w:r>
              <w:rPr>
                <w:rFonts w:ascii="Arial" w:cs="Arial" w:eastAsia="Arial" w:hAnsi="Arial"/>
                <w:sz w:val="8"/>
                <w:szCs w:val="8"/>
                <w:color w:val="auto"/>
              </w:rPr>
              <w:t>24,086</w:t>
            </w:r>
          </w:p>
        </w:tc>
        <w:tc>
          <w:tcPr>
            <w:tcW w:w="1180" w:type="dxa"/>
            <w:vAlign w:val="bottom"/>
            <w:gridSpan w:val="2"/>
          </w:tcPr>
          <w:p>
            <w:pPr>
              <w:jc w:val="right"/>
              <w:ind w:right="79"/>
              <w:spacing w:after="0" w:line="88" w:lineRule="exact"/>
              <w:rPr>
                <w:sz w:val="20"/>
                <w:szCs w:val="20"/>
                <w:color w:val="auto"/>
              </w:rPr>
            </w:pPr>
            <w:r>
              <w:rPr>
                <w:rFonts w:ascii="Arial" w:cs="Arial" w:eastAsia="Arial" w:hAnsi="Arial"/>
                <w:sz w:val="8"/>
                <w:szCs w:val="8"/>
                <w:color w:val="auto"/>
              </w:rPr>
              <w:t>1,482,827</w:t>
            </w:r>
          </w:p>
        </w:tc>
        <w:tc>
          <w:tcPr>
            <w:tcW w:w="1020" w:type="dxa"/>
            <w:vAlign w:val="bottom"/>
            <w:gridSpan w:val="2"/>
          </w:tcPr>
          <w:p>
            <w:pPr>
              <w:jc w:val="right"/>
              <w:ind w:right="59"/>
              <w:spacing w:after="0" w:line="88" w:lineRule="exact"/>
              <w:rPr>
                <w:sz w:val="20"/>
                <w:szCs w:val="20"/>
                <w:color w:val="auto"/>
              </w:rPr>
            </w:pPr>
            <w:r>
              <w:rPr>
                <w:rFonts w:ascii="Arial" w:cs="Arial" w:eastAsia="Arial" w:hAnsi="Arial"/>
                <w:sz w:val="8"/>
                <w:szCs w:val="8"/>
                <w:color w:val="auto"/>
              </w:rPr>
              <w:t>13,000</w:t>
            </w:r>
          </w:p>
        </w:tc>
        <w:tc>
          <w:tcPr>
            <w:tcW w:w="1040" w:type="dxa"/>
            <w:vAlign w:val="bottom"/>
            <w:gridSpan w:val="2"/>
          </w:tcPr>
          <w:p>
            <w:pPr>
              <w:jc w:val="right"/>
              <w:ind w:right="79"/>
              <w:spacing w:after="0" w:line="88" w:lineRule="exact"/>
              <w:rPr>
                <w:sz w:val="20"/>
                <w:szCs w:val="20"/>
                <w:color w:val="auto"/>
              </w:rPr>
            </w:pPr>
            <w:r>
              <w:rPr>
                <w:rFonts w:ascii="Arial" w:cs="Arial" w:eastAsia="Arial" w:hAnsi="Arial"/>
                <w:sz w:val="8"/>
                <w:szCs w:val="8"/>
                <w:color w:val="auto"/>
              </w:rPr>
              <w:t>1,519,913</w:t>
            </w:r>
          </w:p>
        </w:tc>
        <w:tc>
          <w:tcPr>
            <w:tcW w:w="1100" w:type="dxa"/>
            <w:vAlign w:val="bottom"/>
            <w:gridSpan w:val="4"/>
          </w:tcPr>
          <w:p>
            <w:pPr>
              <w:jc w:val="center"/>
              <w:ind w:left="99"/>
              <w:spacing w:after="0" w:line="88" w:lineRule="exact"/>
              <w:rPr>
                <w:sz w:val="20"/>
                <w:szCs w:val="20"/>
                <w:color w:val="auto"/>
              </w:rPr>
            </w:pPr>
            <w:r>
              <w:rPr>
                <w:rFonts w:ascii="Arial" w:cs="Arial" w:eastAsia="Arial" w:hAnsi="Arial"/>
                <w:sz w:val="8"/>
                <w:szCs w:val="8"/>
                <w:color w:val="auto"/>
              </w:rPr>
              <w:t>4.24%</w:t>
            </w:r>
          </w:p>
        </w:tc>
        <w:tc>
          <w:tcPr>
            <w:tcW w:w="960" w:type="dxa"/>
            <w:vAlign w:val="bottom"/>
            <w:gridSpan w:val="4"/>
          </w:tcPr>
          <w:p>
            <w:pPr>
              <w:jc w:val="right"/>
              <w:ind w:right="20"/>
              <w:spacing w:after="0" w:line="88" w:lineRule="exact"/>
              <w:rPr>
                <w:sz w:val="20"/>
                <w:szCs w:val="20"/>
                <w:color w:val="auto"/>
              </w:rPr>
            </w:pPr>
            <w:r>
              <w:rPr>
                <w:rFonts w:ascii="Arial" w:cs="Arial" w:eastAsia="Arial" w:hAnsi="Arial"/>
                <w:sz w:val="8"/>
                <w:szCs w:val="8"/>
                <w:color w:val="auto"/>
              </w:rPr>
              <w:t>538,471</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8" w:lineRule="exact"/>
              <w:rPr>
                <w:sz w:val="20"/>
                <w:szCs w:val="20"/>
                <w:color w:val="auto"/>
              </w:rPr>
            </w:pPr>
            <w:r>
              <w:rPr>
                <w:rFonts w:ascii="Arial" w:cs="Arial" w:eastAsia="Arial" w:hAnsi="Arial"/>
                <w:sz w:val="8"/>
                <w:szCs w:val="8"/>
                <w:color w:val="auto"/>
              </w:rPr>
              <w:t>4.18%</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shd w:val="clear" w:color="auto" w:fill="00000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9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Percentage of Total Debt: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58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8"/>
                <w:szCs w:val="8"/>
                <w:color w:val="auto"/>
                <w:highlight w:val="black"/>
              </w:rPr>
              <w:t>3/31/2026</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Borders>
              <w:bottom w:val="single" w:sz="8" w:color="auto"/>
            </w:tcBorders>
          </w:tcPr>
          <w:p>
            <w:pPr>
              <w:jc w:val="center"/>
              <w:ind w:left="19"/>
              <w:spacing w:after="0"/>
              <w:rPr>
                <w:sz w:val="20"/>
                <w:szCs w:val="20"/>
                <w:color w:val="auto"/>
              </w:rPr>
            </w:pPr>
            <w:r>
              <w:rPr>
                <w:rFonts w:ascii="Arial" w:cs="Arial" w:eastAsia="Arial" w:hAnsi="Arial"/>
                <w:sz w:val="8"/>
                <w:szCs w:val="8"/>
                <w:color w:val="auto"/>
                <w:highlight w:val="black"/>
              </w:rPr>
              <w:t>12/31/2025</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3060" w:type="dxa"/>
            <w:vAlign w:val="bottom"/>
            <w:gridSpan w:val="7"/>
          </w:tcPr>
          <w:p>
            <w:pPr>
              <w:ind w:left="180"/>
              <w:spacing w:after="0" w:line="88" w:lineRule="exact"/>
              <w:rPr>
                <w:sz w:val="20"/>
                <w:szCs w:val="20"/>
                <w:color w:val="auto"/>
              </w:rPr>
            </w:pPr>
            <w:r>
              <w:rPr>
                <w:rFonts w:ascii="Arial" w:cs="Arial" w:eastAsia="Arial" w:hAnsi="Arial"/>
                <w:sz w:val="8"/>
                <w:szCs w:val="8"/>
                <w:color w:val="auto"/>
              </w:rPr>
              <w:t>Fixed</w:t>
            </w: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3"/>
          </w:tcPr>
          <w:p>
            <w:pPr>
              <w:jc w:val="center"/>
              <w:ind w:right="579"/>
              <w:spacing w:after="0" w:line="88" w:lineRule="exact"/>
              <w:rPr>
                <w:sz w:val="20"/>
                <w:szCs w:val="20"/>
                <w:color w:val="auto"/>
              </w:rPr>
            </w:pPr>
            <w:r>
              <w:rPr>
                <w:rFonts w:ascii="Arial" w:cs="Arial" w:eastAsia="Arial" w:hAnsi="Arial"/>
                <w:sz w:val="8"/>
                <w:szCs w:val="8"/>
                <w:color w:val="auto"/>
              </w:rPr>
              <w:t>95.0%</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8" w:lineRule="exact"/>
              <w:rPr>
                <w:sz w:val="20"/>
                <w:szCs w:val="20"/>
                <w:color w:val="auto"/>
              </w:rPr>
            </w:pPr>
            <w:r>
              <w:rPr>
                <w:rFonts w:ascii="Arial" w:cs="Arial" w:eastAsia="Arial" w:hAnsi="Arial"/>
                <w:sz w:val="8"/>
                <w:szCs w:val="8"/>
                <w:color w:val="auto"/>
              </w:rPr>
              <w:t>94.7%</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60" w:type="dxa"/>
            <w:vAlign w:val="bottom"/>
            <w:gridSpan w:val="7"/>
          </w:tcPr>
          <w:p>
            <w:pPr>
              <w:ind w:left="180"/>
              <w:spacing w:after="0"/>
              <w:rPr>
                <w:sz w:val="20"/>
                <w:szCs w:val="20"/>
                <w:color w:val="auto"/>
              </w:rPr>
            </w:pPr>
            <w:r>
              <w:rPr>
                <w:rFonts w:ascii="Arial" w:cs="Arial" w:eastAsia="Arial" w:hAnsi="Arial"/>
                <w:sz w:val="8"/>
                <w:szCs w:val="8"/>
                <w:color w:val="auto"/>
              </w:rPr>
              <w:t>Variable</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center"/>
              <w:ind w:right="579"/>
              <w:spacing w:after="0"/>
              <w:rPr>
                <w:sz w:val="20"/>
                <w:szCs w:val="20"/>
                <w:color w:val="auto"/>
              </w:rPr>
            </w:pPr>
            <w:r>
              <w:rPr>
                <w:rFonts w:ascii="Arial" w:cs="Arial" w:eastAsia="Arial" w:hAnsi="Arial"/>
                <w:sz w:val="8"/>
                <w:szCs w:val="8"/>
                <w:color w:val="auto"/>
              </w:rPr>
              <w:t>5.0%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5.3%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8"/>
                <w:szCs w:val="8"/>
                <w:color w:val="auto"/>
              </w:rPr>
              <w:t>Current Weighted Average Contractual Interest Rates: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highlight w:val="black"/>
                <w:w w:val="80"/>
              </w:rPr>
              <w:t>(1)</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3060" w:type="dxa"/>
            <w:vAlign w:val="bottom"/>
            <w:gridSpan w:val="7"/>
          </w:tcPr>
          <w:p>
            <w:pPr>
              <w:ind w:left="180"/>
              <w:spacing w:after="0" w:line="88" w:lineRule="exact"/>
              <w:rPr>
                <w:sz w:val="20"/>
                <w:szCs w:val="20"/>
                <w:color w:val="auto"/>
              </w:rPr>
            </w:pPr>
            <w:r>
              <w:rPr>
                <w:rFonts w:ascii="Arial" w:cs="Arial" w:eastAsia="Arial" w:hAnsi="Arial"/>
                <w:sz w:val="8"/>
                <w:szCs w:val="8"/>
                <w:color w:val="auto"/>
              </w:rPr>
              <w:t>Fixed</w:t>
            </w: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3"/>
          </w:tcPr>
          <w:p>
            <w:pPr>
              <w:jc w:val="center"/>
              <w:ind w:right="579"/>
              <w:spacing w:after="0" w:line="88" w:lineRule="exact"/>
              <w:rPr>
                <w:sz w:val="20"/>
                <w:szCs w:val="20"/>
                <w:color w:val="auto"/>
              </w:rPr>
            </w:pPr>
            <w:r>
              <w:rPr>
                <w:rFonts w:ascii="Arial" w:cs="Arial" w:eastAsia="Arial" w:hAnsi="Arial"/>
                <w:sz w:val="8"/>
                <w:szCs w:val="8"/>
                <w:color w:val="auto"/>
              </w:rPr>
              <w:t>4.1%</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8" w:lineRule="exact"/>
              <w:rPr>
                <w:sz w:val="20"/>
                <w:szCs w:val="20"/>
                <w:color w:val="auto"/>
              </w:rPr>
            </w:pPr>
            <w:r>
              <w:rPr>
                <w:rFonts w:ascii="Arial" w:cs="Arial" w:eastAsia="Arial" w:hAnsi="Arial"/>
                <w:sz w:val="8"/>
                <w:szCs w:val="8"/>
                <w:color w:val="auto"/>
              </w:rPr>
              <w:t>4.0%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60" w:type="dxa"/>
            <w:vAlign w:val="bottom"/>
            <w:gridSpan w:val="7"/>
          </w:tcPr>
          <w:p>
            <w:pPr>
              <w:ind w:left="180"/>
              <w:spacing w:after="0"/>
              <w:rPr>
                <w:sz w:val="20"/>
                <w:szCs w:val="20"/>
                <w:color w:val="auto"/>
              </w:rPr>
            </w:pPr>
            <w:r>
              <w:rPr>
                <w:rFonts w:ascii="Arial" w:cs="Arial" w:eastAsia="Arial" w:hAnsi="Arial"/>
                <w:sz w:val="8"/>
                <w:szCs w:val="8"/>
                <w:color w:val="auto"/>
              </w:rPr>
              <w:t>Variable</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center"/>
              <w:ind w:right="579"/>
              <w:spacing w:after="0"/>
              <w:rPr>
                <w:sz w:val="20"/>
                <w:szCs w:val="20"/>
                <w:color w:val="auto"/>
              </w:rPr>
            </w:pPr>
            <w:r>
              <w:rPr>
                <w:rFonts w:ascii="Arial" w:cs="Arial" w:eastAsia="Arial" w:hAnsi="Arial"/>
                <w:sz w:val="8"/>
                <w:szCs w:val="8"/>
                <w:color w:val="auto"/>
              </w:rPr>
              <w:t>6.0%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6.1%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60" w:type="dxa"/>
            <w:vAlign w:val="bottom"/>
            <w:gridSpan w:val="7"/>
          </w:tcPr>
          <w:p>
            <w:pPr>
              <w:ind w:left="180"/>
              <w:spacing w:after="0"/>
              <w:rPr>
                <w:sz w:val="20"/>
                <w:szCs w:val="20"/>
                <w:color w:val="auto"/>
              </w:rPr>
            </w:pPr>
            <w:r>
              <w:rPr>
                <w:rFonts w:ascii="Arial" w:cs="Arial" w:eastAsia="Arial" w:hAnsi="Arial"/>
                <w:sz w:val="8"/>
                <w:szCs w:val="8"/>
                <w:color w:val="auto"/>
              </w:rPr>
              <w:t>Combined</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center"/>
              <w:ind w:right="579"/>
              <w:spacing w:after="0"/>
              <w:rPr>
                <w:sz w:val="20"/>
                <w:szCs w:val="20"/>
                <w:color w:val="auto"/>
              </w:rPr>
            </w:pPr>
            <w:r>
              <w:rPr>
                <w:rFonts w:ascii="Arial" w:cs="Arial" w:eastAsia="Arial" w:hAnsi="Arial"/>
                <w:sz w:val="8"/>
                <w:szCs w:val="8"/>
                <w:color w:val="auto"/>
              </w:rPr>
              <w:t>4.2%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4.2%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900" w:type="dxa"/>
            <w:vAlign w:val="bottom"/>
            <w:gridSpan w:val="3"/>
            <w:vMerge w:val="restart"/>
          </w:tcPr>
          <w:p>
            <w:pPr>
              <w:spacing w:after="0"/>
              <w:rPr>
                <w:sz w:val="20"/>
                <w:szCs w:val="20"/>
                <w:color w:val="auto"/>
              </w:rPr>
            </w:pPr>
            <w:r>
              <w:rPr>
                <w:rFonts w:ascii="Arial" w:cs="Arial" w:eastAsia="Arial" w:hAnsi="Arial"/>
                <w:sz w:val="8"/>
                <w:szCs w:val="8"/>
                <w:color w:val="auto"/>
              </w:rPr>
              <w:t>Current Weighted Average Effective Interest Rates: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6"/>
                <w:szCs w:val="6"/>
                <w:color w:val="auto"/>
                <w:highlight w:val="black"/>
                <w:w w:val="81"/>
              </w:rPr>
              <w:t>(2)</w:t>
            </w:r>
          </w:p>
        </w:tc>
        <w:tc>
          <w:tcPr>
            <w:tcW w:w="1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00" w:type="dxa"/>
            <w:vAlign w:val="bottom"/>
            <w:tcBorders>
              <w:bottom w:val="single" w:sz="8" w:color="auto"/>
            </w:tcBorders>
            <w:gridSpan w:val="3"/>
            <w:vMerge w:val="continu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3060" w:type="dxa"/>
            <w:vAlign w:val="bottom"/>
            <w:gridSpan w:val="7"/>
          </w:tcPr>
          <w:p>
            <w:pPr>
              <w:ind w:left="180"/>
              <w:spacing w:after="0" w:line="84" w:lineRule="exact"/>
              <w:rPr>
                <w:sz w:val="20"/>
                <w:szCs w:val="20"/>
                <w:color w:val="auto"/>
              </w:rPr>
            </w:pPr>
            <w:r>
              <w:rPr>
                <w:rFonts w:ascii="Arial" w:cs="Arial" w:eastAsia="Arial" w:hAnsi="Arial"/>
                <w:sz w:val="8"/>
                <w:szCs w:val="8"/>
                <w:color w:val="auto"/>
              </w:rPr>
              <w:t>Combined</w:t>
            </w: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3"/>
          </w:tcPr>
          <w:p>
            <w:pPr>
              <w:jc w:val="center"/>
              <w:ind w:right="579"/>
              <w:spacing w:after="0" w:line="84" w:lineRule="exact"/>
              <w:rPr>
                <w:sz w:val="20"/>
                <w:szCs w:val="20"/>
                <w:color w:val="auto"/>
              </w:rPr>
            </w:pPr>
            <w:r>
              <w:rPr>
                <w:rFonts w:ascii="Arial" w:cs="Arial" w:eastAsia="Arial" w:hAnsi="Arial"/>
                <w:sz w:val="8"/>
                <w:szCs w:val="8"/>
                <w:color w:val="auto"/>
              </w:rPr>
              <w:t>4.4%</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4" w:lineRule="exact"/>
              <w:rPr>
                <w:sz w:val="20"/>
                <w:szCs w:val="20"/>
                <w:color w:val="auto"/>
              </w:rPr>
            </w:pPr>
            <w:r>
              <w:rPr>
                <w:rFonts w:ascii="Arial" w:cs="Arial" w:eastAsia="Arial" w:hAnsi="Arial"/>
                <w:sz w:val="8"/>
                <w:szCs w:val="8"/>
                <w:color w:val="auto"/>
              </w:rPr>
              <w:t>4.3%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rPr>
              <w:t>Average Years to Maturity:</w:t>
            </w:r>
          </w:p>
        </w:tc>
        <w:tc>
          <w:tcPr>
            <w:tcW w:w="1000" w:type="dxa"/>
            <w:vAlign w:val="bottom"/>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3060" w:type="dxa"/>
            <w:vAlign w:val="bottom"/>
            <w:gridSpan w:val="7"/>
          </w:tcPr>
          <w:p>
            <w:pPr>
              <w:ind w:left="180"/>
              <w:spacing w:after="0" w:line="88" w:lineRule="exact"/>
              <w:rPr>
                <w:sz w:val="20"/>
                <w:szCs w:val="20"/>
                <w:color w:val="auto"/>
              </w:rPr>
            </w:pPr>
            <w:r>
              <w:rPr>
                <w:rFonts w:ascii="Arial" w:cs="Arial" w:eastAsia="Arial" w:hAnsi="Arial"/>
                <w:sz w:val="8"/>
                <w:szCs w:val="8"/>
                <w:color w:val="auto"/>
              </w:rPr>
              <w:t>Fixed</w:t>
            </w: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3"/>
          </w:tcPr>
          <w:p>
            <w:pPr>
              <w:jc w:val="center"/>
              <w:ind w:right="579"/>
              <w:spacing w:after="0" w:line="88" w:lineRule="exact"/>
              <w:rPr>
                <w:sz w:val="20"/>
                <w:szCs w:val="20"/>
                <w:color w:val="auto"/>
              </w:rPr>
            </w:pPr>
            <w:r>
              <w:rPr>
                <w:rFonts w:ascii="Arial" w:cs="Arial" w:eastAsia="Arial" w:hAnsi="Arial"/>
                <w:sz w:val="8"/>
                <w:szCs w:val="8"/>
                <w:color w:val="auto"/>
              </w:rPr>
              <w:t>4.5</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jc w:val="center"/>
              <w:ind w:left="19"/>
              <w:spacing w:after="0" w:line="88" w:lineRule="exact"/>
              <w:rPr>
                <w:sz w:val="20"/>
                <w:szCs w:val="20"/>
                <w:color w:val="auto"/>
              </w:rPr>
            </w:pPr>
            <w:r>
              <w:rPr>
                <w:rFonts w:ascii="Arial" w:cs="Arial" w:eastAsia="Arial" w:hAnsi="Arial"/>
                <w:sz w:val="8"/>
                <w:szCs w:val="8"/>
                <w:color w:val="auto"/>
              </w:rPr>
              <w:t>4.2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60" w:type="dxa"/>
            <w:vAlign w:val="bottom"/>
            <w:gridSpan w:val="7"/>
          </w:tcPr>
          <w:p>
            <w:pPr>
              <w:ind w:left="180"/>
              <w:spacing w:after="0"/>
              <w:rPr>
                <w:sz w:val="20"/>
                <w:szCs w:val="20"/>
                <w:color w:val="auto"/>
              </w:rPr>
            </w:pPr>
            <w:r>
              <w:rPr>
                <w:rFonts w:ascii="Arial" w:cs="Arial" w:eastAsia="Arial" w:hAnsi="Arial"/>
                <w:sz w:val="8"/>
                <w:szCs w:val="8"/>
                <w:color w:val="auto"/>
              </w:rPr>
              <w:t>Variable</w:t>
            </w: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3"/>
          </w:tcPr>
          <w:p>
            <w:pPr>
              <w:jc w:val="center"/>
              <w:ind w:right="579"/>
              <w:spacing w:after="0"/>
              <w:rPr>
                <w:sz w:val="20"/>
                <w:szCs w:val="20"/>
                <w:color w:val="auto"/>
              </w:rPr>
            </w:pPr>
            <w:r>
              <w:rPr>
                <w:rFonts w:ascii="Arial" w:cs="Arial" w:eastAsia="Arial" w:hAnsi="Arial"/>
                <w:sz w:val="8"/>
                <w:szCs w:val="8"/>
                <w:color w:val="auto"/>
              </w:rPr>
              <w:t>0.7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jc w:val="center"/>
              <w:ind w:left="19"/>
              <w:spacing w:after="0"/>
              <w:rPr>
                <w:sz w:val="20"/>
                <w:szCs w:val="20"/>
                <w:color w:val="auto"/>
              </w:rPr>
            </w:pPr>
            <w:r>
              <w:rPr>
                <w:rFonts w:ascii="Arial" w:cs="Arial" w:eastAsia="Arial" w:hAnsi="Arial"/>
                <w:sz w:val="8"/>
                <w:szCs w:val="8"/>
                <w:color w:val="auto"/>
              </w:rPr>
              <w:t>0.9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-2011045</wp:posOffset>
            </wp:positionV>
            <wp:extent cx="331470" cy="67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1470" cy="67945"/>
                    </a:xfrm>
                    <a:prstGeom prst="rect">
                      <a:avLst/>
                    </a:prstGeom>
                    <a:noFill/>
                  </pic:spPr>
                </pic:pic>
              </a:graphicData>
            </a:graphic>
          </wp:anchor>
        </w:drawing>
      </w:r>
    </w:p>
    <w:p>
      <w:pPr>
        <w:spacing w:after="0" w:line="197" w:lineRule="exact"/>
        <w:rPr>
          <w:sz w:val="20"/>
          <w:szCs w:val="20"/>
          <w:color w:val="auto"/>
        </w:rPr>
      </w:pPr>
    </w:p>
    <w:p>
      <w:pPr>
        <w:ind w:left="308" w:hanging="308"/>
        <w:spacing w:after="0"/>
        <w:tabs>
          <w:tab w:leader="none" w:pos="308" w:val="left"/>
        </w:tabs>
        <w:numPr>
          <w:ilvl w:val="0"/>
          <w:numId w:val="44"/>
        </w:numPr>
        <w:rPr>
          <w:rFonts w:ascii="Arial" w:cs="Arial" w:eastAsia="Arial" w:hAnsi="Arial"/>
          <w:sz w:val="11"/>
          <w:szCs w:val="11"/>
          <w:color w:val="auto"/>
          <w:vertAlign w:val="superscript"/>
        </w:rPr>
      </w:pPr>
      <w:r>
        <w:rPr>
          <w:rFonts w:ascii="Arial" w:cs="Arial" w:eastAsia="Arial" w:hAnsi="Arial"/>
          <w:sz w:val="8"/>
          <w:szCs w:val="8"/>
          <w:color w:val="auto"/>
        </w:rPr>
        <w:t>Interest rates are calculated as of the quarter end.</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4"/>
        </w:numPr>
        <w:rPr>
          <w:rFonts w:ascii="Arial" w:cs="Arial" w:eastAsia="Arial" w:hAnsi="Arial"/>
          <w:sz w:val="9"/>
          <w:szCs w:val="9"/>
          <w:color w:val="auto"/>
          <w:vertAlign w:val="superscript"/>
        </w:rPr>
      </w:pPr>
      <w:r>
        <w:rPr>
          <w:rFonts w:ascii="Arial" w:cs="Arial" w:eastAsia="Arial" w:hAnsi="Arial"/>
          <w:sz w:val="7"/>
          <w:szCs w:val="7"/>
          <w:color w:val="auto"/>
        </w:rPr>
        <w:t>Effective interest rates are calculated in accordance with US GAAP, as of the quarter end, and include the impact of debt premium/(discount) amortization, issuance cost, amortization, interest rate swaps, and facility and unused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635</wp:posOffset>
            </wp:positionV>
            <wp:extent cx="281305" cy="149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97" w:lineRule="exact"/>
        <w:rPr>
          <w:sz w:val="20"/>
          <w:szCs w:val="20"/>
          <w:color w:val="auto"/>
        </w:rPr>
      </w:pPr>
    </w:p>
    <w:p>
      <w:pPr>
        <w:ind w:left="10208"/>
        <w:spacing w:after="0"/>
        <w:tabs>
          <w:tab w:leader="none" w:pos="1110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2"/>
          <w:szCs w:val="12"/>
          <w:color w:val="auto"/>
          <w:highlight w:val="black"/>
        </w:rPr>
        <w:t xml:space="preserve">Unconsolidated </w:t>
      </w:r>
      <w:r>
        <w:rPr>
          <w:rFonts w:ascii="Arial" w:cs="Arial" w:eastAsia="Arial" w:hAnsi="Arial"/>
          <w:sz w:val="12"/>
          <w:szCs w:val="12"/>
          <w:color w:val="auto"/>
        </w:rPr>
        <w:t>Real Estate Partnerships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highlight w:val="black"/>
              </w:rPr>
              <w:t>Regency</w:t>
            </w:r>
          </w:p>
        </w:tc>
        <w:tc>
          <w:tcPr>
            <w:tcW w:w="1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right w:val="single" w:sz="8" w:color="auto"/>
            </w:tcBorders>
          </w:tcPr>
          <w:p>
            <w:pPr>
              <w:spacing w:after="0"/>
              <w:rPr>
                <w:sz w:val="11"/>
                <w:szCs w:val="11"/>
                <w:color w:val="auto"/>
              </w:rPr>
            </w:pPr>
          </w:p>
        </w:tc>
      </w:tr>
      <w:tr>
        <w:trPr>
          <w:trHeight w:val="108"/>
        </w:trPr>
        <w:tc>
          <w:tcPr>
            <w:tcW w:w="2880" w:type="dxa"/>
            <w:vAlign w:val="bottom"/>
            <w:gridSpan w:val="2"/>
          </w:tcPr>
          <w:p>
            <w:pPr>
              <w:spacing w:after="0"/>
              <w:rPr>
                <w:sz w:val="20"/>
                <w:szCs w:val="20"/>
                <w:color w:val="auto"/>
              </w:rPr>
            </w:pPr>
            <w:r>
              <w:rPr>
                <w:rFonts w:ascii="Arial" w:cs="Arial" w:eastAsia="Arial" w:hAnsi="Arial"/>
                <w:sz w:val="9"/>
                <w:szCs w:val="9"/>
                <w:color w:val="auto"/>
              </w:rPr>
              <w:t>Investment Partner and</w:t>
            </w:r>
          </w:p>
        </w:tc>
        <w:tc>
          <w:tcPr>
            <w:tcW w:w="1040" w:type="dxa"/>
            <w:vAlign w:val="bottom"/>
            <w:gridSpan w:val="3"/>
          </w:tcPr>
          <w:p>
            <w:pPr>
              <w:ind w:left="280"/>
              <w:spacing w:after="0"/>
              <w:rPr>
                <w:sz w:val="20"/>
                <w:szCs w:val="20"/>
                <w:color w:val="auto"/>
              </w:rPr>
            </w:pPr>
            <w:r>
              <w:rPr>
                <w:rFonts w:ascii="Arial" w:cs="Arial" w:eastAsia="Arial" w:hAnsi="Arial"/>
                <w:sz w:val="9"/>
                <w:szCs w:val="9"/>
                <w:color w:val="auto"/>
                <w:highlight w:val="black"/>
              </w:rPr>
              <w:t>Number of</w:t>
            </w:r>
          </w:p>
        </w:tc>
        <w:tc>
          <w:tcPr>
            <w:tcW w:w="900" w:type="dxa"/>
            <w:vAlign w:val="bottom"/>
            <w:gridSpan w:val="3"/>
          </w:tcPr>
          <w:p>
            <w:pPr>
              <w:jc w:val="center"/>
              <w:spacing w:after="0"/>
              <w:rPr>
                <w:sz w:val="20"/>
                <w:szCs w:val="20"/>
                <w:color w:val="auto"/>
              </w:rPr>
            </w:pPr>
            <w:r>
              <w:rPr>
                <w:rFonts w:ascii="Arial" w:cs="Arial" w:eastAsia="Arial" w:hAnsi="Arial"/>
                <w:sz w:val="9"/>
                <w:szCs w:val="9"/>
                <w:color w:val="auto"/>
                <w:highlight w:val="black"/>
              </w:rPr>
              <w:t>Total</w:t>
            </w:r>
          </w:p>
        </w:tc>
        <w:tc>
          <w:tcPr>
            <w:tcW w:w="420" w:type="dxa"/>
            <w:vAlign w:val="bottom"/>
          </w:tcPr>
          <w:p>
            <w:pPr>
              <w:spacing w:after="0"/>
              <w:rPr>
                <w:sz w:val="9"/>
                <w:szCs w:val="9"/>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9"/>
                <w:szCs w:val="9"/>
                <w:color w:val="auto"/>
                <w:highlight w:val="black"/>
              </w:rPr>
              <w:t>Total</w:t>
            </w:r>
          </w:p>
        </w:tc>
        <w:tc>
          <w:tcPr>
            <w:tcW w:w="1140" w:type="dxa"/>
            <w:vAlign w:val="bottom"/>
            <w:gridSpan w:val="4"/>
          </w:tcPr>
          <w:p>
            <w:pPr>
              <w:ind w:left="400"/>
              <w:spacing w:after="0"/>
              <w:rPr>
                <w:sz w:val="20"/>
                <w:szCs w:val="20"/>
                <w:color w:val="auto"/>
              </w:rPr>
            </w:pPr>
            <w:r>
              <w:rPr>
                <w:rFonts w:ascii="Arial" w:cs="Arial" w:eastAsia="Arial" w:hAnsi="Arial"/>
                <w:sz w:val="9"/>
                <w:szCs w:val="9"/>
                <w:color w:val="auto"/>
                <w:highlight w:val="black"/>
              </w:rPr>
              <w:t>Total</w:t>
            </w: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highlight w:val="black"/>
              </w:rPr>
              <w:t>Ownership</w:t>
            </w:r>
          </w:p>
        </w:tc>
        <w:tc>
          <w:tcPr>
            <w:tcW w:w="340" w:type="dxa"/>
            <w:vAlign w:val="bottom"/>
          </w:tcPr>
          <w:p>
            <w:pPr>
              <w:spacing w:after="0"/>
              <w:rPr>
                <w:sz w:val="9"/>
                <w:szCs w:val="9"/>
                <w:color w:val="auto"/>
              </w:rPr>
            </w:pPr>
          </w:p>
        </w:tc>
        <w:tc>
          <w:tcPr>
            <w:tcW w:w="800" w:type="dxa"/>
            <w:vAlign w:val="bottom"/>
            <w:gridSpan w:val="2"/>
          </w:tcPr>
          <w:p>
            <w:pPr>
              <w:jc w:val="center"/>
              <w:ind w:right="433"/>
              <w:spacing w:after="0"/>
              <w:rPr>
                <w:sz w:val="20"/>
                <w:szCs w:val="20"/>
                <w:color w:val="auto"/>
              </w:rPr>
            </w:pPr>
            <w:r>
              <w:rPr>
                <w:rFonts w:ascii="Arial" w:cs="Arial" w:eastAsia="Arial" w:hAnsi="Arial"/>
                <w:sz w:val="9"/>
                <w:szCs w:val="9"/>
                <w:color w:val="auto"/>
                <w:highlight w:val="black"/>
                <w:w w:val="99"/>
              </w:rPr>
              <w:t>Share</w:t>
            </w:r>
          </w:p>
        </w:tc>
        <w:tc>
          <w:tcPr>
            <w:tcW w:w="880" w:type="dxa"/>
            <w:vAlign w:val="bottom"/>
            <w:gridSpan w:val="3"/>
          </w:tcPr>
          <w:p>
            <w:pPr>
              <w:ind w:left="120"/>
              <w:spacing w:after="0"/>
              <w:rPr>
                <w:sz w:val="20"/>
                <w:szCs w:val="20"/>
                <w:color w:val="auto"/>
              </w:rPr>
            </w:pPr>
            <w:r>
              <w:rPr>
                <w:rFonts w:ascii="Arial" w:cs="Arial" w:eastAsia="Arial" w:hAnsi="Arial"/>
                <w:sz w:val="9"/>
                <w:szCs w:val="9"/>
                <w:color w:val="auto"/>
                <w:highlight w:val="black"/>
              </w:rPr>
              <w:t>Investment</w:t>
            </w:r>
          </w:p>
        </w:tc>
        <w:tc>
          <w:tcPr>
            <w:tcW w:w="28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9"/>
                <w:szCs w:val="9"/>
                <w:color w:val="auto"/>
                <w:highlight w:val="black"/>
              </w:rPr>
              <w:t>Equity</w:t>
            </w:r>
          </w:p>
        </w:tc>
      </w:tr>
      <w:tr>
        <w:trPr>
          <w:trHeight w:val="107"/>
        </w:trPr>
        <w:tc>
          <w:tcPr>
            <w:tcW w:w="1340" w:type="dxa"/>
            <w:vAlign w:val="bottom"/>
            <w:tcBorders>
              <w:bottom w:val="single" w:sz="8" w:color="auto"/>
            </w:tcBorders>
          </w:tcPr>
          <w:p>
            <w:pPr>
              <w:spacing w:after="0" w:line="87" w:lineRule="exact"/>
              <w:rPr>
                <w:sz w:val="20"/>
                <w:szCs w:val="20"/>
                <w:color w:val="auto"/>
              </w:rPr>
            </w:pPr>
            <w:r>
              <w:rPr>
                <w:rFonts w:ascii="Arial" w:cs="Arial" w:eastAsia="Arial" w:hAnsi="Arial"/>
                <w:sz w:val="9"/>
                <w:szCs w:val="9"/>
                <w:color w:val="auto"/>
              </w:rPr>
              <w:t>Portfolio Summary Abbreviation</w:t>
            </w: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line="87" w:lineRule="exact"/>
              <w:rPr>
                <w:sz w:val="20"/>
                <w:szCs w:val="20"/>
                <w:color w:val="auto"/>
              </w:rPr>
            </w:pPr>
            <w:r>
              <w:rPr>
                <w:rFonts w:ascii="Arial" w:cs="Arial" w:eastAsia="Arial" w:hAnsi="Arial"/>
                <w:sz w:val="9"/>
                <w:szCs w:val="9"/>
                <w:color w:val="auto"/>
                <w:highlight w:val="black"/>
              </w:rPr>
              <w:t>Properties</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highlight w:val="black"/>
                <w:w w:val="99"/>
              </w:rPr>
              <w:t>GLA</w:t>
            </w: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highlight w:val="black"/>
                <w:w w:val="96"/>
              </w:rPr>
              <w:t>Assets</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line="87" w:lineRule="exact"/>
              <w:rPr>
                <w:sz w:val="20"/>
                <w:szCs w:val="20"/>
                <w:color w:val="auto"/>
              </w:rPr>
            </w:pPr>
            <w:r>
              <w:rPr>
                <w:rFonts w:ascii="Arial" w:cs="Arial" w:eastAsia="Arial" w:hAnsi="Arial"/>
                <w:sz w:val="9"/>
                <w:szCs w:val="9"/>
                <w:color w:val="auto"/>
                <w:highlight w:val="black"/>
                <w:w w:val="94"/>
              </w:rPr>
              <w:t>Debt</w:t>
            </w:r>
          </w:p>
        </w:tc>
        <w:tc>
          <w:tcPr>
            <w:tcW w:w="54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highlight w:val="black"/>
              </w:rPr>
              <w:t>Interest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rPr>
              <w:t>of Debt</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highlight w:val="black"/>
              </w:rPr>
              <w:t>3/31/2026</w:t>
            </w: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auto"/>
            </w:tcBorders>
          </w:tcPr>
          <w:p>
            <w:pPr>
              <w:jc w:val="center"/>
              <w:spacing w:after="0" w:line="87" w:lineRule="exact"/>
              <w:rPr>
                <w:sz w:val="20"/>
                <w:szCs w:val="20"/>
                <w:color w:val="auto"/>
              </w:rPr>
            </w:pPr>
            <w:r>
              <w:rPr>
                <w:rFonts w:ascii="Arial" w:cs="Arial" w:eastAsia="Arial" w:hAnsi="Arial"/>
                <w:sz w:val="9"/>
                <w:szCs w:val="9"/>
                <w:color w:val="auto"/>
              </w:rPr>
              <w:t>in Income</w:t>
            </w:r>
          </w:p>
        </w:tc>
        <w:tc>
          <w:tcPr>
            <w:tcW w:w="300" w:type="dxa"/>
            <w:vAlign w:val="bottom"/>
          </w:tcPr>
          <w:p>
            <w:pPr>
              <w:spacing w:after="0"/>
              <w:rPr>
                <w:sz w:val="9"/>
                <w:szCs w:val="9"/>
                <w:color w:val="auto"/>
              </w:rPr>
            </w:pPr>
          </w:p>
        </w:tc>
      </w:tr>
      <w:tr>
        <w:trPr>
          <w:trHeight w:val="226"/>
        </w:trPr>
        <w:tc>
          <w:tcPr>
            <w:tcW w:w="2880" w:type="dxa"/>
            <w:vAlign w:val="bottom"/>
            <w:gridSpan w:val="2"/>
          </w:tcPr>
          <w:p>
            <w:pPr>
              <w:spacing w:after="0"/>
              <w:rPr>
                <w:sz w:val="20"/>
                <w:szCs w:val="20"/>
                <w:color w:val="auto"/>
              </w:rPr>
            </w:pPr>
            <w:r>
              <w:rPr>
                <w:rFonts w:ascii="Arial" w:cs="Arial" w:eastAsia="Arial" w:hAnsi="Arial"/>
                <w:sz w:val="9"/>
                <w:szCs w:val="9"/>
                <w:color w:val="auto"/>
                <w:highlight w:val="black"/>
              </w:rPr>
              <w:t>State of Oregon</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18"/>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(JV-C2)</w:t>
            </w: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rPr>
              <w:t>23</w:t>
            </w:r>
          </w:p>
        </w:tc>
        <w:tc>
          <w:tcPr>
            <w:tcW w:w="3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color w:val="auto"/>
              </w:rPr>
              <w:t>2,649</w:t>
            </w:r>
          </w:p>
        </w:tc>
        <w:tc>
          <w:tcPr>
            <w:tcW w:w="1040" w:type="dxa"/>
            <w:vAlign w:val="bottom"/>
            <w:gridSpan w:val="3"/>
          </w:tcPr>
          <w:p>
            <w:pPr>
              <w:jc w:val="center"/>
              <w:spacing w:after="0"/>
              <w:rPr>
                <w:sz w:val="20"/>
                <w:szCs w:val="20"/>
                <w:color w:val="auto"/>
              </w:rPr>
            </w:pPr>
            <w:r>
              <w:rPr>
                <w:rFonts w:ascii="Arial" w:cs="Arial" w:eastAsia="Arial" w:hAnsi="Arial"/>
                <w:sz w:val="9"/>
                <w:szCs w:val="9"/>
                <w:color w:val="auto"/>
              </w:rPr>
              <w:t>$640,186</w:t>
            </w:r>
          </w:p>
        </w:tc>
        <w:tc>
          <w:tcPr>
            <w:tcW w:w="1000" w:type="dxa"/>
            <w:vAlign w:val="bottom"/>
            <w:gridSpan w:val="3"/>
          </w:tcPr>
          <w:p>
            <w:pPr>
              <w:jc w:val="center"/>
              <w:spacing w:after="0"/>
              <w:rPr>
                <w:sz w:val="20"/>
                <w:szCs w:val="20"/>
                <w:color w:val="auto"/>
              </w:rPr>
            </w:pPr>
            <w:r>
              <w:rPr>
                <w:rFonts w:ascii="Arial" w:cs="Arial" w:eastAsia="Arial" w:hAnsi="Arial"/>
                <w:sz w:val="9"/>
                <w:szCs w:val="9"/>
                <w:color w:val="auto"/>
              </w:rPr>
              <w:t>$311,508</w:t>
            </w:r>
          </w:p>
        </w:tc>
        <w:tc>
          <w:tcPr>
            <w:tcW w:w="140" w:type="dxa"/>
            <w:vAlign w:val="bottom"/>
          </w:tcPr>
          <w:p>
            <w:pPr>
              <w:spacing w:after="0"/>
              <w:rPr>
                <w:sz w:val="10"/>
                <w:szCs w:val="1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20.00%</w:t>
            </w:r>
          </w:p>
        </w:tc>
        <w:tc>
          <w:tcPr>
            <w:tcW w:w="1140" w:type="dxa"/>
            <w:vAlign w:val="bottom"/>
            <w:gridSpan w:val="3"/>
          </w:tcPr>
          <w:p>
            <w:pPr>
              <w:jc w:val="center"/>
              <w:ind w:right="93"/>
              <w:spacing w:after="0"/>
              <w:rPr>
                <w:sz w:val="20"/>
                <w:szCs w:val="20"/>
                <w:color w:val="auto"/>
              </w:rPr>
            </w:pPr>
            <w:r>
              <w:rPr>
                <w:rFonts w:ascii="Arial" w:cs="Arial" w:eastAsia="Arial" w:hAnsi="Arial"/>
                <w:sz w:val="9"/>
                <w:szCs w:val="9"/>
                <w:color w:val="auto"/>
              </w:rPr>
              <w:t>$62,302</w:t>
            </w:r>
          </w:p>
        </w:tc>
        <w:tc>
          <w:tcPr>
            <w:tcW w:w="580" w:type="dxa"/>
            <w:vAlign w:val="bottom"/>
            <w:gridSpan w:val="2"/>
          </w:tcPr>
          <w:p>
            <w:pPr>
              <w:jc w:val="center"/>
              <w:ind w:left="113"/>
              <w:spacing w:after="0"/>
              <w:rPr>
                <w:sz w:val="20"/>
                <w:szCs w:val="20"/>
                <w:color w:val="auto"/>
              </w:rPr>
            </w:pPr>
            <w:r>
              <w:rPr>
                <w:rFonts w:ascii="Arial" w:cs="Arial" w:eastAsia="Arial" w:hAnsi="Arial"/>
                <w:sz w:val="9"/>
                <w:szCs w:val="9"/>
                <w:color w:val="auto"/>
              </w:rPr>
              <w:t>$58,578</w:t>
            </w:r>
          </w:p>
        </w:tc>
        <w:tc>
          <w:tcPr>
            <w:tcW w:w="300" w:type="dxa"/>
            <w:vAlign w:val="bottom"/>
          </w:tcPr>
          <w:p>
            <w:pPr>
              <w:spacing w:after="0"/>
              <w:rPr>
                <w:sz w:val="10"/>
                <w:szCs w:val="10"/>
                <w:color w:val="auto"/>
              </w:rPr>
            </w:pPr>
          </w:p>
        </w:tc>
        <w:tc>
          <w:tcPr>
            <w:tcW w:w="700" w:type="dxa"/>
            <w:vAlign w:val="bottom"/>
            <w:gridSpan w:val="2"/>
          </w:tcPr>
          <w:p>
            <w:pPr>
              <w:jc w:val="center"/>
              <w:ind w:left="233"/>
              <w:spacing w:after="0"/>
              <w:rPr>
                <w:sz w:val="20"/>
                <w:szCs w:val="20"/>
                <w:color w:val="auto"/>
              </w:rPr>
            </w:pPr>
            <w:r>
              <w:rPr>
                <w:rFonts w:ascii="Arial" w:cs="Arial" w:eastAsia="Arial" w:hAnsi="Arial"/>
                <w:sz w:val="9"/>
                <w:szCs w:val="9"/>
                <w:color w:val="auto"/>
              </w:rPr>
              <w:t>$1,128</w:t>
            </w:r>
          </w:p>
        </w:tc>
        <w:tc>
          <w:tcPr>
            <w:tcW w:w="300" w:type="dxa"/>
            <w:vAlign w:val="bottom"/>
          </w:tcPr>
          <w:p>
            <w:pPr>
              <w:spacing w:after="0"/>
              <w:rPr>
                <w:sz w:val="10"/>
                <w:szCs w:val="10"/>
                <w:color w:val="auto"/>
              </w:rPr>
            </w:pPr>
          </w:p>
        </w:tc>
      </w:tr>
      <w:tr>
        <w:trPr>
          <w:trHeight w:val="116"/>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(JV-CCV)</w:t>
            </w:r>
          </w:p>
        </w:tc>
        <w:tc>
          <w:tcPr>
            <w:tcW w:w="720" w:type="dxa"/>
            <w:vAlign w:val="bottom"/>
            <w:tcBorders>
              <w:bottom w:val="single" w:sz="8" w:color="auto"/>
            </w:tcBorders>
            <w:gridSpan w:val="2"/>
          </w:tcPr>
          <w:p>
            <w:pPr>
              <w:jc w:val="center"/>
              <w:ind w:left="233"/>
              <w:spacing w:after="0" w:line="96" w:lineRule="exact"/>
              <w:rPr>
                <w:sz w:val="20"/>
                <w:szCs w:val="20"/>
                <w:color w:val="auto"/>
              </w:rPr>
            </w:pPr>
            <w:r>
              <w:rPr>
                <w:rFonts w:ascii="Arial" w:cs="Arial" w:eastAsia="Arial" w:hAnsi="Arial"/>
                <w:sz w:val="9"/>
                <w:szCs w:val="9"/>
                <w:color w:val="auto"/>
                <w:w w:val="78"/>
              </w:rPr>
              <w:t>1</w:t>
            </w:r>
          </w:p>
        </w:tc>
        <w:tc>
          <w:tcPr>
            <w:tcW w:w="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center"/>
              <w:ind w:left="333"/>
              <w:spacing w:after="0" w:line="96" w:lineRule="exact"/>
              <w:rPr>
                <w:sz w:val="20"/>
                <w:szCs w:val="20"/>
                <w:color w:val="auto"/>
              </w:rPr>
            </w:pPr>
            <w:r>
              <w:rPr>
                <w:rFonts w:ascii="Arial" w:cs="Arial" w:eastAsia="Arial" w:hAnsi="Arial"/>
                <w:sz w:val="9"/>
                <w:szCs w:val="9"/>
                <w:color w:val="auto"/>
              </w:rPr>
              <w:t>603</w:t>
            </w: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center"/>
              <w:ind w:left="13"/>
              <w:spacing w:after="0" w:line="96" w:lineRule="exact"/>
              <w:rPr>
                <w:sz w:val="20"/>
                <w:szCs w:val="20"/>
                <w:color w:val="auto"/>
              </w:rPr>
            </w:pPr>
            <w:r>
              <w:rPr>
                <w:rFonts w:ascii="Arial" w:cs="Arial" w:eastAsia="Arial" w:hAnsi="Arial"/>
                <w:sz w:val="9"/>
                <w:szCs w:val="9"/>
                <w:color w:val="auto"/>
              </w:rPr>
              <w:t>96,972</w:t>
            </w:r>
          </w:p>
        </w:tc>
        <w:tc>
          <w:tcPr>
            <w:tcW w:w="1000" w:type="dxa"/>
            <w:vAlign w:val="bottom"/>
            <w:tcBorders>
              <w:bottom w:val="single" w:sz="8" w:color="auto"/>
            </w:tcBorders>
            <w:gridSpan w:val="3"/>
          </w:tcPr>
          <w:p>
            <w:pPr>
              <w:jc w:val="center"/>
              <w:spacing w:after="0" w:line="96" w:lineRule="exact"/>
              <w:rPr>
                <w:sz w:val="20"/>
                <w:szCs w:val="20"/>
                <w:color w:val="auto"/>
              </w:rPr>
            </w:pPr>
            <w:r>
              <w:rPr>
                <w:rFonts w:ascii="Arial" w:cs="Arial" w:eastAsia="Arial" w:hAnsi="Arial"/>
                <w:sz w:val="9"/>
                <w:szCs w:val="9"/>
                <w:color w:val="auto"/>
              </w:rPr>
              <w:t>74,861</w:t>
            </w:r>
          </w:p>
        </w:tc>
        <w:tc>
          <w:tcPr>
            <w:tcW w:w="140" w:type="dxa"/>
            <w:vAlign w:val="bottom"/>
          </w:tcPr>
          <w:p>
            <w:pPr>
              <w:spacing w:after="0"/>
              <w:rPr>
                <w:sz w:val="10"/>
                <w:szCs w:val="1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30.00%</w:t>
            </w:r>
          </w:p>
        </w:tc>
        <w:tc>
          <w:tcPr>
            <w:tcW w:w="660" w:type="dxa"/>
            <w:vAlign w:val="bottom"/>
            <w:gridSpan w:val="2"/>
          </w:tcPr>
          <w:p>
            <w:pPr>
              <w:jc w:val="center"/>
              <w:ind w:left="293"/>
              <w:spacing w:after="0"/>
              <w:rPr>
                <w:sz w:val="20"/>
                <w:szCs w:val="20"/>
                <w:color w:val="auto"/>
              </w:rPr>
            </w:pPr>
            <w:r>
              <w:rPr>
                <w:rFonts w:ascii="Arial" w:cs="Arial" w:eastAsia="Arial" w:hAnsi="Arial"/>
                <w:sz w:val="9"/>
                <w:szCs w:val="9"/>
                <w:color w:val="auto"/>
              </w:rPr>
              <w:t>22,458</w:t>
            </w:r>
          </w:p>
        </w:tc>
        <w:tc>
          <w:tcPr>
            <w:tcW w:w="480" w:type="dxa"/>
            <w:vAlign w:val="bottom"/>
          </w:tcPr>
          <w:p>
            <w:pPr>
              <w:spacing w:after="0"/>
              <w:rPr>
                <w:sz w:val="10"/>
                <w:szCs w:val="10"/>
                <w:color w:val="auto"/>
              </w:rPr>
            </w:pPr>
          </w:p>
        </w:tc>
        <w:tc>
          <w:tcPr>
            <w:tcW w:w="580" w:type="dxa"/>
            <w:vAlign w:val="bottom"/>
            <w:gridSpan w:val="2"/>
          </w:tcPr>
          <w:p>
            <w:pPr>
              <w:jc w:val="center"/>
              <w:ind w:left="93"/>
              <w:spacing w:after="0"/>
              <w:rPr>
                <w:sz w:val="20"/>
                <w:szCs w:val="20"/>
                <w:color w:val="auto"/>
              </w:rPr>
            </w:pPr>
            <w:r>
              <w:rPr>
                <w:rFonts w:ascii="Arial" w:cs="Arial" w:eastAsia="Arial" w:hAnsi="Arial"/>
                <w:sz w:val="9"/>
                <w:szCs w:val="9"/>
                <w:color w:val="auto"/>
              </w:rPr>
              <w:t>6,213</w:t>
            </w:r>
          </w:p>
        </w:tc>
        <w:tc>
          <w:tcPr>
            <w:tcW w:w="300" w:type="dxa"/>
            <w:vAlign w:val="bottom"/>
          </w:tcPr>
          <w:p>
            <w:pPr>
              <w:spacing w:after="0"/>
              <w:rPr>
                <w:sz w:val="10"/>
                <w:szCs w:val="10"/>
                <w:color w:val="auto"/>
              </w:rPr>
            </w:pPr>
          </w:p>
        </w:tc>
        <w:tc>
          <w:tcPr>
            <w:tcW w:w="700" w:type="dxa"/>
            <w:vAlign w:val="bottom"/>
            <w:gridSpan w:val="2"/>
          </w:tcPr>
          <w:p>
            <w:pPr>
              <w:jc w:val="center"/>
              <w:ind w:left="233"/>
              <w:spacing w:after="0"/>
              <w:rPr>
                <w:sz w:val="20"/>
                <w:szCs w:val="20"/>
                <w:color w:val="auto"/>
              </w:rPr>
            </w:pPr>
            <w:r>
              <w:rPr>
                <w:rFonts w:ascii="Arial" w:cs="Arial" w:eastAsia="Arial" w:hAnsi="Arial"/>
                <w:sz w:val="9"/>
                <w:szCs w:val="9"/>
                <w:color w:val="auto"/>
                <w:w w:val="92"/>
              </w:rPr>
              <w:t>654</w:t>
            </w:r>
          </w:p>
        </w:tc>
        <w:tc>
          <w:tcPr>
            <w:tcW w:w="300" w:type="dxa"/>
            <w:vAlign w:val="bottom"/>
          </w:tcPr>
          <w:p>
            <w:pPr>
              <w:spacing w:after="0"/>
              <w:rPr>
                <w:sz w:val="10"/>
                <w:szCs w:val="10"/>
                <w:color w:val="auto"/>
              </w:rPr>
            </w:pPr>
          </w:p>
        </w:tc>
      </w:tr>
      <w:tr>
        <w:trPr>
          <w:trHeight w:val="108"/>
        </w:trPr>
        <w:tc>
          <w:tcPr>
            <w:tcW w:w="1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rPr>
              <w:t>24</w:t>
            </w:r>
          </w:p>
        </w:tc>
        <w:tc>
          <w:tcPr>
            <w:tcW w:w="320" w:type="dxa"/>
            <w:vAlign w:val="bottom"/>
          </w:tcPr>
          <w:p>
            <w:pPr>
              <w:spacing w:after="0"/>
              <w:rPr>
                <w:sz w:val="9"/>
                <w:szCs w:val="9"/>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color w:val="auto"/>
              </w:rPr>
              <w:t>3,252</w:t>
            </w:r>
          </w:p>
        </w:tc>
        <w:tc>
          <w:tcPr>
            <w:tcW w:w="1040" w:type="dxa"/>
            <w:vAlign w:val="bottom"/>
            <w:gridSpan w:val="3"/>
          </w:tcPr>
          <w:p>
            <w:pPr>
              <w:jc w:val="center"/>
              <w:ind w:left="13"/>
              <w:spacing w:after="0"/>
              <w:rPr>
                <w:sz w:val="20"/>
                <w:szCs w:val="20"/>
                <w:color w:val="auto"/>
              </w:rPr>
            </w:pPr>
            <w:r>
              <w:rPr>
                <w:rFonts w:ascii="Arial" w:cs="Arial" w:eastAsia="Arial" w:hAnsi="Arial"/>
                <w:sz w:val="9"/>
                <w:szCs w:val="9"/>
                <w:color w:val="auto"/>
              </w:rPr>
              <w:t>737,158</w:t>
            </w:r>
          </w:p>
        </w:tc>
        <w:tc>
          <w:tcPr>
            <w:tcW w:w="1000" w:type="dxa"/>
            <w:vAlign w:val="bottom"/>
            <w:gridSpan w:val="3"/>
          </w:tcPr>
          <w:p>
            <w:pPr>
              <w:jc w:val="center"/>
              <w:spacing w:after="0"/>
              <w:rPr>
                <w:sz w:val="20"/>
                <w:szCs w:val="20"/>
                <w:color w:val="auto"/>
              </w:rPr>
            </w:pPr>
            <w:r>
              <w:rPr>
                <w:rFonts w:ascii="Arial" w:cs="Arial" w:eastAsia="Arial" w:hAnsi="Arial"/>
                <w:sz w:val="9"/>
                <w:szCs w:val="9"/>
                <w:color w:val="auto"/>
              </w:rPr>
              <w:t>386,369</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118"/>
        </w:trPr>
        <w:tc>
          <w:tcPr>
            <w:tcW w:w="2880" w:type="dxa"/>
            <w:vAlign w:val="bottom"/>
            <w:gridSpan w:val="2"/>
          </w:tcPr>
          <w:p>
            <w:pPr>
              <w:spacing w:after="0"/>
              <w:rPr>
                <w:sz w:val="20"/>
                <w:szCs w:val="20"/>
                <w:color w:val="auto"/>
              </w:rPr>
            </w:pPr>
            <w:r>
              <w:rPr>
                <w:rFonts w:ascii="Arial" w:cs="Arial" w:eastAsia="Arial" w:hAnsi="Arial"/>
                <w:sz w:val="9"/>
                <w:szCs w:val="9"/>
                <w:color w:val="auto"/>
                <w:highlight w:val="black"/>
              </w:rPr>
              <w:t>GRI</w:t>
            </w: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60"/>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 xml:space="preserve">(JV-GRI) </w:t>
            </w:r>
            <w:r>
              <w:rPr>
                <w:rFonts w:ascii="Arial" w:cs="Arial" w:eastAsia="Arial" w:hAnsi="Arial"/>
                <w:sz w:val="12"/>
                <w:szCs w:val="12"/>
                <w:color w:val="auto"/>
                <w:vertAlign w:val="superscript"/>
              </w:rPr>
              <w:t>(1)</w:t>
            </w: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rPr>
              <w:t>54</w:t>
            </w:r>
          </w:p>
        </w:tc>
        <w:tc>
          <w:tcPr>
            <w:tcW w:w="32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color w:val="auto"/>
              </w:rPr>
              <w:t>7,568</w:t>
            </w:r>
          </w:p>
        </w:tc>
        <w:tc>
          <w:tcPr>
            <w:tcW w:w="1040" w:type="dxa"/>
            <w:vAlign w:val="bottom"/>
            <w:gridSpan w:val="3"/>
          </w:tcPr>
          <w:p>
            <w:pPr>
              <w:jc w:val="center"/>
              <w:ind w:left="13"/>
              <w:spacing w:after="0"/>
              <w:rPr>
                <w:sz w:val="20"/>
                <w:szCs w:val="20"/>
                <w:color w:val="auto"/>
              </w:rPr>
            </w:pPr>
            <w:r>
              <w:rPr>
                <w:rFonts w:ascii="Arial" w:cs="Arial" w:eastAsia="Arial" w:hAnsi="Arial"/>
                <w:sz w:val="9"/>
                <w:szCs w:val="9"/>
                <w:color w:val="auto"/>
              </w:rPr>
              <w:t>1,321,701</w:t>
            </w:r>
          </w:p>
        </w:tc>
        <w:tc>
          <w:tcPr>
            <w:tcW w:w="1000" w:type="dxa"/>
            <w:vAlign w:val="bottom"/>
            <w:gridSpan w:val="3"/>
          </w:tcPr>
          <w:p>
            <w:pPr>
              <w:jc w:val="center"/>
              <w:spacing w:after="0"/>
              <w:rPr>
                <w:sz w:val="20"/>
                <w:szCs w:val="20"/>
                <w:color w:val="auto"/>
              </w:rPr>
            </w:pPr>
            <w:r>
              <w:rPr>
                <w:rFonts w:ascii="Arial" w:cs="Arial" w:eastAsia="Arial" w:hAnsi="Arial"/>
                <w:sz w:val="9"/>
                <w:szCs w:val="9"/>
                <w:color w:val="auto"/>
              </w:rPr>
              <w:t>878,140</w:t>
            </w:r>
          </w:p>
        </w:tc>
        <w:tc>
          <w:tcPr>
            <w:tcW w:w="140" w:type="dxa"/>
            <w:vAlign w:val="bottom"/>
          </w:tcPr>
          <w:p>
            <w:pPr>
              <w:spacing w:after="0"/>
              <w:rPr>
                <w:sz w:val="13"/>
                <w:szCs w:val="13"/>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40.00%</w:t>
            </w:r>
          </w:p>
        </w:tc>
        <w:tc>
          <w:tcPr>
            <w:tcW w:w="1140" w:type="dxa"/>
            <w:vAlign w:val="bottom"/>
            <w:gridSpan w:val="3"/>
          </w:tcPr>
          <w:p>
            <w:pPr>
              <w:jc w:val="center"/>
              <w:ind w:right="93"/>
              <w:spacing w:after="0"/>
              <w:rPr>
                <w:sz w:val="20"/>
                <w:szCs w:val="20"/>
                <w:color w:val="auto"/>
              </w:rPr>
            </w:pPr>
            <w:r>
              <w:rPr>
                <w:rFonts w:ascii="Arial" w:cs="Arial" w:eastAsia="Arial" w:hAnsi="Arial"/>
                <w:sz w:val="9"/>
                <w:szCs w:val="9"/>
                <w:color w:val="auto"/>
              </w:rPr>
              <w:t>351,256</w:t>
            </w:r>
          </w:p>
        </w:tc>
        <w:tc>
          <w:tcPr>
            <w:tcW w:w="580" w:type="dxa"/>
            <w:vAlign w:val="bottom"/>
            <w:gridSpan w:val="2"/>
          </w:tcPr>
          <w:p>
            <w:pPr>
              <w:jc w:val="center"/>
              <w:ind w:left="113"/>
              <w:spacing w:after="0"/>
              <w:rPr>
                <w:sz w:val="20"/>
                <w:szCs w:val="20"/>
                <w:color w:val="auto"/>
              </w:rPr>
            </w:pPr>
            <w:r>
              <w:rPr>
                <w:rFonts w:ascii="Arial" w:cs="Arial" w:eastAsia="Arial" w:hAnsi="Arial"/>
                <w:sz w:val="9"/>
                <w:szCs w:val="9"/>
                <w:color w:val="auto"/>
              </w:rPr>
              <w:t>114,334</w:t>
            </w:r>
          </w:p>
        </w:tc>
        <w:tc>
          <w:tcPr>
            <w:tcW w:w="300" w:type="dxa"/>
            <w:vAlign w:val="bottom"/>
          </w:tcPr>
          <w:p>
            <w:pPr>
              <w:spacing w:after="0"/>
              <w:rPr>
                <w:sz w:val="13"/>
                <w:szCs w:val="13"/>
                <w:color w:val="auto"/>
              </w:rPr>
            </w:pPr>
          </w:p>
        </w:tc>
        <w:tc>
          <w:tcPr>
            <w:tcW w:w="700" w:type="dxa"/>
            <w:vAlign w:val="bottom"/>
            <w:gridSpan w:val="2"/>
          </w:tcPr>
          <w:p>
            <w:pPr>
              <w:jc w:val="center"/>
              <w:ind w:left="233"/>
              <w:spacing w:after="0"/>
              <w:rPr>
                <w:sz w:val="20"/>
                <w:szCs w:val="20"/>
                <w:color w:val="auto"/>
              </w:rPr>
            </w:pPr>
            <w:r>
              <w:rPr>
                <w:rFonts w:ascii="Arial" w:cs="Arial" w:eastAsia="Arial" w:hAnsi="Arial"/>
                <w:sz w:val="9"/>
                <w:szCs w:val="9"/>
                <w:color w:val="auto"/>
              </w:rPr>
              <w:t>12,481</w:t>
            </w:r>
          </w:p>
        </w:tc>
        <w:tc>
          <w:tcPr>
            <w:tcW w:w="300" w:type="dxa"/>
            <w:vAlign w:val="bottom"/>
          </w:tcPr>
          <w:p>
            <w:pPr>
              <w:spacing w:after="0"/>
              <w:rPr>
                <w:sz w:val="13"/>
                <w:szCs w:val="13"/>
                <w:color w:val="auto"/>
              </w:rPr>
            </w:pPr>
          </w:p>
        </w:tc>
      </w:tr>
      <w:tr>
        <w:trPr>
          <w:trHeight w:val="192"/>
        </w:trPr>
        <w:tc>
          <w:tcPr>
            <w:tcW w:w="2880" w:type="dxa"/>
            <w:vAlign w:val="bottom"/>
            <w:gridSpan w:val="2"/>
          </w:tcPr>
          <w:p>
            <w:pPr>
              <w:spacing w:after="0"/>
              <w:rPr>
                <w:sz w:val="20"/>
                <w:szCs w:val="20"/>
                <w:color w:val="auto"/>
              </w:rPr>
            </w:pPr>
            <w:r>
              <w:rPr>
                <w:rFonts w:ascii="Arial" w:cs="Arial" w:eastAsia="Arial" w:hAnsi="Arial"/>
                <w:sz w:val="9"/>
                <w:szCs w:val="9"/>
                <w:color w:val="auto"/>
                <w:highlight w:val="black"/>
              </w:rPr>
              <w:t>Individual Investors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18"/>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Ballard Blocks</w:t>
            </w: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w w:val="78"/>
              </w:rPr>
              <w:t>2</w:t>
            </w:r>
          </w:p>
        </w:tc>
        <w:tc>
          <w:tcPr>
            <w:tcW w:w="320" w:type="dxa"/>
            <w:vAlign w:val="bottom"/>
          </w:tcPr>
          <w:p>
            <w:pPr>
              <w:spacing w:after="0"/>
              <w:rPr>
                <w:sz w:val="10"/>
                <w:szCs w:val="10"/>
                <w:color w:val="auto"/>
              </w:rPr>
            </w:pPr>
          </w:p>
        </w:tc>
        <w:tc>
          <w:tcPr>
            <w:tcW w:w="540" w:type="dxa"/>
            <w:vAlign w:val="bottom"/>
            <w:gridSpan w:val="2"/>
          </w:tcPr>
          <w:p>
            <w:pPr>
              <w:jc w:val="center"/>
              <w:ind w:left="333"/>
              <w:spacing w:after="0"/>
              <w:rPr>
                <w:sz w:val="20"/>
                <w:szCs w:val="20"/>
                <w:color w:val="auto"/>
              </w:rPr>
            </w:pPr>
            <w:r>
              <w:rPr>
                <w:rFonts w:ascii="Arial" w:cs="Arial" w:eastAsia="Arial" w:hAnsi="Arial"/>
                <w:sz w:val="9"/>
                <w:szCs w:val="9"/>
                <w:color w:val="auto"/>
              </w:rPr>
              <w:t>249</w:t>
            </w:r>
          </w:p>
        </w:tc>
        <w:tc>
          <w:tcPr>
            <w:tcW w:w="360" w:type="dxa"/>
            <w:vAlign w:val="bottom"/>
          </w:tcPr>
          <w:p>
            <w:pPr>
              <w:spacing w:after="0"/>
              <w:rPr>
                <w:sz w:val="10"/>
                <w:szCs w:val="10"/>
                <w:color w:val="auto"/>
              </w:rPr>
            </w:pPr>
          </w:p>
        </w:tc>
        <w:tc>
          <w:tcPr>
            <w:tcW w:w="1040" w:type="dxa"/>
            <w:vAlign w:val="bottom"/>
            <w:gridSpan w:val="3"/>
          </w:tcPr>
          <w:p>
            <w:pPr>
              <w:jc w:val="center"/>
              <w:ind w:left="13"/>
              <w:spacing w:after="0"/>
              <w:rPr>
                <w:sz w:val="20"/>
                <w:szCs w:val="20"/>
                <w:color w:val="auto"/>
              </w:rPr>
            </w:pPr>
            <w:r>
              <w:rPr>
                <w:rFonts w:ascii="Arial" w:cs="Arial" w:eastAsia="Arial" w:hAnsi="Arial"/>
                <w:sz w:val="9"/>
                <w:szCs w:val="9"/>
                <w:color w:val="auto"/>
              </w:rPr>
              <w:t>111,692</w:t>
            </w:r>
          </w:p>
        </w:tc>
        <w:tc>
          <w:tcPr>
            <w:tcW w:w="600" w:type="dxa"/>
            <w:vAlign w:val="bottom"/>
            <w:gridSpan w:val="2"/>
          </w:tcPr>
          <w:p>
            <w:pPr>
              <w:jc w:val="center"/>
              <w:ind w:left="353"/>
              <w:spacing w:after="0"/>
              <w:rPr>
                <w:sz w:val="20"/>
                <w:szCs w:val="20"/>
                <w:color w:val="auto"/>
              </w:rPr>
            </w:pPr>
            <w:r>
              <w:rPr>
                <w:rFonts w:ascii="Arial" w:cs="Arial" w:eastAsia="Arial" w:hAnsi="Arial"/>
                <w:sz w:val="9"/>
                <w:szCs w:val="9"/>
                <w:color w:val="auto"/>
              </w:rPr>
              <w:t>-</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49.90%</w:t>
            </w:r>
          </w:p>
        </w:tc>
        <w:tc>
          <w:tcPr>
            <w:tcW w:w="660" w:type="dxa"/>
            <w:vAlign w:val="bottom"/>
            <w:gridSpan w:val="2"/>
          </w:tcPr>
          <w:p>
            <w:pPr>
              <w:jc w:val="center"/>
              <w:ind w:left="293"/>
              <w:spacing w:after="0"/>
              <w:rPr>
                <w:sz w:val="20"/>
                <w:szCs w:val="20"/>
                <w:color w:val="auto"/>
              </w:rPr>
            </w:pPr>
            <w:r>
              <w:rPr>
                <w:rFonts w:ascii="Arial" w:cs="Arial" w:eastAsia="Arial" w:hAnsi="Arial"/>
                <w:sz w:val="9"/>
                <w:szCs w:val="9"/>
                <w:color w:val="auto"/>
              </w:rPr>
              <w:t>-</w:t>
            </w:r>
          </w:p>
        </w:tc>
        <w:tc>
          <w:tcPr>
            <w:tcW w:w="480" w:type="dxa"/>
            <w:vAlign w:val="bottom"/>
          </w:tcPr>
          <w:p>
            <w:pPr>
              <w:spacing w:after="0"/>
              <w:rPr>
                <w:sz w:val="10"/>
                <w:szCs w:val="10"/>
                <w:color w:val="auto"/>
              </w:rPr>
            </w:pPr>
          </w:p>
        </w:tc>
        <w:tc>
          <w:tcPr>
            <w:tcW w:w="580" w:type="dxa"/>
            <w:vAlign w:val="bottom"/>
            <w:gridSpan w:val="2"/>
          </w:tcPr>
          <w:p>
            <w:pPr>
              <w:jc w:val="center"/>
              <w:ind w:left="113"/>
              <w:spacing w:after="0"/>
              <w:rPr>
                <w:sz w:val="20"/>
                <w:szCs w:val="20"/>
                <w:color w:val="auto"/>
              </w:rPr>
            </w:pPr>
            <w:r>
              <w:rPr>
                <w:rFonts w:ascii="Arial" w:cs="Arial" w:eastAsia="Arial" w:hAnsi="Arial"/>
                <w:sz w:val="9"/>
                <w:szCs w:val="9"/>
                <w:color w:val="auto"/>
              </w:rPr>
              <w:t>57,543</w:t>
            </w:r>
          </w:p>
        </w:tc>
        <w:tc>
          <w:tcPr>
            <w:tcW w:w="300" w:type="dxa"/>
            <w:vAlign w:val="bottom"/>
          </w:tcPr>
          <w:p>
            <w:pPr>
              <w:spacing w:after="0"/>
              <w:rPr>
                <w:sz w:val="10"/>
                <w:szCs w:val="10"/>
                <w:color w:val="auto"/>
              </w:rPr>
            </w:pPr>
          </w:p>
        </w:tc>
        <w:tc>
          <w:tcPr>
            <w:tcW w:w="700" w:type="dxa"/>
            <w:vAlign w:val="bottom"/>
            <w:gridSpan w:val="2"/>
          </w:tcPr>
          <w:p>
            <w:pPr>
              <w:jc w:val="center"/>
              <w:ind w:left="233"/>
              <w:spacing w:after="0"/>
              <w:rPr>
                <w:sz w:val="20"/>
                <w:szCs w:val="20"/>
                <w:color w:val="auto"/>
              </w:rPr>
            </w:pPr>
            <w:r>
              <w:rPr>
                <w:rFonts w:ascii="Arial" w:cs="Arial" w:eastAsia="Arial" w:hAnsi="Arial"/>
                <w:sz w:val="9"/>
                <w:szCs w:val="9"/>
                <w:color w:val="auto"/>
                <w:w w:val="92"/>
              </w:rPr>
              <w:t>311</w:t>
            </w:r>
          </w:p>
        </w:tc>
        <w:tc>
          <w:tcPr>
            <w:tcW w:w="300" w:type="dxa"/>
            <w:vAlign w:val="bottom"/>
          </w:tcPr>
          <w:p>
            <w:pPr>
              <w:spacing w:after="0"/>
              <w:rPr>
                <w:sz w:val="10"/>
                <w:szCs w:val="10"/>
                <w:color w:val="auto"/>
              </w:rPr>
            </w:pPr>
          </w:p>
        </w:tc>
      </w:tr>
      <w:tr>
        <w:trPr>
          <w:trHeight w:val="118"/>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Bloom on Third</w:t>
            </w: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w w:val="78"/>
              </w:rPr>
              <w:t>1</w:t>
            </w:r>
          </w:p>
        </w:tc>
        <w:tc>
          <w:tcPr>
            <w:tcW w:w="320" w:type="dxa"/>
            <w:vAlign w:val="bottom"/>
          </w:tcPr>
          <w:p>
            <w:pPr>
              <w:spacing w:after="0"/>
              <w:rPr>
                <w:sz w:val="10"/>
                <w:szCs w:val="10"/>
                <w:color w:val="auto"/>
              </w:rPr>
            </w:pPr>
          </w:p>
        </w:tc>
        <w:tc>
          <w:tcPr>
            <w:tcW w:w="540" w:type="dxa"/>
            <w:vAlign w:val="bottom"/>
            <w:gridSpan w:val="2"/>
          </w:tcPr>
          <w:p>
            <w:pPr>
              <w:jc w:val="center"/>
              <w:ind w:left="313"/>
              <w:spacing w:after="0"/>
              <w:rPr>
                <w:sz w:val="20"/>
                <w:szCs w:val="20"/>
                <w:color w:val="auto"/>
              </w:rPr>
            </w:pPr>
            <w:r>
              <w:rPr>
                <w:rFonts w:ascii="Arial" w:cs="Arial" w:eastAsia="Arial" w:hAnsi="Arial"/>
                <w:sz w:val="9"/>
                <w:szCs w:val="9"/>
                <w:color w:val="auto"/>
                <w:w w:val="99"/>
              </w:rPr>
              <w:t>73</w:t>
            </w:r>
          </w:p>
        </w:tc>
        <w:tc>
          <w:tcPr>
            <w:tcW w:w="360" w:type="dxa"/>
            <w:vAlign w:val="bottom"/>
          </w:tcPr>
          <w:p>
            <w:pPr>
              <w:spacing w:after="0"/>
              <w:rPr>
                <w:sz w:val="10"/>
                <w:szCs w:val="10"/>
                <w:color w:val="auto"/>
              </w:rPr>
            </w:pPr>
          </w:p>
        </w:tc>
        <w:tc>
          <w:tcPr>
            <w:tcW w:w="1040" w:type="dxa"/>
            <w:vAlign w:val="bottom"/>
            <w:gridSpan w:val="3"/>
          </w:tcPr>
          <w:p>
            <w:pPr>
              <w:jc w:val="center"/>
              <w:ind w:left="13"/>
              <w:spacing w:after="0"/>
              <w:rPr>
                <w:sz w:val="20"/>
                <w:szCs w:val="20"/>
                <w:color w:val="auto"/>
              </w:rPr>
            </w:pPr>
            <w:r>
              <w:rPr>
                <w:rFonts w:ascii="Arial" w:cs="Arial" w:eastAsia="Arial" w:hAnsi="Arial"/>
                <w:sz w:val="9"/>
                <w:szCs w:val="9"/>
                <w:color w:val="auto"/>
              </w:rPr>
              <w:t>280,791</w:t>
            </w:r>
          </w:p>
        </w:tc>
        <w:tc>
          <w:tcPr>
            <w:tcW w:w="1000" w:type="dxa"/>
            <w:vAlign w:val="bottom"/>
            <w:gridSpan w:val="3"/>
          </w:tcPr>
          <w:p>
            <w:pPr>
              <w:jc w:val="center"/>
              <w:spacing w:after="0"/>
              <w:rPr>
                <w:sz w:val="20"/>
                <w:szCs w:val="20"/>
                <w:color w:val="auto"/>
              </w:rPr>
            </w:pPr>
            <w:r>
              <w:rPr>
                <w:rFonts w:ascii="Arial" w:cs="Arial" w:eastAsia="Arial" w:hAnsi="Arial"/>
                <w:sz w:val="9"/>
                <w:szCs w:val="9"/>
                <w:color w:val="auto"/>
              </w:rPr>
              <w:t>152,489</w:t>
            </w:r>
          </w:p>
        </w:tc>
        <w:tc>
          <w:tcPr>
            <w:tcW w:w="140" w:type="dxa"/>
            <w:vAlign w:val="bottom"/>
          </w:tcPr>
          <w:p>
            <w:pPr>
              <w:spacing w:after="0"/>
              <w:rPr>
                <w:sz w:val="10"/>
                <w:szCs w:val="1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35.00%</w:t>
            </w:r>
          </w:p>
        </w:tc>
        <w:tc>
          <w:tcPr>
            <w:tcW w:w="660" w:type="dxa"/>
            <w:vAlign w:val="bottom"/>
            <w:gridSpan w:val="2"/>
          </w:tcPr>
          <w:p>
            <w:pPr>
              <w:jc w:val="center"/>
              <w:ind w:left="293"/>
              <w:spacing w:after="0"/>
              <w:rPr>
                <w:sz w:val="20"/>
                <w:szCs w:val="20"/>
                <w:color w:val="auto"/>
              </w:rPr>
            </w:pPr>
            <w:r>
              <w:rPr>
                <w:rFonts w:ascii="Arial" w:cs="Arial" w:eastAsia="Arial" w:hAnsi="Arial"/>
                <w:sz w:val="9"/>
                <w:szCs w:val="9"/>
                <w:color w:val="auto"/>
              </w:rPr>
              <w:t>53,371</w:t>
            </w:r>
          </w:p>
        </w:tc>
        <w:tc>
          <w:tcPr>
            <w:tcW w:w="480" w:type="dxa"/>
            <w:vAlign w:val="bottom"/>
          </w:tcPr>
          <w:p>
            <w:pPr>
              <w:spacing w:after="0"/>
              <w:rPr>
                <w:sz w:val="10"/>
                <w:szCs w:val="10"/>
                <w:color w:val="auto"/>
              </w:rPr>
            </w:pPr>
          </w:p>
        </w:tc>
        <w:tc>
          <w:tcPr>
            <w:tcW w:w="580" w:type="dxa"/>
            <w:vAlign w:val="bottom"/>
            <w:gridSpan w:val="2"/>
          </w:tcPr>
          <w:p>
            <w:pPr>
              <w:jc w:val="center"/>
              <w:ind w:left="113"/>
              <w:spacing w:after="0"/>
              <w:rPr>
                <w:sz w:val="20"/>
                <w:szCs w:val="20"/>
                <w:color w:val="auto"/>
              </w:rPr>
            </w:pPr>
            <w:r>
              <w:rPr>
                <w:rFonts w:ascii="Arial" w:cs="Arial" w:eastAsia="Arial" w:hAnsi="Arial"/>
                <w:sz w:val="9"/>
                <w:szCs w:val="9"/>
                <w:color w:val="auto"/>
              </w:rPr>
              <w:t>47,517</w:t>
            </w:r>
          </w:p>
        </w:tc>
        <w:tc>
          <w:tcPr>
            <w:tcW w:w="300" w:type="dxa"/>
            <w:vAlign w:val="bottom"/>
          </w:tcPr>
          <w:p>
            <w:pPr>
              <w:spacing w:after="0"/>
              <w:rPr>
                <w:sz w:val="10"/>
                <w:szCs w:val="10"/>
                <w:color w:val="auto"/>
              </w:rPr>
            </w:pPr>
          </w:p>
        </w:tc>
        <w:tc>
          <w:tcPr>
            <w:tcW w:w="700" w:type="dxa"/>
            <w:vAlign w:val="bottom"/>
            <w:gridSpan w:val="2"/>
          </w:tcPr>
          <w:p>
            <w:pPr>
              <w:jc w:val="center"/>
              <w:ind w:left="233"/>
              <w:spacing w:after="0"/>
              <w:rPr>
                <w:sz w:val="20"/>
                <w:szCs w:val="20"/>
                <w:color w:val="auto"/>
              </w:rPr>
            </w:pPr>
            <w:r>
              <w:rPr>
                <w:rFonts w:ascii="Arial" w:cs="Arial" w:eastAsia="Arial" w:hAnsi="Arial"/>
                <w:sz w:val="9"/>
                <w:szCs w:val="9"/>
                <w:color w:val="auto"/>
                <w:w w:val="92"/>
              </w:rPr>
              <w:t>407</w:t>
            </w:r>
          </w:p>
        </w:tc>
        <w:tc>
          <w:tcPr>
            <w:tcW w:w="300" w:type="dxa"/>
            <w:vAlign w:val="bottom"/>
          </w:tcPr>
          <w:p>
            <w:pPr>
              <w:spacing w:after="0"/>
              <w:rPr>
                <w:sz w:val="10"/>
                <w:szCs w:val="10"/>
                <w:color w:val="auto"/>
              </w:rPr>
            </w:pPr>
          </w:p>
        </w:tc>
      </w:tr>
      <w:tr>
        <w:trPr>
          <w:trHeight w:val="118"/>
        </w:trPr>
        <w:tc>
          <w:tcPr>
            <w:tcW w:w="2880" w:type="dxa"/>
            <w:vAlign w:val="bottom"/>
            <w:gridSpan w:val="2"/>
          </w:tcPr>
          <w:p>
            <w:pPr>
              <w:ind w:left="40"/>
              <w:spacing w:after="0"/>
              <w:rPr>
                <w:sz w:val="20"/>
                <w:szCs w:val="20"/>
                <w:color w:val="auto"/>
              </w:rPr>
            </w:pPr>
            <w:r>
              <w:rPr>
                <w:rFonts w:ascii="Arial" w:cs="Arial" w:eastAsia="Arial" w:hAnsi="Arial"/>
                <w:sz w:val="9"/>
                <w:szCs w:val="9"/>
                <w:color w:val="auto"/>
              </w:rPr>
              <w:t>Others</w:t>
            </w:r>
          </w:p>
        </w:tc>
        <w:tc>
          <w:tcPr>
            <w:tcW w:w="720" w:type="dxa"/>
            <w:vAlign w:val="bottom"/>
            <w:gridSpan w:val="2"/>
          </w:tcPr>
          <w:p>
            <w:pPr>
              <w:jc w:val="center"/>
              <w:ind w:left="233"/>
              <w:spacing w:after="0"/>
              <w:rPr>
                <w:sz w:val="20"/>
                <w:szCs w:val="20"/>
                <w:color w:val="auto"/>
              </w:rPr>
            </w:pPr>
            <w:r>
              <w:rPr>
                <w:rFonts w:ascii="Arial" w:cs="Arial" w:eastAsia="Arial" w:hAnsi="Arial"/>
                <w:sz w:val="9"/>
                <w:szCs w:val="9"/>
                <w:color w:val="auto"/>
                <w:w w:val="78"/>
              </w:rPr>
              <w:t>8</w:t>
            </w:r>
          </w:p>
        </w:tc>
        <w:tc>
          <w:tcPr>
            <w:tcW w:w="32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Arial" w:cs="Arial" w:eastAsia="Arial" w:hAnsi="Arial"/>
                <w:sz w:val="9"/>
                <w:szCs w:val="9"/>
                <w:color w:val="auto"/>
              </w:rPr>
              <w:t>1,075</w:t>
            </w:r>
          </w:p>
        </w:tc>
        <w:tc>
          <w:tcPr>
            <w:tcW w:w="1040" w:type="dxa"/>
            <w:vAlign w:val="bottom"/>
            <w:gridSpan w:val="3"/>
          </w:tcPr>
          <w:p>
            <w:pPr>
              <w:jc w:val="center"/>
              <w:ind w:left="13"/>
              <w:spacing w:after="0"/>
              <w:rPr>
                <w:sz w:val="20"/>
                <w:szCs w:val="20"/>
                <w:color w:val="auto"/>
              </w:rPr>
            </w:pPr>
            <w:r>
              <w:rPr>
                <w:rFonts w:ascii="Arial" w:cs="Arial" w:eastAsia="Arial" w:hAnsi="Arial"/>
                <w:sz w:val="9"/>
                <w:szCs w:val="9"/>
                <w:color w:val="auto"/>
              </w:rPr>
              <w:t>211,452</w:t>
            </w:r>
          </w:p>
        </w:tc>
        <w:tc>
          <w:tcPr>
            <w:tcW w:w="1000" w:type="dxa"/>
            <w:vAlign w:val="bottom"/>
            <w:gridSpan w:val="3"/>
          </w:tcPr>
          <w:p>
            <w:pPr>
              <w:jc w:val="center"/>
              <w:spacing w:after="0"/>
              <w:rPr>
                <w:sz w:val="20"/>
                <w:szCs w:val="20"/>
                <w:color w:val="auto"/>
              </w:rPr>
            </w:pPr>
            <w:r>
              <w:rPr>
                <w:rFonts w:ascii="Arial" w:cs="Arial" w:eastAsia="Arial" w:hAnsi="Arial"/>
                <w:sz w:val="9"/>
                <w:szCs w:val="9"/>
                <w:color w:val="auto"/>
              </w:rPr>
              <w:t>102,915</w:t>
            </w:r>
          </w:p>
        </w:tc>
        <w:tc>
          <w:tcPr>
            <w:tcW w:w="140" w:type="dxa"/>
            <w:vAlign w:val="bottom"/>
          </w:tcPr>
          <w:p>
            <w:pPr>
              <w:spacing w:after="0"/>
              <w:rPr>
                <w:sz w:val="10"/>
                <w:szCs w:val="1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9"/>
                <w:szCs w:val="9"/>
                <w:color w:val="auto"/>
              </w:rPr>
              <w:t>11.80% - 83.00%</w:t>
            </w:r>
          </w:p>
        </w:tc>
        <w:tc>
          <w:tcPr>
            <w:tcW w:w="660" w:type="dxa"/>
            <w:vAlign w:val="bottom"/>
            <w:gridSpan w:val="2"/>
          </w:tcPr>
          <w:p>
            <w:pPr>
              <w:jc w:val="center"/>
              <w:ind w:left="293"/>
              <w:spacing w:after="0"/>
              <w:rPr>
                <w:sz w:val="20"/>
                <w:szCs w:val="20"/>
                <w:color w:val="auto"/>
              </w:rPr>
            </w:pPr>
            <w:r>
              <w:rPr>
                <w:rFonts w:ascii="Arial" w:cs="Arial" w:eastAsia="Arial" w:hAnsi="Arial"/>
                <w:sz w:val="9"/>
                <w:szCs w:val="9"/>
                <w:color w:val="auto"/>
              </w:rPr>
              <w:t>49,084</w:t>
            </w:r>
          </w:p>
        </w:tc>
        <w:tc>
          <w:tcPr>
            <w:tcW w:w="480" w:type="dxa"/>
            <w:vAlign w:val="bottom"/>
          </w:tcPr>
          <w:p>
            <w:pPr>
              <w:spacing w:after="0"/>
              <w:rPr>
                <w:sz w:val="10"/>
                <w:szCs w:val="10"/>
                <w:color w:val="auto"/>
              </w:rPr>
            </w:pPr>
          </w:p>
        </w:tc>
        <w:tc>
          <w:tcPr>
            <w:tcW w:w="580" w:type="dxa"/>
            <w:vAlign w:val="bottom"/>
            <w:gridSpan w:val="2"/>
          </w:tcPr>
          <w:p>
            <w:pPr>
              <w:jc w:val="center"/>
              <w:ind w:left="113"/>
              <w:spacing w:after="0"/>
              <w:rPr>
                <w:sz w:val="20"/>
                <w:szCs w:val="20"/>
                <w:color w:val="auto"/>
              </w:rPr>
            </w:pPr>
            <w:r>
              <w:rPr>
                <w:rFonts w:ascii="Arial" w:cs="Arial" w:eastAsia="Arial" w:hAnsi="Arial"/>
                <w:sz w:val="9"/>
                <w:szCs w:val="9"/>
                <w:color w:val="auto"/>
              </w:rPr>
              <w:t>74,435</w:t>
            </w:r>
          </w:p>
        </w:tc>
        <w:tc>
          <w:tcPr>
            <w:tcW w:w="300" w:type="dxa"/>
            <w:vAlign w:val="bottom"/>
          </w:tcPr>
          <w:p>
            <w:pPr>
              <w:spacing w:after="0"/>
              <w:rPr>
                <w:sz w:val="10"/>
                <w:szCs w:val="10"/>
                <w:color w:val="auto"/>
              </w:rPr>
            </w:pPr>
          </w:p>
        </w:tc>
        <w:tc>
          <w:tcPr>
            <w:tcW w:w="700" w:type="dxa"/>
            <w:vAlign w:val="bottom"/>
            <w:gridSpan w:val="2"/>
          </w:tcPr>
          <w:p>
            <w:pPr>
              <w:jc w:val="center"/>
              <w:ind w:left="213"/>
              <w:spacing w:after="0"/>
              <w:rPr>
                <w:sz w:val="20"/>
                <w:szCs w:val="20"/>
                <w:color w:val="auto"/>
              </w:rPr>
            </w:pPr>
            <w:r>
              <w:rPr>
                <w:rFonts w:ascii="Arial" w:cs="Arial" w:eastAsia="Arial" w:hAnsi="Arial"/>
                <w:sz w:val="9"/>
                <w:szCs w:val="9"/>
                <w:color w:val="auto"/>
              </w:rPr>
              <w:t>7,399</w:t>
            </w:r>
          </w:p>
        </w:tc>
        <w:tc>
          <w:tcPr>
            <w:tcW w:w="300" w:type="dxa"/>
            <w:vAlign w:val="bottom"/>
          </w:tcPr>
          <w:p>
            <w:pPr>
              <w:spacing w:after="0"/>
              <w:rPr>
                <w:sz w:val="10"/>
                <w:szCs w:val="10"/>
                <w:color w:val="auto"/>
              </w:rPr>
            </w:pPr>
          </w:p>
        </w:tc>
      </w:tr>
      <w:tr>
        <w:trPr>
          <w:trHeight w:val="116"/>
        </w:trPr>
        <w:tc>
          <w:tcPr>
            <w:tcW w:w="1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114"/>
        </w:trPr>
        <w:tc>
          <w:tcPr>
            <w:tcW w:w="13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720" w:type="dxa"/>
            <w:vAlign w:val="bottom"/>
            <w:tcBorders>
              <w:bottom w:val="single" w:sz="8" w:color="auto"/>
            </w:tcBorders>
            <w:gridSpan w:val="2"/>
          </w:tcPr>
          <w:p>
            <w:pPr>
              <w:jc w:val="center"/>
              <w:ind w:left="233"/>
              <w:spacing w:after="0" w:line="94" w:lineRule="exact"/>
              <w:rPr>
                <w:sz w:val="20"/>
                <w:szCs w:val="20"/>
                <w:color w:val="auto"/>
              </w:rPr>
            </w:pPr>
            <w:r>
              <w:rPr>
                <w:rFonts w:ascii="Arial" w:cs="Arial" w:eastAsia="Arial" w:hAnsi="Arial"/>
                <w:sz w:val="9"/>
                <w:szCs w:val="9"/>
                <w:color w:val="auto"/>
              </w:rPr>
              <w:t>89</w:t>
            </w:r>
          </w:p>
        </w:tc>
        <w:tc>
          <w:tcPr>
            <w:tcW w:w="3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jc w:val="center"/>
              <w:spacing w:after="0" w:line="94" w:lineRule="exact"/>
              <w:rPr>
                <w:sz w:val="20"/>
                <w:szCs w:val="20"/>
                <w:color w:val="auto"/>
              </w:rPr>
            </w:pPr>
            <w:r>
              <w:rPr>
                <w:rFonts w:ascii="Arial" w:cs="Arial" w:eastAsia="Arial" w:hAnsi="Arial"/>
                <w:sz w:val="9"/>
                <w:szCs w:val="9"/>
                <w:color w:val="auto"/>
                <w:highlight w:val="black"/>
              </w:rPr>
              <w:t>12,217</w:t>
            </w:r>
          </w:p>
        </w:tc>
        <w:tc>
          <w:tcPr>
            <w:tcW w:w="1040" w:type="dxa"/>
            <w:vAlign w:val="bottom"/>
            <w:tcBorders>
              <w:bottom w:val="single" w:sz="8" w:color="auto"/>
            </w:tcBorders>
            <w:gridSpan w:val="3"/>
          </w:tcPr>
          <w:p>
            <w:pPr>
              <w:jc w:val="center"/>
              <w:spacing w:after="0" w:line="94" w:lineRule="exact"/>
              <w:rPr>
                <w:sz w:val="20"/>
                <w:szCs w:val="20"/>
                <w:color w:val="auto"/>
              </w:rPr>
            </w:pPr>
            <w:r>
              <w:rPr>
                <w:rFonts w:ascii="Arial" w:cs="Arial" w:eastAsia="Arial" w:hAnsi="Arial"/>
                <w:sz w:val="9"/>
                <w:szCs w:val="9"/>
                <w:color w:val="auto"/>
                <w:highlight w:val="black"/>
              </w:rPr>
              <w:t>$2,662,794</w:t>
            </w:r>
          </w:p>
        </w:tc>
        <w:tc>
          <w:tcPr>
            <w:tcW w:w="1000" w:type="dxa"/>
            <w:vAlign w:val="bottom"/>
            <w:tcBorders>
              <w:bottom w:val="single" w:sz="8" w:color="auto"/>
            </w:tcBorders>
            <w:gridSpan w:val="3"/>
          </w:tcPr>
          <w:p>
            <w:pPr>
              <w:jc w:val="center"/>
              <w:spacing w:after="0" w:line="94" w:lineRule="exact"/>
              <w:rPr>
                <w:sz w:val="20"/>
                <w:szCs w:val="20"/>
                <w:color w:val="auto"/>
              </w:rPr>
            </w:pPr>
            <w:r>
              <w:rPr>
                <w:rFonts w:ascii="Arial" w:cs="Arial" w:eastAsia="Arial" w:hAnsi="Arial"/>
                <w:sz w:val="9"/>
                <w:szCs w:val="9"/>
                <w:color w:val="auto"/>
                <w:highlight w:val="black"/>
              </w:rPr>
              <w:t>$1,519,913</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Borders>
              <w:bottom w:val="single" w:sz="8" w:color="auto"/>
            </w:tcBorders>
            <w:gridSpan w:val="3"/>
          </w:tcPr>
          <w:p>
            <w:pPr>
              <w:jc w:val="center"/>
              <w:ind w:right="93"/>
              <w:spacing w:after="0" w:line="94" w:lineRule="exact"/>
              <w:rPr>
                <w:sz w:val="20"/>
                <w:szCs w:val="20"/>
                <w:color w:val="auto"/>
              </w:rPr>
            </w:pPr>
            <w:r>
              <w:rPr>
                <w:rFonts w:ascii="Arial" w:cs="Arial" w:eastAsia="Arial" w:hAnsi="Arial"/>
                <w:sz w:val="9"/>
                <w:szCs w:val="9"/>
                <w:color w:val="auto"/>
                <w:highlight w:val="black"/>
              </w:rPr>
              <w:t>$538,471</w:t>
            </w:r>
          </w:p>
        </w:tc>
        <w:tc>
          <w:tcPr>
            <w:tcW w:w="580" w:type="dxa"/>
            <w:vAlign w:val="bottom"/>
            <w:tcBorders>
              <w:bottom w:val="single" w:sz="8" w:color="auto"/>
            </w:tcBorders>
            <w:gridSpan w:val="2"/>
          </w:tcPr>
          <w:p>
            <w:pPr>
              <w:jc w:val="center"/>
              <w:ind w:left="93"/>
              <w:spacing w:after="0" w:line="94" w:lineRule="exact"/>
              <w:rPr>
                <w:sz w:val="20"/>
                <w:szCs w:val="20"/>
                <w:color w:val="auto"/>
              </w:rPr>
            </w:pPr>
            <w:r>
              <w:rPr>
                <w:rFonts w:ascii="Arial" w:cs="Arial" w:eastAsia="Arial" w:hAnsi="Arial"/>
                <w:sz w:val="9"/>
                <w:szCs w:val="9"/>
                <w:color w:val="auto"/>
                <w:highlight w:val="black"/>
              </w:rPr>
              <w:t>$358,620</w:t>
            </w: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center"/>
              <w:ind w:left="233"/>
              <w:spacing w:after="0" w:line="94" w:lineRule="exact"/>
              <w:rPr>
                <w:sz w:val="20"/>
                <w:szCs w:val="20"/>
                <w:color w:val="auto"/>
              </w:rPr>
            </w:pPr>
            <w:r>
              <w:rPr>
                <w:rFonts w:ascii="Arial" w:cs="Arial" w:eastAsia="Arial" w:hAnsi="Arial"/>
                <w:sz w:val="9"/>
                <w:szCs w:val="9"/>
                <w:color w:val="auto"/>
                <w:highlight w:val="black"/>
              </w:rPr>
              <w:t>$22,380</w:t>
            </w:r>
          </w:p>
        </w:tc>
        <w:tc>
          <w:tcPr>
            <w:tcW w:w="30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-1146810</wp:posOffset>
            </wp:positionV>
            <wp:extent cx="226060" cy="755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6060" cy="75565"/>
                    </a:xfrm>
                    <a:prstGeom prst="rect">
                      <a:avLst/>
                    </a:prstGeom>
                    <a:noFill/>
                  </pic:spPr>
                </pic:pic>
              </a:graphicData>
            </a:graphic>
          </wp:anchor>
        </w:drawing>
        <w:drawing>
          <wp:anchor simplePos="0" relativeHeight="251657728" behindDoc="1" locked="0" layoutInCell="0" allowOverlap="1">
            <wp:simplePos x="0" y="0"/>
            <wp:positionH relativeFrom="column">
              <wp:posOffset>6707505</wp:posOffset>
            </wp:positionH>
            <wp:positionV relativeFrom="paragraph">
              <wp:posOffset>-1144905</wp:posOffset>
            </wp:positionV>
            <wp:extent cx="291465" cy="73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1465" cy="73660"/>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-88900</wp:posOffset>
            </wp:positionV>
            <wp:extent cx="90170" cy="742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0170" cy="74295"/>
                    </a:xfrm>
                    <a:prstGeom prst="rect">
                      <a:avLst/>
                    </a:prstGeom>
                    <a:noFill/>
                  </pic:spPr>
                </pic:pic>
              </a:graphicData>
            </a:graphic>
          </wp:anchor>
        </w:drawing>
      </w:r>
    </w:p>
    <w:p>
      <w:pPr>
        <w:spacing w:after="0" w:line="192" w:lineRule="exact"/>
        <w:rPr>
          <w:sz w:val="20"/>
          <w:szCs w:val="20"/>
          <w:color w:val="auto"/>
        </w:rPr>
      </w:pPr>
    </w:p>
    <w:p>
      <w:pPr>
        <w:ind w:left="1020" w:hanging="516"/>
        <w:spacing w:after="0"/>
        <w:tabs>
          <w:tab w:leader="none" w:pos="1020" w:val="left"/>
        </w:tabs>
        <w:numPr>
          <w:ilvl w:val="0"/>
          <w:numId w:val="45"/>
        </w:numPr>
        <w:rPr>
          <w:rFonts w:ascii="Arial" w:cs="Arial" w:eastAsia="Arial" w:hAnsi="Arial"/>
          <w:sz w:val="10"/>
          <w:szCs w:val="10"/>
          <w:color w:val="auto"/>
        </w:rPr>
      </w:pPr>
      <w:r>
        <w:rPr>
          <w:rFonts w:ascii="Arial" w:cs="Arial" w:eastAsia="Arial" w:hAnsi="Arial"/>
          <w:sz w:val="10"/>
          <w:szCs w:val="10"/>
          <w:color w:val="auto"/>
        </w:rPr>
        <w:t>Effective January 1, 2026, Regency purchased its partner's ownership interest in a property held within unconsolidated real estate partnership. Upon acquisition, this property was consolidated into Regency's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182880</wp:posOffset>
            </wp:positionV>
            <wp:extent cx="281305" cy="149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383" w:lineRule="exact"/>
        <w:rPr>
          <w:sz w:val="20"/>
          <w:szCs w:val="20"/>
          <w:color w:val="auto"/>
        </w:rPr>
      </w:pPr>
    </w:p>
    <w:p>
      <w:pPr>
        <w:ind w:left="10200"/>
        <w:spacing w:after="0"/>
        <w:tabs>
          <w:tab w:leader="none" w:pos="1110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0280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2"/>
          <w:szCs w:val="12"/>
          <w:color w:val="auto"/>
          <w:highlight w:val="black"/>
        </w:rPr>
        <w:drawing>
          <wp:anchor simplePos="0" relativeHeight="251657728" behindDoc="1" locked="0" layoutInCell="0" allowOverlap="1">
            <wp:simplePos x="0" y="0"/>
            <wp:positionH relativeFrom="page">
              <wp:posOffset>3441065</wp:posOffset>
            </wp:positionH>
            <wp:positionV relativeFrom="page">
              <wp:posOffset>464820</wp:posOffset>
            </wp:positionV>
            <wp:extent cx="715010" cy="996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10" cy="99695"/>
                    </a:xfrm>
                    <a:prstGeom prst="rect">
                      <a:avLst/>
                    </a:prstGeom>
                    <a:noFill/>
                  </pic:spPr>
                </pic:pic>
              </a:graphicData>
            </a:graphic>
          </wp:anchor>
        </w:drawing>
        <w:t xml:space="preserve">Property </w:t>
      </w:r>
      <w:r>
        <w:rPr>
          <w:rFonts w:ascii="Arial" w:cs="Arial" w:eastAsia="Arial" w:hAnsi="Arial"/>
          <w:sz w:val="12"/>
          <w:szCs w:val="12"/>
          <w:color w:val="auto"/>
        </w:rPr>
        <w:t>Transactions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40" w:type="dxa"/>
            <w:vAlign w:val="bottom"/>
            <w:gridSpan w:val="2"/>
          </w:tcPr>
          <w:p>
            <w:pPr>
              <w:spacing w:after="0"/>
              <w:rPr>
                <w:sz w:val="20"/>
                <w:szCs w:val="20"/>
                <w:color w:val="auto"/>
              </w:rPr>
            </w:pPr>
            <w:r>
              <w:rPr>
                <w:rFonts w:ascii="Arial" w:cs="Arial" w:eastAsia="Arial" w:hAnsi="Arial"/>
                <w:sz w:val="9"/>
                <w:szCs w:val="9"/>
                <w:color w:val="auto"/>
                <w:highlight w:val="black"/>
              </w:rPr>
              <w:t>Acquisitions:</w:t>
            </w:r>
          </w:p>
        </w:tc>
        <w:tc>
          <w:tcPr>
            <w:tcW w:w="19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100" w:type="dxa"/>
            <w:vAlign w:val="bottom"/>
          </w:tcPr>
          <w:p>
            <w:pPr>
              <w:spacing w:after="0"/>
              <w:rPr>
                <w:sz w:val="8"/>
                <w:szCs w:val="8"/>
                <w:color w:val="auto"/>
              </w:rPr>
            </w:pPr>
          </w:p>
        </w:tc>
      </w:tr>
      <w:tr>
        <w:trPr>
          <w:trHeight w:val="118"/>
        </w:trPr>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40" w:type="dxa"/>
            <w:vAlign w:val="bottom"/>
          </w:tcPr>
          <w:p>
            <w:pPr>
              <w:jc w:val="center"/>
              <w:ind w:left="693"/>
              <w:spacing w:after="0"/>
              <w:rPr>
                <w:sz w:val="20"/>
                <w:szCs w:val="20"/>
                <w:color w:val="auto"/>
              </w:rPr>
            </w:pPr>
            <w:r>
              <w:rPr>
                <w:rFonts w:ascii="Arial" w:cs="Arial" w:eastAsia="Arial" w:hAnsi="Arial"/>
                <w:sz w:val="9"/>
                <w:szCs w:val="9"/>
                <w:color w:val="auto"/>
                <w:highlight w:val="black"/>
              </w:rPr>
              <w:t>Real Estate Partner</w:t>
            </w:r>
          </w:p>
        </w:tc>
        <w:tc>
          <w:tcPr>
            <w:tcW w:w="1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80" w:type="dxa"/>
            <w:vAlign w:val="bottom"/>
          </w:tcPr>
          <w:p>
            <w:pPr>
              <w:ind w:left="40"/>
              <w:spacing w:after="0"/>
              <w:rPr>
                <w:sz w:val="20"/>
                <w:szCs w:val="20"/>
                <w:color w:val="auto"/>
              </w:rPr>
            </w:pPr>
            <w:r>
              <w:rPr>
                <w:rFonts w:ascii="Arial" w:cs="Arial" w:eastAsia="Arial" w:hAnsi="Arial"/>
                <w:sz w:val="9"/>
                <w:szCs w:val="9"/>
                <w:color w:val="auto"/>
              </w:rPr>
              <w:t>Weighted Average Cap</w:t>
            </w:r>
          </w:p>
        </w:tc>
        <w:tc>
          <w:tcPr>
            <w:tcW w:w="2100" w:type="dxa"/>
            <w:vAlign w:val="bottom"/>
          </w:tcPr>
          <w:p>
            <w:pPr>
              <w:spacing w:after="0"/>
              <w:rPr>
                <w:sz w:val="10"/>
                <w:szCs w:val="10"/>
                <w:color w:val="auto"/>
              </w:rPr>
            </w:pPr>
          </w:p>
        </w:tc>
      </w:tr>
      <w:tr>
        <w:trPr>
          <w:trHeight w:val="116"/>
        </w:trPr>
        <w:tc>
          <w:tcPr>
            <w:tcW w:w="60" w:type="dxa"/>
            <w:vAlign w:val="bottom"/>
          </w:tcPr>
          <w:p>
            <w:pPr>
              <w:spacing w:after="0"/>
              <w:rPr>
                <w:sz w:val="10"/>
                <w:szCs w:val="10"/>
                <w:color w:val="auto"/>
              </w:rPr>
            </w:pPr>
          </w:p>
        </w:tc>
        <w:tc>
          <w:tcPr>
            <w:tcW w:w="580" w:type="dxa"/>
            <w:vAlign w:val="bottom"/>
            <w:tcBorders>
              <w:bottom w:val="single" w:sz="8" w:color="auto"/>
            </w:tcBorders>
          </w:tcPr>
          <w:p>
            <w:pPr>
              <w:spacing w:after="0" w:line="96" w:lineRule="exact"/>
              <w:rPr>
                <w:sz w:val="20"/>
                <w:szCs w:val="20"/>
                <w:color w:val="auto"/>
              </w:rPr>
            </w:pPr>
            <w:r>
              <w:rPr>
                <w:rFonts w:ascii="Arial" w:cs="Arial" w:eastAsia="Arial" w:hAnsi="Arial"/>
                <w:sz w:val="9"/>
                <w:szCs w:val="9"/>
                <w:color w:val="auto"/>
                <w:highlight w:val="black"/>
              </w:rPr>
              <w:t>Date</w:t>
            </w:r>
          </w:p>
        </w:tc>
        <w:tc>
          <w:tcPr>
            <w:tcW w:w="1960" w:type="dxa"/>
            <w:vAlign w:val="bottom"/>
            <w:tcBorders>
              <w:bottom w:val="single" w:sz="8" w:color="auto"/>
            </w:tcBorders>
          </w:tcPr>
          <w:p>
            <w:pPr>
              <w:ind w:left="100"/>
              <w:spacing w:after="0" w:line="96" w:lineRule="exact"/>
              <w:rPr>
                <w:sz w:val="20"/>
                <w:szCs w:val="20"/>
                <w:color w:val="auto"/>
              </w:rPr>
            </w:pPr>
            <w:r>
              <w:rPr>
                <w:rFonts w:ascii="Arial" w:cs="Arial" w:eastAsia="Arial" w:hAnsi="Arial"/>
                <w:sz w:val="9"/>
                <w:szCs w:val="9"/>
                <w:color w:val="auto"/>
                <w:highlight w:val="black"/>
              </w:rPr>
              <w:t>Property Name</w:t>
            </w:r>
          </w:p>
        </w:tc>
        <w:tc>
          <w:tcPr>
            <w:tcW w:w="2040" w:type="dxa"/>
            <w:vAlign w:val="bottom"/>
            <w:tcBorders>
              <w:bottom w:val="single" w:sz="8" w:color="auto"/>
            </w:tcBorders>
          </w:tcPr>
          <w:p>
            <w:pPr>
              <w:jc w:val="center"/>
              <w:ind w:left="693"/>
              <w:spacing w:after="0" w:line="96" w:lineRule="exact"/>
              <w:rPr>
                <w:sz w:val="20"/>
                <w:szCs w:val="20"/>
                <w:color w:val="auto"/>
              </w:rPr>
            </w:pPr>
            <w:r>
              <w:rPr>
                <w:rFonts w:ascii="Arial" w:cs="Arial" w:eastAsia="Arial" w:hAnsi="Arial"/>
                <w:sz w:val="9"/>
                <w:szCs w:val="9"/>
                <w:color w:val="auto"/>
                <w:highlight w:val="black"/>
              </w:rPr>
              <w:t>(REG %)</w:t>
            </w:r>
          </w:p>
        </w:tc>
        <w:tc>
          <w:tcPr>
            <w:tcW w:w="1420" w:type="dxa"/>
            <w:vAlign w:val="bottom"/>
            <w:tcBorders>
              <w:bottom w:val="single" w:sz="8" w:color="auto"/>
            </w:tcBorders>
          </w:tcPr>
          <w:p>
            <w:pPr>
              <w:jc w:val="center"/>
              <w:ind w:right="33"/>
              <w:spacing w:after="0" w:line="96" w:lineRule="exact"/>
              <w:rPr>
                <w:sz w:val="20"/>
                <w:szCs w:val="20"/>
                <w:color w:val="auto"/>
              </w:rPr>
            </w:pPr>
            <w:r>
              <w:rPr>
                <w:rFonts w:ascii="Arial" w:cs="Arial" w:eastAsia="Arial" w:hAnsi="Arial"/>
                <w:sz w:val="9"/>
                <w:szCs w:val="9"/>
                <w:color w:val="auto"/>
                <w:highlight w:val="black"/>
              </w:rPr>
              <w:t>Market</w:t>
            </w:r>
          </w:p>
        </w:tc>
        <w:tc>
          <w:tcPr>
            <w:tcW w:w="6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highlight w:val="black"/>
              </w:rPr>
              <w:t>Total GLA</w:t>
            </w:r>
          </w:p>
        </w:tc>
        <w:tc>
          <w:tcPr>
            <w:tcW w:w="13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rPr>
              <w:t>REG Share of Purchase Price</w:t>
            </w:r>
          </w:p>
        </w:tc>
        <w:tc>
          <w:tcPr>
            <w:tcW w:w="108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highlight w:val="black"/>
              </w:rPr>
              <w:t>Rate</w:t>
            </w:r>
          </w:p>
        </w:tc>
        <w:tc>
          <w:tcPr>
            <w:tcW w:w="210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highlight w:val="black"/>
              </w:rPr>
              <w:t>Anchor(s)</w:t>
            </w:r>
          </w:p>
        </w:tc>
      </w:tr>
      <w:tr>
        <w:trPr>
          <w:trHeight w:val="226"/>
        </w:trPr>
        <w:tc>
          <w:tcPr>
            <w:tcW w:w="6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9"/>
                <w:szCs w:val="9"/>
                <w:color w:val="auto"/>
              </w:rPr>
              <w:t>Jan-26</w:t>
            </w:r>
          </w:p>
        </w:tc>
        <w:tc>
          <w:tcPr>
            <w:tcW w:w="1960" w:type="dxa"/>
            <w:vAlign w:val="bottom"/>
          </w:tcPr>
          <w:p>
            <w:pPr>
              <w:ind w:left="140"/>
              <w:spacing w:after="0"/>
              <w:rPr>
                <w:sz w:val="20"/>
                <w:szCs w:val="20"/>
                <w:color w:val="auto"/>
              </w:rPr>
            </w:pPr>
            <w:r>
              <w:rPr>
                <w:rFonts w:ascii="Arial" w:cs="Arial" w:eastAsia="Arial" w:hAnsi="Arial"/>
                <w:sz w:val="9"/>
                <w:szCs w:val="9"/>
                <w:color w:val="auto"/>
              </w:rPr>
              <w:t>Haddon Commons</w:t>
            </w:r>
          </w:p>
        </w:tc>
        <w:tc>
          <w:tcPr>
            <w:tcW w:w="2040" w:type="dxa"/>
            <w:vAlign w:val="bottom"/>
          </w:tcPr>
          <w:p>
            <w:pPr>
              <w:jc w:val="center"/>
              <w:ind w:left="693"/>
              <w:spacing w:after="0"/>
              <w:rPr>
                <w:sz w:val="20"/>
                <w:szCs w:val="20"/>
                <w:color w:val="auto"/>
              </w:rPr>
            </w:pPr>
            <w:r>
              <w:rPr>
                <w:rFonts w:ascii="Arial" w:cs="Arial" w:eastAsia="Arial" w:hAnsi="Arial"/>
                <w:sz w:val="9"/>
                <w:szCs w:val="9"/>
                <w:color w:val="auto"/>
              </w:rPr>
              <w:t>60% Partner Buyout</w:t>
            </w:r>
          </w:p>
        </w:tc>
        <w:tc>
          <w:tcPr>
            <w:tcW w:w="1420" w:type="dxa"/>
            <w:vAlign w:val="bottom"/>
          </w:tcPr>
          <w:p>
            <w:pPr>
              <w:jc w:val="center"/>
              <w:ind w:right="13"/>
              <w:spacing w:after="0"/>
              <w:rPr>
                <w:sz w:val="20"/>
                <w:szCs w:val="20"/>
                <w:color w:val="auto"/>
              </w:rPr>
            </w:pPr>
            <w:r>
              <w:rPr>
                <w:rFonts w:ascii="Arial" w:cs="Arial" w:eastAsia="Arial" w:hAnsi="Arial"/>
                <w:sz w:val="9"/>
                <w:szCs w:val="9"/>
                <w:color w:val="auto"/>
              </w:rPr>
              <w:t>Haddon Township, NJ</w:t>
            </w:r>
          </w:p>
        </w:tc>
        <w:tc>
          <w:tcPr>
            <w:tcW w:w="640" w:type="dxa"/>
            <w:vAlign w:val="bottom"/>
          </w:tcPr>
          <w:p>
            <w:pPr>
              <w:jc w:val="center"/>
              <w:spacing w:after="0"/>
              <w:rPr>
                <w:sz w:val="20"/>
                <w:szCs w:val="20"/>
                <w:color w:val="auto"/>
              </w:rPr>
            </w:pPr>
            <w:r>
              <w:rPr>
                <w:rFonts w:ascii="Arial" w:cs="Arial" w:eastAsia="Arial" w:hAnsi="Arial"/>
                <w:sz w:val="9"/>
                <w:szCs w:val="9"/>
                <w:color w:val="auto"/>
                <w:w w:val="99"/>
              </w:rPr>
              <w:t>54</w:t>
            </w:r>
          </w:p>
        </w:tc>
        <w:tc>
          <w:tcPr>
            <w:tcW w:w="1360" w:type="dxa"/>
            <w:vAlign w:val="bottom"/>
          </w:tcPr>
          <w:p>
            <w:pPr>
              <w:jc w:val="center"/>
              <w:spacing w:after="0"/>
              <w:rPr>
                <w:sz w:val="20"/>
                <w:szCs w:val="20"/>
                <w:color w:val="auto"/>
              </w:rPr>
            </w:pPr>
            <w:r>
              <w:rPr>
                <w:rFonts w:ascii="Arial" w:cs="Arial" w:eastAsia="Arial" w:hAnsi="Arial"/>
                <w:sz w:val="9"/>
                <w:szCs w:val="9"/>
                <w:color w:val="auto"/>
              </w:rPr>
              <w:t>$6,300</w:t>
            </w:r>
          </w:p>
        </w:tc>
        <w:tc>
          <w:tcPr>
            <w:tcW w:w="108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9"/>
                <w:szCs w:val="9"/>
                <w:color w:val="auto"/>
              </w:rPr>
              <w:t>Acme Markets</w:t>
            </w:r>
          </w:p>
        </w:tc>
      </w:tr>
      <w:tr>
        <w:trPr>
          <w:trHeight w:val="233"/>
        </w:trPr>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r>
      <w:tr>
        <w:trPr>
          <w:trHeight w:val="114"/>
        </w:trPr>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960" w:type="dxa"/>
            <w:vAlign w:val="bottom"/>
          </w:tcPr>
          <w:p>
            <w:pPr>
              <w:ind w:left="100"/>
              <w:spacing w:after="0"/>
              <w:rPr>
                <w:sz w:val="20"/>
                <w:szCs w:val="20"/>
                <w:color w:val="auto"/>
              </w:rPr>
            </w:pPr>
            <w:r>
              <w:rPr>
                <w:rFonts w:ascii="Arial" w:cs="Arial" w:eastAsia="Arial" w:hAnsi="Arial"/>
                <w:sz w:val="9"/>
                <w:szCs w:val="9"/>
                <w:color w:val="auto"/>
                <w:highlight w:val="black"/>
              </w:rPr>
              <w:t>Property Acquisitions</w:t>
            </w:r>
          </w:p>
        </w:tc>
        <w:tc>
          <w:tcPr>
            <w:tcW w:w="20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64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w w:val="99"/>
              </w:rPr>
              <w:t>54</w:t>
            </w:r>
          </w:p>
        </w:tc>
        <w:tc>
          <w:tcPr>
            <w:tcW w:w="136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$6,300</w:t>
            </w:r>
          </w:p>
        </w:tc>
        <w:tc>
          <w:tcPr>
            <w:tcW w:w="1080" w:type="dxa"/>
            <w:vAlign w:val="bottom"/>
            <w:tcBorders>
              <w:bottom w:val="single" w:sz="8" w:color="auto"/>
            </w:tcBorders>
          </w:tcPr>
          <w:p>
            <w:pPr>
              <w:jc w:val="right"/>
              <w:ind w:right="373"/>
              <w:spacing w:after="0" w:line="94" w:lineRule="exact"/>
              <w:rPr>
                <w:sz w:val="20"/>
                <w:szCs w:val="20"/>
                <w:color w:val="auto"/>
              </w:rPr>
            </w:pPr>
            <w:r>
              <w:rPr>
                <w:rFonts w:ascii="Arial" w:cs="Arial" w:eastAsia="Arial" w:hAnsi="Arial"/>
                <w:sz w:val="9"/>
                <w:szCs w:val="9"/>
                <w:color w:val="auto"/>
              </w:rPr>
              <w:t>7.3%</w:t>
            </w:r>
          </w:p>
        </w:tc>
        <w:tc>
          <w:tcPr>
            <w:tcW w:w="2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-88900</wp:posOffset>
            </wp:positionV>
            <wp:extent cx="167005" cy="742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7005" cy="7429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Dispositions:</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103"/>
        </w:trPr>
        <w:tc>
          <w:tcPr>
            <w:tcW w:w="5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200" w:type="dxa"/>
            <w:vAlign w:val="bottom"/>
          </w:tcPr>
          <w:p>
            <w:pPr>
              <w:jc w:val="center"/>
              <w:ind w:left="533"/>
              <w:spacing w:after="0"/>
              <w:rPr>
                <w:sz w:val="20"/>
                <w:szCs w:val="20"/>
                <w:color w:val="auto"/>
              </w:rPr>
            </w:pPr>
            <w:r>
              <w:rPr>
                <w:rFonts w:ascii="Arial" w:cs="Arial" w:eastAsia="Arial" w:hAnsi="Arial"/>
                <w:sz w:val="9"/>
                <w:szCs w:val="9"/>
                <w:color w:val="auto"/>
                <w:highlight w:val="black"/>
              </w:rPr>
              <w:t>Real Estate Partner</w:t>
            </w:r>
          </w:p>
        </w:tc>
        <w:tc>
          <w:tcPr>
            <w:tcW w:w="1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60" w:type="dxa"/>
            <w:vAlign w:val="bottom"/>
          </w:tcPr>
          <w:p>
            <w:pPr>
              <w:ind w:left="20"/>
              <w:spacing w:after="0"/>
              <w:rPr>
                <w:sz w:val="20"/>
                <w:szCs w:val="20"/>
                <w:color w:val="auto"/>
              </w:rPr>
            </w:pPr>
            <w:r>
              <w:rPr>
                <w:rFonts w:ascii="Arial" w:cs="Arial" w:eastAsia="Arial" w:hAnsi="Arial"/>
                <w:sz w:val="9"/>
                <w:szCs w:val="9"/>
                <w:color w:val="auto"/>
              </w:rPr>
              <w:t>Weighted Average Cap</w:t>
            </w:r>
          </w:p>
        </w:tc>
        <w:tc>
          <w:tcPr>
            <w:tcW w:w="2120" w:type="dxa"/>
            <w:vAlign w:val="bottom"/>
          </w:tcPr>
          <w:p>
            <w:pPr>
              <w:spacing w:after="0"/>
              <w:rPr>
                <w:sz w:val="8"/>
                <w:szCs w:val="8"/>
                <w:color w:val="auto"/>
              </w:rPr>
            </w:pPr>
          </w:p>
        </w:tc>
      </w:tr>
      <w:tr>
        <w:trPr>
          <w:trHeight w:val="116"/>
        </w:trPr>
        <w:tc>
          <w:tcPr>
            <w:tcW w:w="520" w:type="dxa"/>
            <w:vAlign w:val="bottom"/>
            <w:tcBorders>
              <w:bottom w:val="single" w:sz="8" w:color="auto"/>
            </w:tcBorders>
          </w:tcPr>
          <w:p>
            <w:pPr>
              <w:spacing w:after="0" w:line="96" w:lineRule="exact"/>
              <w:rPr>
                <w:sz w:val="20"/>
                <w:szCs w:val="20"/>
                <w:color w:val="auto"/>
              </w:rPr>
            </w:pPr>
            <w:r>
              <w:rPr>
                <w:rFonts w:ascii="Arial" w:cs="Arial" w:eastAsia="Arial" w:hAnsi="Arial"/>
                <w:sz w:val="9"/>
                <w:szCs w:val="9"/>
                <w:color w:val="auto"/>
                <w:highlight w:val="black"/>
              </w:rPr>
              <w:t>Date</w:t>
            </w:r>
          </w:p>
        </w:tc>
        <w:tc>
          <w:tcPr>
            <w:tcW w:w="1940" w:type="dxa"/>
            <w:vAlign w:val="bottom"/>
            <w:tcBorders>
              <w:bottom w:val="single" w:sz="8" w:color="auto"/>
            </w:tcBorders>
          </w:tcPr>
          <w:p>
            <w:pPr>
              <w:ind w:left="320"/>
              <w:spacing w:after="0" w:line="96" w:lineRule="exact"/>
              <w:rPr>
                <w:sz w:val="20"/>
                <w:szCs w:val="20"/>
                <w:color w:val="auto"/>
              </w:rPr>
            </w:pPr>
            <w:r>
              <w:rPr>
                <w:rFonts w:ascii="Arial" w:cs="Arial" w:eastAsia="Arial" w:hAnsi="Arial"/>
                <w:sz w:val="9"/>
                <w:szCs w:val="9"/>
                <w:color w:val="auto"/>
                <w:highlight w:val="black"/>
              </w:rPr>
              <w:t>Property Name</w:t>
            </w:r>
          </w:p>
        </w:tc>
        <w:tc>
          <w:tcPr>
            <w:tcW w:w="2200" w:type="dxa"/>
            <w:vAlign w:val="bottom"/>
            <w:tcBorders>
              <w:bottom w:val="single" w:sz="8" w:color="auto"/>
            </w:tcBorders>
          </w:tcPr>
          <w:p>
            <w:pPr>
              <w:jc w:val="center"/>
              <w:ind w:left="533"/>
              <w:spacing w:after="0" w:line="96" w:lineRule="exact"/>
              <w:rPr>
                <w:sz w:val="20"/>
                <w:szCs w:val="20"/>
                <w:color w:val="auto"/>
              </w:rPr>
            </w:pPr>
            <w:r>
              <w:rPr>
                <w:rFonts w:ascii="Arial" w:cs="Arial" w:eastAsia="Arial" w:hAnsi="Arial"/>
                <w:sz w:val="9"/>
                <w:szCs w:val="9"/>
                <w:color w:val="auto"/>
                <w:highlight w:val="black"/>
              </w:rPr>
              <w:t>(REG %)</w:t>
            </w:r>
          </w:p>
        </w:tc>
        <w:tc>
          <w:tcPr>
            <w:tcW w:w="1240" w:type="dxa"/>
            <w:vAlign w:val="bottom"/>
            <w:tcBorders>
              <w:bottom w:val="single" w:sz="8" w:color="auto"/>
            </w:tcBorders>
          </w:tcPr>
          <w:p>
            <w:pPr>
              <w:ind w:left="400"/>
              <w:spacing w:after="0" w:line="96" w:lineRule="exact"/>
              <w:rPr>
                <w:sz w:val="20"/>
                <w:szCs w:val="20"/>
                <w:color w:val="auto"/>
              </w:rPr>
            </w:pPr>
            <w:r>
              <w:rPr>
                <w:rFonts w:ascii="Arial" w:cs="Arial" w:eastAsia="Arial" w:hAnsi="Arial"/>
                <w:sz w:val="9"/>
                <w:szCs w:val="9"/>
                <w:color w:val="auto"/>
                <w:highlight w:val="black"/>
              </w:rPr>
              <w:t>Market</w:t>
            </w:r>
          </w:p>
        </w:tc>
        <w:tc>
          <w:tcPr>
            <w:tcW w:w="66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highlight w:val="black"/>
              </w:rPr>
              <w:t>Total GLA</w:t>
            </w:r>
          </w:p>
        </w:tc>
        <w:tc>
          <w:tcPr>
            <w:tcW w:w="1440" w:type="dxa"/>
            <w:vAlign w:val="bottom"/>
            <w:tcBorders>
              <w:bottom w:val="single" w:sz="8" w:color="auto"/>
            </w:tcBorders>
          </w:tcPr>
          <w:p>
            <w:pPr>
              <w:jc w:val="center"/>
              <w:spacing w:after="0" w:line="96" w:lineRule="exact"/>
              <w:rPr>
                <w:sz w:val="20"/>
                <w:szCs w:val="20"/>
                <w:color w:val="auto"/>
              </w:rPr>
            </w:pPr>
            <w:r>
              <w:rPr>
                <w:rFonts w:ascii="Arial" w:cs="Arial" w:eastAsia="Arial" w:hAnsi="Arial"/>
                <w:sz w:val="9"/>
                <w:szCs w:val="9"/>
                <w:color w:val="auto"/>
              </w:rPr>
              <w:t>REG Share of Purchase Price</w:t>
            </w:r>
          </w:p>
        </w:tc>
        <w:tc>
          <w:tcPr>
            <w:tcW w:w="1060" w:type="dxa"/>
            <w:vAlign w:val="bottom"/>
            <w:tcBorders>
              <w:bottom w:val="single" w:sz="8" w:color="auto"/>
            </w:tcBorders>
          </w:tcPr>
          <w:p>
            <w:pPr>
              <w:ind w:left="420"/>
              <w:spacing w:after="0" w:line="96" w:lineRule="exact"/>
              <w:rPr>
                <w:sz w:val="20"/>
                <w:szCs w:val="20"/>
                <w:color w:val="auto"/>
              </w:rPr>
            </w:pPr>
            <w:r>
              <w:rPr>
                <w:rFonts w:ascii="Arial" w:cs="Arial" w:eastAsia="Arial" w:hAnsi="Arial"/>
                <w:sz w:val="9"/>
                <w:szCs w:val="9"/>
                <w:color w:val="auto"/>
                <w:highlight w:val="black"/>
              </w:rPr>
              <w:t>Rate</w:t>
            </w:r>
          </w:p>
        </w:tc>
        <w:tc>
          <w:tcPr>
            <w:tcW w:w="2120" w:type="dxa"/>
            <w:vAlign w:val="bottom"/>
            <w:tcBorders>
              <w:bottom w:val="single" w:sz="8" w:color="auto"/>
            </w:tcBorders>
          </w:tcPr>
          <w:p>
            <w:pPr>
              <w:ind w:left="840"/>
              <w:spacing w:after="0" w:line="96" w:lineRule="exact"/>
              <w:rPr>
                <w:sz w:val="20"/>
                <w:szCs w:val="20"/>
                <w:color w:val="auto"/>
              </w:rPr>
            </w:pPr>
            <w:r>
              <w:rPr>
                <w:rFonts w:ascii="Arial" w:cs="Arial" w:eastAsia="Arial" w:hAnsi="Arial"/>
                <w:sz w:val="9"/>
                <w:szCs w:val="9"/>
                <w:color w:val="auto"/>
                <w:highlight w:val="black"/>
              </w:rPr>
              <w:t>Anchor(s)</w:t>
            </w:r>
          </w:p>
        </w:tc>
      </w:tr>
      <w:tr>
        <w:trPr>
          <w:trHeight w:val="224"/>
        </w:trPr>
        <w:tc>
          <w:tcPr>
            <w:tcW w:w="5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rPr>
              <w:t>$-</w:t>
            </w:r>
          </w:p>
        </w:tc>
        <w:tc>
          <w:tcPr>
            <w:tcW w:w="1060" w:type="dxa"/>
            <w:vAlign w:val="bottom"/>
            <w:tcBorders>
              <w:bottom w:val="single" w:sz="8" w:color="auto"/>
            </w:tcBorders>
          </w:tcPr>
          <w:p>
            <w:pPr>
              <w:spacing w:after="0"/>
              <w:rPr>
                <w:sz w:val="19"/>
                <w:szCs w:val="19"/>
                <w:color w:val="auto"/>
              </w:rPr>
            </w:pPr>
          </w:p>
        </w:tc>
        <w:tc>
          <w:tcPr>
            <w:tcW w:w="2120" w:type="dxa"/>
            <w:vAlign w:val="bottom"/>
          </w:tcPr>
          <w:p>
            <w:pPr>
              <w:spacing w:after="0"/>
              <w:rPr>
                <w:sz w:val="19"/>
                <w:szCs w:val="19"/>
                <w:color w:val="auto"/>
              </w:rPr>
            </w:pPr>
          </w:p>
        </w:tc>
      </w:tr>
      <w:tr>
        <w:trPr>
          <w:trHeight w:val="114"/>
        </w:trPr>
        <w:tc>
          <w:tcPr>
            <w:tcW w:w="5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strike w:val="1"/>
              </w:rPr>
              <w:t>-</w:t>
            </w:r>
          </w:p>
        </w:tc>
        <w:tc>
          <w:tcPr>
            <w:tcW w:w="144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rPr>
              <w:t>$-</w:t>
            </w:r>
          </w:p>
        </w:tc>
        <w:tc>
          <w:tcPr>
            <w:tcW w:w="106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r>
      <w:tr>
        <w:trPr>
          <w:trHeight w:val="118"/>
        </w:trPr>
        <w:tc>
          <w:tcPr>
            <w:tcW w:w="5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2120" w:type="dxa"/>
            <w:vAlign w:val="bottom"/>
          </w:tcPr>
          <w:p>
            <w:pPr>
              <w:spacing w:after="0"/>
              <w:rPr>
                <w:sz w:val="10"/>
                <w:szCs w:val="10"/>
                <w:color w:val="auto"/>
              </w:rPr>
            </w:pPr>
          </w:p>
        </w:tc>
      </w:tr>
      <w:tr>
        <w:trPr>
          <w:trHeight w:val="114"/>
        </w:trPr>
        <w:tc>
          <w:tcPr>
            <w:tcW w:w="5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4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rPr>
              <w:t>$-</w:t>
            </w:r>
          </w:p>
        </w:tc>
        <w:tc>
          <w:tcPr>
            <w:tcW w:w="1060" w:type="dxa"/>
            <w:vAlign w:val="bottom"/>
          </w:tcPr>
          <w:p>
            <w:pPr>
              <w:spacing w:after="0"/>
              <w:rPr>
                <w:sz w:val="9"/>
                <w:szCs w:val="9"/>
                <w:color w:val="auto"/>
              </w:rPr>
            </w:pPr>
          </w:p>
        </w:tc>
        <w:tc>
          <w:tcPr>
            <w:tcW w:w="2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241300</wp:posOffset>
            </wp:positionV>
            <wp:extent cx="281305" cy="149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1305" cy="14922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-262890</wp:posOffset>
            </wp:positionV>
            <wp:extent cx="7747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572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-90170</wp:posOffset>
            </wp:positionV>
            <wp:extent cx="7747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0200"/>
        <w:spacing w:after="0"/>
        <w:tabs>
          <w:tab w:leader="none" w:pos="11100"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320040</wp:posOffset>
            </wp:positionV>
            <wp:extent cx="720280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8" w:name="page39"/>
    <w:bookmarkEnd w:id="38"/>
    <w:p>
      <w:pPr>
        <w:jc w:val="center"/>
        <w:ind w:right="-7"/>
        <w:spacing w:after="0"/>
        <w:rPr>
          <w:sz w:val="20"/>
          <w:szCs w:val="20"/>
          <w:color w:val="auto"/>
        </w:rPr>
      </w:pPr>
      <w:r>
        <w:rPr>
          <w:rFonts w:ascii="Arial" w:cs="Arial" w:eastAsia="Arial" w:hAnsi="Arial"/>
          <w:sz w:val="12"/>
          <w:szCs w:val="12"/>
          <w:color w:val="auto"/>
          <w:highlight w:val="black"/>
        </w:rPr>
        <w:t xml:space="preserve">Summary </w:t>
      </w:r>
      <w:r>
        <w:rPr>
          <w:rFonts w:ascii="Arial" w:cs="Arial" w:eastAsia="Arial" w:hAnsi="Arial"/>
          <w:sz w:val="12"/>
          <w:szCs w:val="12"/>
          <w:color w:val="auto"/>
        </w:rPr>
        <w:t>of Developments and Redevelopments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7405" cy="19754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7405" cy="1975485"/>
                    </a:xfrm>
                    <a:prstGeom prst="rect">
                      <a:avLst/>
                    </a:prstGeom>
                    <a:noFill/>
                  </pic:spPr>
                </pic:pic>
              </a:graphicData>
            </a:graphic>
          </wp:anchor>
        </w:drawing>
      </w:r>
    </w:p>
    <w:p>
      <w:pPr>
        <w:spacing w:after="0" w:line="162" w:lineRule="exact"/>
        <w:rPr>
          <w:sz w:val="20"/>
          <w:szCs w:val="20"/>
          <w:color w:val="auto"/>
        </w:rPr>
      </w:pPr>
    </w:p>
    <w:p>
      <w:pPr>
        <w:ind w:left="8"/>
        <w:spacing w:after="0"/>
        <w:rPr>
          <w:sz w:val="20"/>
          <w:szCs w:val="20"/>
          <w:color w:val="auto"/>
        </w:rPr>
      </w:pPr>
      <w:r>
        <w:rPr>
          <w:rFonts w:ascii="Arial" w:cs="Arial" w:eastAsia="Arial" w:hAnsi="Arial"/>
          <w:sz w:val="7"/>
          <w:szCs w:val="7"/>
          <w:color w:val="auto"/>
        </w:rPr>
        <w:t xml:space="preserve">In-Process Developments and Redevelopments </w:t>
      </w:r>
      <w:r>
        <w:rPr>
          <w:rFonts w:ascii="Arial" w:cs="Arial" w:eastAsia="Arial" w:hAnsi="Arial"/>
          <w:sz w:val="9"/>
          <w:szCs w:val="9"/>
          <w:color w:val="auto"/>
          <w:vertAlign w:val="superscript"/>
        </w:rPr>
        <w:t>(1)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77"/>
        </w:trPr>
        <w:tc>
          <w:tcPr>
            <w:tcW w:w="540" w:type="dxa"/>
            <w:vAlign w:val="bottom"/>
            <w:vMerge w:val="restart"/>
          </w:tcPr>
          <w:p>
            <w:pPr>
              <w:spacing w:after="0"/>
              <w:rPr>
                <w:sz w:val="20"/>
                <w:szCs w:val="20"/>
                <w:color w:val="auto"/>
              </w:rPr>
            </w:pPr>
            <w:r>
              <w:rPr>
                <w:rFonts w:ascii="Arial" w:cs="Arial" w:eastAsia="Arial" w:hAnsi="Arial"/>
                <w:sz w:val="7"/>
                <w:szCs w:val="7"/>
                <w:color w:val="auto"/>
                <w:highlight w:val="black"/>
                <w:w w:val="98"/>
              </w:rPr>
              <w:t>Shopping Center</w:t>
            </w:r>
          </w:p>
        </w:tc>
        <w:tc>
          <w:tcPr>
            <w:tcW w:w="1760" w:type="dxa"/>
            <w:vAlign w:val="bottom"/>
          </w:tcPr>
          <w:p>
            <w:pPr>
              <w:spacing w:after="0"/>
              <w:rPr>
                <w:sz w:val="6"/>
                <w:szCs w:val="6"/>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FFFFFF"/>
              </w:rPr>
              <w:t>0</w:t>
            </w:r>
          </w:p>
        </w:tc>
        <w:tc>
          <w:tcPr>
            <w:tcW w:w="40" w:type="dxa"/>
            <w:vAlign w:val="bottom"/>
          </w:tcPr>
          <w:p>
            <w:pPr>
              <w:spacing w:after="0"/>
              <w:rPr>
                <w:sz w:val="6"/>
                <w:szCs w:val="6"/>
                <w:color w:val="auto"/>
              </w:rPr>
            </w:pPr>
          </w:p>
        </w:tc>
        <w:tc>
          <w:tcPr>
            <w:tcW w:w="220" w:type="dxa"/>
            <w:vAlign w:val="bottom"/>
            <w:vMerge w:val="restart"/>
          </w:tcPr>
          <w:p>
            <w:pPr>
              <w:spacing w:after="0"/>
              <w:rPr>
                <w:sz w:val="20"/>
                <w:szCs w:val="20"/>
                <w:color w:val="auto"/>
              </w:rPr>
            </w:pPr>
            <w:r>
              <w:rPr>
                <w:rFonts w:ascii="Arial" w:cs="Arial" w:eastAsia="Arial" w:hAnsi="Arial"/>
                <w:sz w:val="7"/>
                <w:szCs w:val="7"/>
                <w:color w:val="auto"/>
                <w:highlight w:val="black"/>
                <w:w w:val="93"/>
              </w:rPr>
              <w:t>Market</w:t>
            </w:r>
          </w:p>
        </w:tc>
        <w:tc>
          <w:tcPr>
            <w:tcW w:w="920" w:type="dxa"/>
            <w:vAlign w:val="bottom"/>
          </w:tcPr>
          <w:p>
            <w:pPr>
              <w:spacing w:after="0"/>
              <w:rPr>
                <w:sz w:val="6"/>
                <w:szCs w:val="6"/>
                <w:color w:val="auto"/>
              </w:rPr>
            </w:pPr>
          </w:p>
        </w:tc>
        <w:tc>
          <w:tcPr>
            <w:tcW w:w="700" w:type="dxa"/>
            <w:vAlign w:val="bottom"/>
            <w:vMerge w:val="restart"/>
          </w:tcPr>
          <w:p>
            <w:pPr>
              <w:spacing w:after="0"/>
              <w:rPr>
                <w:sz w:val="20"/>
                <w:szCs w:val="20"/>
                <w:color w:val="auto"/>
              </w:rPr>
            </w:pPr>
            <w:r>
              <w:rPr>
                <w:rFonts w:ascii="Arial" w:cs="Arial" w:eastAsia="Arial" w:hAnsi="Arial"/>
                <w:sz w:val="7"/>
                <w:szCs w:val="7"/>
                <w:color w:val="auto"/>
                <w:highlight w:val="black"/>
                <w:w w:val="98"/>
              </w:rPr>
              <w:t>Grocer/Anchor Tenant</w:t>
            </w:r>
          </w:p>
        </w:tc>
        <w:tc>
          <w:tcPr>
            <w:tcW w:w="680" w:type="dxa"/>
            <w:vAlign w:val="bottom"/>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7"/>
                <w:szCs w:val="7"/>
                <w:color w:val="auto"/>
                <w:highlight w:val="black"/>
                <w:w w:val="96"/>
              </w:rPr>
              <w:t>Center % Leased</w:t>
            </w:r>
          </w:p>
        </w:tc>
        <w:tc>
          <w:tcPr>
            <w:tcW w:w="260" w:type="dxa"/>
            <w:vAlign w:val="bottom"/>
          </w:tcPr>
          <w:p>
            <w:pPr>
              <w:spacing w:after="0"/>
              <w:rPr>
                <w:sz w:val="6"/>
                <w:szCs w:val="6"/>
                <w:color w:val="auto"/>
              </w:rPr>
            </w:pPr>
          </w:p>
        </w:tc>
        <w:tc>
          <w:tcPr>
            <w:tcW w:w="380" w:type="dxa"/>
            <w:vAlign w:val="bottom"/>
            <w:vMerge w:val="restart"/>
          </w:tcPr>
          <w:p>
            <w:pPr>
              <w:spacing w:after="0"/>
              <w:rPr>
                <w:sz w:val="20"/>
                <w:szCs w:val="20"/>
                <w:color w:val="auto"/>
              </w:rPr>
            </w:pPr>
            <w:r>
              <w:rPr>
                <w:rFonts w:ascii="Arial" w:cs="Arial" w:eastAsia="Arial" w:hAnsi="Arial"/>
                <w:sz w:val="7"/>
                <w:szCs w:val="7"/>
                <w:color w:val="auto"/>
                <w:highlight w:val="black"/>
                <w:w w:val="93"/>
              </w:rPr>
              <w:t>Project Start</w:t>
            </w:r>
          </w:p>
        </w:tc>
        <w:tc>
          <w:tcPr>
            <w:tcW w:w="260" w:type="dxa"/>
            <w:vAlign w:val="bottom"/>
          </w:tcPr>
          <w:p>
            <w:pPr>
              <w:spacing w:after="0"/>
              <w:rPr>
                <w:sz w:val="6"/>
                <w:szCs w:val="6"/>
                <w:color w:val="auto"/>
              </w:rPr>
            </w:pPr>
          </w:p>
        </w:tc>
        <w:tc>
          <w:tcPr>
            <w:tcW w:w="1020" w:type="dxa"/>
            <w:vAlign w:val="bottom"/>
            <w:vMerge w:val="restart"/>
          </w:tcPr>
          <w:p>
            <w:pPr>
              <w:spacing w:after="0"/>
              <w:rPr>
                <w:sz w:val="20"/>
                <w:szCs w:val="20"/>
                <w:color w:val="auto"/>
              </w:rPr>
            </w:pPr>
            <w:r>
              <w:rPr>
                <w:rFonts w:ascii="Arial" w:cs="Arial" w:eastAsia="Arial" w:hAnsi="Arial"/>
                <w:sz w:val="7"/>
                <w:szCs w:val="7"/>
                <w:color w:val="auto"/>
              </w:rPr>
              <w:t>Est Initial Rent Commencement</w:t>
            </w:r>
          </w:p>
        </w:tc>
        <w:tc>
          <w:tcPr>
            <w:tcW w:w="80" w:type="dxa"/>
            <w:vAlign w:val="bottom"/>
            <w:tcBorders>
              <w:bottom w:val="single" w:sz="8" w:color="auto"/>
            </w:tcBorders>
          </w:tcPr>
          <w:p>
            <w:pPr>
              <w:spacing w:after="0"/>
              <w:rPr>
                <w:sz w:val="20"/>
                <w:szCs w:val="20"/>
                <w:color w:val="auto"/>
              </w:rPr>
            </w:pPr>
            <w:r>
              <w:rPr>
                <w:rFonts w:ascii="Arial" w:cs="Arial" w:eastAsia="Arial" w:hAnsi="Arial"/>
                <w:sz w:val="5"/>
                <w:szCs w:val="5"/>
                <w:color w:val="auto"/>
                <w:w w:val="97"/>
              </w:rPr>
              <w:t>(a)</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7"/>
                <w:szCs w:val="7"/>
                <w:color w:val="auto"/>
                <w:w w:val="96"/>
              </w:rPr>
              <w:t>Est Stabilization Year</w:t>
            </w:r>
          </w:p>
        </w:tc>
        <w:tc>
          <w:tcPr>
            <w:tcW w:w="60" w:type="dxa"/>
            <w:vAlign w:val="bottom"/>
            <w:tcBorders>
              <w:bottom w:val="single" w:sz="8" w:color="auto"/>
            </w:tcBorders>
          </w:tcPr>
          <w:p>
            <w:pPr>
              <w:spacing w:after="0"/>
              <w:rPr>
                <w:sz w:val="20"/>
                <w:szCs w:val="20"/>
                <w:color w:val="auto"/>
              </w:rPr>
            </w:pPr>
            <w:r>
              <w:rPr>
                <w:rFonts w:ascii="Arial" w:cs="Arial" w:eastAsia="Arial" w:hAnsi="Arial"/>
                <w:sz w:val="4"/>
                <w:szCs w:val="4"/>
                <w:color w:val="auto"/>
                <w:w w:val="80"/>
              </w:rPr>
              <w:t>(b)</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7"/>
                <w:szCs w:val="7"/>
                <w:color w:val="auto"/>
                <w:highlight w:val="black"/>
              </w:rPr>
              <w:t>Net Project Costs</w:t>
            </w:r>
          </w:p>
        </w:tc>
        <w:tc>
          <w:tcPr>
            <w:tcW w:w="140" w:type="dxa"/>
            <w:vAlign w:val="bottom"/>
          </w:tcPr>
          <w:p>
            <w:pPr>
              <w:spacing w:after="0"/>
              <w:rPr>
                <w:sz w:val="20"/>
                <w:szCs w:val="20"/>
                <w:color w:val="auto"/>
              </w:rPr>
            </w:pPr>
            <w:r>
              <w:rPr>
                <w:rFonts w:ascii="Arial" w:cs="Arial" w:eastAsia="Arial" w:hAnsi="Arial"/>
                <w:sz w:val="5"/>
                <w:szCs w:val="5"/>
                <w:u w:val="single" w:color="auto"/>
                <w:color w:val="auto"/>
              </w:rPr>
              <w:t>(c)</w:t>
            </w:r>
          </w:p>
        </w:tc>
        <w:tc>
          <w:tcPr>
            <w:tcW w:w="8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7"/>
                <w:szCs w:val="7"/>
                <w:color w:val="auto"/>
              </w:rPr>
              <w:t>% of Costs Incurred</w:t>
            </w:r>
          </w:p>
        </w:tc>
        <w:tc>
          <w:tcPr>
            <w:tcW w:w="22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Arial" w:cs="Arial" w:eastAsia="Arial" w:hAnsi="Arial"/>
                <w:sz w:val="7"/>
                <w:szCs w:val="7"/>
                <w:color w:val="auto"/>
                <w:highlight w:val="black"/>
              </w:rPr>
              <w:t>Stabilized Yield</w:t>
            </w:r>
          </w:p>
        </w:tc>
        <w:tc>
          <w:tcPr>
            <w:tcW w:w="60" w:type="dxa"/>
            <w:vAlign w:val="bottom"/>
            <w:tcBorders>
              <w:bottom w:val="single" w:sz="8" w:color="auto"/>
            </w:tcBorders>
          </w:tcPr>
          <w:p>
            <w:pPr>
              <w:spacing w:after="0"/>
              <w:rPr>
                <w:sz w:val="20"/>
                <w:szCs w:val="20"/>
                <w:color w:val="auto"/>
              </w:rPr>
            </w:pPr>
            <w:r>
              <w:rPr>
                <w:rFonts w:ascii="Arial" w:cs="Arial" w:eastAsia="Arial" w:hAnsi="Arial"/>
                <w:sz w:val="4"/>
                <w:szCs w:val="4"/>
                <w:color w:val="auto"/>
                <w:w w:val="80"/>
              </w:rPr>
              <w:t>(d)</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540" w:type="dxa"/>
            <w:vAlign w:val="bottom"/>
            <w:tcBorders>
              <w:bottom w:val="single" w:sz="8" w:color="auto"/>
            </w:tcBorders>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bottom w:val="single" w:sz="8" w:color="auto"/>
            </w:tcBorders>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bottom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300" w:type="dxa"/>
            <w:vAlign w:val="bottom"/>
            <w:tcBorders>
              <w:bottom w:val="single" w:sz="8" w:color="808080"/>
            </w:tcBorders>
            <w:gridSpan w:val="2"/>
            <w:shd w:val="clear" w:color="auto" w:fill="808080"/>
          </w:tcPr>
          <w:p>
            <w:pPr>
              <w:spacing w:after="0"/>
              <w:rPr>
                <w:sz w:val="20"/>
                <w:szCs w:val="20"/>
                <w:color w:val="auto"/>
              </w:rPr>
            </w:pPr>
            <w:r>
              <w:rPr>
                <w:rFonts w:ascii="Arial" w:cs="Arial" w:eastAsia="Arial" w:hAnsi="Arial"/>
                <w:sz w:val="7"/>
                <w:szCs w:val="7"/>
                <w:color w:val="auto"/>
              </w:rPr>
              <w:t>Ground-up Developments</w:t>
            </w:r>
          </w:p>
        </w:tc>
        <w:tc>
          <w:tcPr>
            <w:tcW w:w="460" w:type="dxa"/>
            <w:vAlign w:val="bottom"/>
            <w:tcBorders>
              <w:bottom w:val="single" w:sz="8" w:color="808080"/>
            </w:tcBorders>
            <w:shd w:val="clear" w:color="auto" w:fill="808080"/>
          </w:tcPr>
          <w:p>
            <w:pPr>
              <w:spacing w:after="0"/>
              <w:rPr>
                <w:sz w:val="10"/>
                <w:szCs w:val="10"/>
                <w:color w:val="auto"/>
              </w:rPr>
            </w:pPr>
          </w:p>
        </w:tc>
        <w:tc>
          <w:tcPr>
            <w:tcW w:w="40" w:type="dxa"/>
            <w:vAlign w:val="bottom"/>
            <w:tcBorders>
              <w:bottom w:val="single" w:sz="8" w:color="808080"/>
            </w:tcBorders>
            <w:shd w:val="clear" w:color="auto" w:fill="808080"/>
          </w:tcPr>
          <w:p>
            <w:pPr>
              <w:spacing w:after="0"/>
              <w:rPr>
                <w:sz w:val="10"/>
                <w:szCs w:val="10"/>
                <w:color w:val="auto"/>
              </w:rPr>
            </w:pPr>
          </w:p>
        </w:tc>
        <w:tc>
          <w:tcPr>
            <w:tcW w:w="220" w:type="dxa"/>
            <w:vAlign w:val="bottom"/>
            <w:tcBorders>
              <w:bottom w:val="single" w:sz="8" w:color="808080"/>
            </w:tcBorders>
            <w:shd w:val="clear" w:color="auto" w:fill="808080"/>
          </w:tcPr>
          <w:p>
            <w:pPr>
              <w:spacing w:after="0"/>
              <w:rPr>
                <w:sz w:val="10"/>
                <w:szCs w:val="10"/>
                <w:color w:val="auto"/>
              </w:rPr>
            </w:pPr>
          </w:p>
        </w:tc>
        <w:tc>
          <w:tcPr>
            <w:tcW w:w="920" w:type="dxa"/>
            <w:vAlign w:val="bottom"/>
            <w:tcBorders>
              <w:bottom w:val="single" w:sz="8" w:color="808080"/>
            </w:tcBorders>
            <w:shd w:val="clear" w:color="auto" w:fill="808080"/>
          </w:tcPr>
          <w:p>
            <w:pPr>
              <w:spacing w:after="0"/>
              <w:rPr>
                <w:sz w:val="10"/>
                <w:szCs w:val="10"/>
                <w:color w:val="auto"/>
              </w:rPr>
            </w:pPr>
          </w:p>
        </w:tc>
        <w:tc>
          <w:tcPr>
            <w:tcW w:w="700" w:type="dxa"/>
            <w:vAlign w:val="bottom"/>
            <w:tcBorders>
              <w:bottom w:val="single" w:sz="8" w:color="808080"/>
            </w:tcBorders>
            <w:shd w:val="clear" w:color="auto" w:fill="808080"/>
          </w:tcPr>
          <w:p>
            <w:pPr>
              <w:spacing w:after="0"/>
              <w:rPr>
                <w:sz w:val="10"/>
                <w:szCs w:val="10"/>
                <w:color w:val="auto"/>
              </w:rPr>
            </w:pPr>
          </w:p>
        </w:tc>
        <w:tc>
          <w:tcPr>
            <w:tcW w:w="680" w:type="dxa"/>
            <w:vAlign w:val="bottom"/>
            <w:tcBorders>
              <w:bottom w:val="single" w:sz="8" w:color="808080"/>
            </w:tcBorders>
            <w:shd w:val="clear" w:color="auto" w:fill="808080"/>
          </w:tcPr>
          <w:p>
            <w:pPr>
              <w:spacing w:after="0"/>
              <w:rPr>
                <w:sz w:val="10"/>
                <w:szCs w:val="10"/>
                <w:color w:val="auto"/>
              </w:rPr>
            </w:pPr>
          </w:p>
        </w:tc>
        <w:tc>
          <w:tcPr>
            <w:tcW w:w="54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7"/>
                <w:szCs w:val="7"/>
                <w:color w:val="auto"/>
                <w:highlight w:val="white"/>
                <w:w w:val="99"/>
              </w:rPr>
              <w:t>75%</w:t>
            </w:r>
          </w:p>
        </w:tc>
        <w:tc>
          <w:tcPr>
            <w:tcW w:w="260" w:type="dxa"/>
            <w:vAlign w:val="bottom"/>
            <w:tcBorders>
              <w:bottom w:val="single" w:sz="8" w:color="808080"/>
            </w:tcBorders>
            <w:shd w:val="clear" w:color="auto" w:fill="808080"/>
          </w:tcPr>
          <w:p>
            <w:pPr>
              <w:spacing w:after="0"/>
              <w:rPr>
                <w:sz w:val="10"/>
                <w:szCs w:val="10"/>
                <w:color w:val="auto"/>
              </w:rPr>
            </w:pPr>
          </w:p>
        </w:tc>
        <w:tc>
          <w:tcPr>
            <w:tcW w:w="380" w:type="dxa"/>
            <w:vAlign w:val="bottom"/>
            <w:tcBorders>
              <w:bottom w:val="single" w:sz="8" w:color="808080"/>
            </w:tcBorders>
            <w:shd w:val="clear" w:color="auto" w:fill="808080"/>
          </w:tcPr>
          <w:p>
            <w:pPr>
              <w:spacing w:after="0"/>
              <w:rPr>
                <w:sz w:val="10"/>
                <w:szCs w:val="10"/>
                <w:color w:val="auto"/>
              </w:rPr>
            </w:pPr>
          </w:p>
        </w:tc>
        <w:tc>
          <w:tcPr>
            <w:tcW w:w="260" w:type="dxa"/>
            <w:vAlign w:val="bottom"/>
            <w:tcBorders>
              <w:bottom w:val="single" w:sz="8" w:color="808080"/>
            </w:tcBorders>
            <w:shd w:val="clear" w:color="auto" w:fill="808080"/>
          </w:tcPr>
          <w:p>
            <w:pPr>
              <w:spacing w:after="0"/>
              <w:rPr>
                <w:sz w:val="10"/>
                <w:szCs w:val="10"/>
                <w:color w:val="auto"/>
              </w:rPr>
            </w:pPr>
          </w:p>
        </w:tc>
        <w:tc>
          <w:tcPr>
            <w:tcW w:w="1020" w:type="dxa"/>
            <w:vAlign w:val="bottom"/>
            <w:tcBorders>
              <w:bottom w:val="single" w:sz="8" w:color="808080"/>
            </w:tcBorders>
            <w:shd w:val="clear" w:color="auto" w:fill="808080"/>
          </w:tcPr>
          <w:p>
            <w:pPr>
              <w:spacing w:after="0"/>
              <w:rPr>
                <w:sz w:val="10"/>
                <w:szCs w:val="10"/>
                <w:color w:val="auto"/>
              </w:rPr>
            </w:pPr>
          </w:p>
        </w:tc>
        <w:tc>
          <w:tcPr>
            <w:tcW w:w="80" w:type="dxa"/>
            <w:vAlign w:val="bottom"/>
            <w:tcBorders>
              <w:bottom w:val="single" w:sz="8" w:color="808080"/>
            </w:tcBorders>
            <w:shd w:val="clear" w:color="auto" w:fill="808080"/>
          </w:tcPr>
          <w:p>
            <w:pPr>
              <w:spacing w:after="0"/>
              <w:rPr>
                <w:sz w:val="10"/>
                <w:szCs w:val="10"/>
                <w:color w:val="auto"/>
              </w:rPr>
            </w:pPr>
          </w:p>
        </w:tc>
        <w:tc>
          <w:tcPr>
            <w:tcW w:w="80" w:type="dxa"/>
            <w:vAlign w:val="bottom"/>
            <w:tcBorders>
              <w:bottom w:val="single" w:sz="8" w:color="808080"/>
            </w:tcBorders>
            <w:shd w:val="clear" w:color="auto" w:fill="808080"/>
          </w:tcPr>
          <w:p>
            <w:pPr>
              <w:spacing w:after="0"/>
              <w:rPr>
                <w:sz w:val="10"/>
                <w:szCs w:val="10"/>
                <w:color w:val="auto"/>
              </w:rPr>
            </w:pPr>
          </w:p>
        </w:tc>
        <w:tc>
          <w:tcPr>
            <w:tcW w:w="80" w:type="dxa"/>
            <w:vAlign w:val="bottom"/>
            <w:tcBorders>
              <w:bottom w:val="single" w:sz="8" w:color="808080"/>
            </w:tcBorders>
            <w:shd w:val="clear" w:color="auto" w:fill="808080"/>
          </w:tcPr>
          <w:p>
            <w:pPr>
              <w:spacing w:after="0"/>
              <w:rPr>
                <w:sz w:val="10"/>
                <w:szCs w:val="10"/>
                <w:color w:val="auto"/>
              </w:rPr>
            </w:pPr>
          </w:p>
        </w:tc>
        <w:tc>
          <w:tcPr>
            <w:tcW w:w="680" w:type="dxa"/>
            <w:vAlign w:val="bottom"/>
            <w:tcBorders>
              <w:bottom w:val="single" w:sz="8" w:color="808080"/>
            </w:tcBorders>
            <w:shd w:val="clear" w:color="auto" w:fill="808080"/>
          </w:tcPr>
          <w:p>
            <w:pPr>
              <w:spacing w:after="0"/>
              <w:rPr>
                <w:sz w:val="10"/>
                <w:szCs w:val="10"/>
                <w:color w:val="auto"/>
              </w:rPr>
            </w:pPr>
          </w:p>
        </w:tc>
        <w:tc>
          <w:tcPr>
            <w:tcW w:w="60" w:type="dxa"/>
            <w:vAlign w:val="bottom"/>
            <w:tcBorders>
              <w:bottom w:val="single" w:sz="8" w:color="808080"/>
            </w:tcBorders>
            <w:shd w:val="clear" w:color="auto" w:fill="808080"/>
          </w:tcPr>
          <w:p>
            <w:pPr>
              <w:spacing w:after="0"/>
              <w:rPr>
                <w:sz w:val="10"/>
                <w:szCs w:val="10"/>
                <w:color w:val="auto"/>
              </w:rPr>
            </w:pPr>
          </w:p>
        </w:tc>
        <w:tc>
          <w:tcPr>
            <w:tcW w:w="80" w:type="dxa"/>
            <w:vAlign w:val="bottom"/>
            <w:tcBorders>
              <w:bottom w:val="single" w:sz="8" w:color="808080"/>
            </w:tcBorders>
            <w:shd w:val="clear" w:color="auto" w:fill="808080"/>
          </w:tcPr>
          <w:p>
            <w:pPr>
              <w:spacing w:after="0"/>
              <w:rPr>
                <w:sz w:val="10"/>
                <w:szCs w:val="10"/>
                <w:color w:val="auto"/>
              </w:rPr>
            </w:pPr>
          </w:p>
        </w:tc>
        <w:tc>
          <w:tcPr>
            <w:tcW w:w="80" w:type="dxa"/>
            <w:vAlign w:val="bottom"/>
            <w:tcBorders>
              <w:bottom w:val="single" w:sz="8" w:color="808080"/>
            </w:tcBorders>
            <w:shd w:val="clear" w:color="auto" w:fill="808080"/>
          </w:tcPr>
          <w:p>
            <w:pPr>
              <w:spacing w:after="0"/>
              <w:rPr>
                <w:sz w:val="10"/>
                <w:szCs w:val="10"/>
                <w:color w:val="auto"/>
              </w:rPr>
            </w:pPr>
          </w:p>
        </w:tc>
        <w:tc>
          <w:tcPr>
            <w:tcW w:w="720" w:type="dxa"/>
            <w:vAlign w:val="bottom"/>
            <w:tcBorders>
              <w:bottom w:val="single" w:sz="8" w:color="808080"/>
            </w:tcBorders>
            <w:gridSpan w:val="2"/>
            <w:shd w:val="clear" w:color="auto" w:fill="808080"/>
          </w:tcPr>
          <w:p>
            <w:pPr>
              <w:jc w:val="center"/>
              <w:ind w:right="36"/>
              <w:spacing w:after="0"/>
              <w:rPr>
                <w:sz w:val="20"/>
                <w:szCs w:val="20"/>
                <w:color w:val="auto"/>
              </w:rPr>
            </w:pPr>
            <w:r>
              <w:rPr>
                <w:rFonts w:ascii="Arial" w:cs="Arial" w:eastAsia="Arial" w:hAnsi="Arial"/>
                <w:sz w:val="7"/>
                <w:szCs w:val="7"/>
                <w:color w:val="auto"/>
                <w:highlight w:val="white"/>
              </w:rPr>
              <w:t>$338M</w:t>
            </w:r>
          </w:p>
        </w:tc>
        <w:tc>
          <w:tcPr>
            <w:tcW w:w="720" w:type="dxa"/>
            <w:vAlign w:val="bottom"/>
            <w:tcBorders>
              <w:bottom w:val="single" w:sz="8" w:color="808080"/>
            </w:tcBorders>
            <w:gridSpan w:val="2"/>
            <w:shd w:val="clear" w:color="auto" w:fill="808080"/>
          </w:tcPr>
          <w:p>
            <w:pPr>
              <w:jc w:val="center"/>
              <w:ind w:left="25"/>
              <w:spacing w:after="0"/>
              <w:rPr>
                <w:sz w:val="20"/>
                <w:szCs w:val="20"/>
                <w:color w:val="auto"/>
              </w:rPr>
            </w:pPr>
            <w:r>
              <w:rPr>
                <w:rFonts w:ascii="Arial" w:cs="Arial" w:eastAsia="Arial" w:hAnsi="Arial"/>
                <w:sz w:val="7"/>
                <w:szCs w:val="7"/>
                <w:color w:val="auto"/>
                <w:highlight w:val="white"/>
                <w:w w:val="99"/>
              </w:rPr>
              <w:t>42%</w:t>
            </w:r>
          </w:p>
        </w:tc>
        <w:tc>
          <w:tcPr>
            <w:tcW w:w="720" w:type="dxa"/>
            <w:vAlign w:val="bottom"/>
            <w:tcBorders>
              <w:bottom w:val="single" w:sz="8" w:color="808080"/>
            </w:tcBorders>
            <w:gridSpan w:val="2"/>
            <w:shd w:val="clear" w:color="auto" w:fill="808080"/>
          </w:tcPr>
          <w:p>
            <w:pPr>
              <w:jc w:val="center"/>
              <w:ind w:left="245"/>
              <w:spacing w:after="0"/>
              <w:rPr>
                <w:sz w:val="20"/>
                <w:szCs w:val="20"/>
                <w:color w:val="auto"/>
              </w:rPr>
            </w:pPr>
            <w:r>
              <w:rPr>
                <w:rFonts w:ascii="Arial" w:cs="Arial" w:eastAsia="Arial" w:hAnsi="Arial"/>
                <w:sz w:val="7"/>
                <w:szCs w:val="7"/>
                <w:color w:val="auto"/>
                <w:highlight w:val="white"/>
              </w:rPr>
              <w:t>7% +/-</w:t>
            </w:r>
          </w:p>
        </w:tc>
        <w:tc>
          <w:tcPr>
            <w:tcW w:w="60" w:type="dxa"/>
            <w:vAlign w:val="bottom"/>
            <w:tcBorders>
              <w:bottom w:val="single" w:sz="8" w:color="808080"/>
            </w:tcBorders>
            <w:shd w:val="clear" w:color="auto" w:fill="808080"/>
          </w:tcPr>
          <w:p>
            <w:pPr>
              <w:spacing w:after="0"/>
              <w:rPr>
                <w:sz w:val="10"/>
                <w:szCs w:val="10"/>
                <w:color w:val="auto"/>
              </w:rPr>
            </w:pPr>
          </w:p>
        </w:tc>
        <w:tc>
          <w:tcPr>
            <w:tcW w:w="160" w:type="dxa"/>
            <w:vAlign w:val="bottom"/>
            <w:tcBorders>
              <w:bottom w:val="single" w:sz="8" w:color="808080"/>
            </w:tcBorders>
            <w:shd w:val="clear" w:color="auto" w:fill="808080"/>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7"/>
                <w:szCs w:val="7"/>
                <w:color w:val="auto"/>
              </w:rPr>
              <w:t xml:space="preserve">Sienna Grande Shops </w:t>
            </w:r>
            <w:r>
              <w:rPr>
                <w:rFonts w:ascii="Arial" w:cs="Arial" w:eastAsia="Arial" w:hAnsi="Arial"/>
                <w:sz w:val="9"/>
                <w:szCs w:val="9"/>
                <w:color w:val="auto"/>
                <w:vertAlign w:val="superscript"/>
              </w:rPr>
              <w:t>(2)(3)</w:t>
            </w:r>
          </w:p>
        </w:tc>
        <w:tc>
          <w:tcPr>
            <w:tcW w:w="4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FFFFFF"/>
              </w:rPr>
              <w:t>0</w:t>
            </w:r>
          </w:p>
        </w:tc>
        <w:tc>
          <w:tcPr>
            <w:tcW w:w="1180" w:type="dxa"/>
            <w:vAlign w:val="bottom"/>
            <w:tcBorders>
              <w:top w:val="single" w:sz="8" w:color="auto"/>
            </w:tcBorders>
            <w:gridSpan w:val="3"/>
          </w:tcPr>
          <w:p>
            <w:pPr>
              <w:ind w:left="40"/>
              <w:spacing w:after="0"/>
              <w:rPr>
                <w:sz w:val="20"/>
                <w:szCs w:val="20"/>
                <w:color w:val="auto"/>
              </w:rPr>
            </w:pPr>
            <w:r>
              <w:rPr>
                <w:rFonts w:ascii="Arial" w:cs="Arial" w:eastAsia="Arial" w:hAnsi="Arial"/>
                <w:sz w:val="7"/>
                <w:szCs w:val="7"/>
                <w:color w:val="auto"/>
              </w:rPr>
              <w:t>Houston, TX</w:t>
            </w: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7"/>
                <w:szCs w:val="7"/>
                <w:color w:val="auto"/>
              </w:rPr>
              <w:t>Retail</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7"/>
                <w:szCs w:val="7"/>
                <w:color w:val="auto"/>
                <w:w w:val="99"/>
              </w:rPr>
              <w:t>65%</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7"/>
                <w:szCs w:val="7"/>
                <w:color w:val="auto"/>
                <w:w w:val="95"/>
              </w:rPr>
              <w:t>Q2-2023</w:t>
            </w:r>
          </w:p>
        </w:tc>
        <w:tc>
          <w:tcPr>
            <w:tcW w:w="1180" w:type="dxa"/>
            <w:vAlign w:val="bottom"/>
            <w:tcBorders>
              <w:top w:val="single" w:sz="8" w:color="auto"/>
            </w:tcBorders>
            <w:gridSpan w:val="3"/>
          </w:tcPr>
          <w:p>
            <w:pPr>
              <w:ind w:left="400"/>
              <w:spacing w:after="0"/>
              <w:rPr>
                <w:sz w:val="20"/>
                <w:szCs w:val="20"/>
                <w:color w:val="auto"/>
              </w:rPr>
            </w:pPr>
            <w:r>
              <w:rPr>
                <w:rFonts w:ascii="Arial" w:cs="Arial" w:eastAsia="Arial" w:hAnsi="Arial"/>
                <w:sz w:val="7"/>
                <w:szCs w:val="7"/>
                <w:color w:val="auto"/>
              </w:rPr>
              <w:t>1H-2025</w:t>
            </w:r>
          </w:p>
        </w:tc>
        <w:tc>
          <w:tcPr>
            <w:tcW w:w="760" w:type="dxa"/>
            <w:vAlign w:val="bottom"/>
            <w:tcBorders>
              <w:top w:val="single" w:sz="8" w:color="auto"/>
            </w:tcBorders>
            <w:gridSpan w:val="2"/>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36"/>
              <w:spacing w:after="0"/>
              <w:rPr>
                <w:sz w:val="20"/>
                <w:szCs w:val="20"/>
                <w:color w:val="auto"/>
              </w:rPr>
            </w:pPr>
            <w:r>
              <w:rPr>
                <w:rFonts w:ascii="Arial" w:cs="Arial" w:eastAsia="Arial" w:hAnsi="Arial"/>
                <w:sz w:val="7"/>
                <w:szCs w:val="7"/>
                <w:color w:val="auto"/>
              </w:rPr>
              <w:t>$9M</w:t>
            </w:r>
          </w:p>
        </w:tc>
        <w:tc>
          <w:tcPr>
            <w:tcW w:w="720" w:type="dxa"/>
            <w:vAlign w:val="bottom"/>
            <w:tcBorders>
              <w:top w:val="single" w:sz="8" w:color="auto"/>
            </w:tcBorders>
            <w:gridSpan w:val="2"/>
          </w:tcPr>
          <w:p>
            <w:pPr>
              <w:jc w:val="center"/>
              <w:ind w:left="25"/>
              <w:spacing w:after="0"/>
              <w:rPr>
                <w:sz w:val="20"/>
                <w:szCs w:val="20"/>
                <w:color w:val="auto"/>
              </w:rPr>
            </w:pPr>
            <w:r>
              <w:rPr>
                <w:rFonts w:ascii="Arial" w:cs="Arial" w:eastAsia="Arial" w:hAnsi="Arial"/>
                <w:sz w:val="7"/>
                <w:szCs w:val="7"/>
                <w:color w:val="auto"/>
                <w:w w:val="99"/>
              </w:rPr>
              <w:t>92%</w:t>
            </w:r>
          </w:p>
        </w:tc>
        <w:tc>
          <w:tcPr>
            <w:tcW w:w="720" w:type="dxa"/>
            <w:vAlign w:val="bottom"/>
            <w:tcBorders>
              <w:top w:val="single" w:sz="8" w:color="auto"/>
            </w:tcBorders>
            <w:gridSpan w:val="2"/>
          </w:tcPr>
          <w:p>
            <w:pPr>
              <w:jc w:val="center"/>
              <w:ind w:left="245"/>
              <w:spacing w:after="0"/>
              <w:rPr>
                <w:sz w:val="20"/>
                <w:szCs w:val="20"/>
                <w:color w:val="auto"/>
              </w:rPr>
            </w:pPr>
            <w:r>
              <w:rPr>
                <w:rFonts w:ascii="Arial" w:cs="Arial" w:eastAsia="Arial" w:hAnsi="Arial"/>
                <w:sz w:val="7"/>
                <w:szCs w:val="7"/>
                <w:color w:val="auto"/>
              </w:rPr>
              <w:t>8% +/-</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 xml:space="preserve">The Shops at SunVet </w:t>
            </w:r>
            <w:r>
              <w:rPr>
                <w:rFonts w:ascii="Arial" w:cs="Arial" w:eastAsia="Arial" w:hAnsi="Arial"/>
                <w:sz w:val="9"/>
                <w:szCs w:val="9"/>
                <w:color w:val="auto"/>
                <w:vertAlign w:val="superscript"/>
              </w:rPr>
              <w:t>(2)</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Long Island, NY</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Whole Foods</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74%</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Q2-2023</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1H-2026</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$95M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91%</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7"/>
                <w:szCs w:val="7"/>
                <w:color w:val="auto"/>
              </w:rPr>
              <w:t xml:space="preserve">The Village at Seven Pines </w:t>
            </w:r>
            <w:r>
              <w:rPr>
                <w:rFonts w:ascii="Arial" w:cs="Arial" w:eastAsia="Arial" w:hAnsi="Arial"/>
                <w:sz w:val="9"/>
                <w:szCs w:val="9"/>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2"/>
                <w:szCs w:val="12"/>
                <w:color w:val="FFFFFF"/>
              </w:rPr>
              <w:t>0</w:t>
            </w:r>
          </w:p>
        </w:tc>
        <w:tc>
          <w:tcPr>
            <w:tcW w:w="1180" w:type="dxa"/>
            <w:vAlign w:val="bottom"/>
            <w:gridSpan w:val="3"/>
          </w:tcPr>
          <w:p>
            <w:pPr>
              <w:ind w:left="40"/>
              <w:spacing w:after="0"/>
              <w:rPr>
                <w:sz w:val="20"/>
                <w:szCs w:val="20"/>
                <w:color w:val="auto"/>
              </w:rPr>
            </w:pPr>
            <w:r>
              <w:rPr>
                <w:rFonts w:ascii="Arial" w:cs="Arial" w:eastAsia="Arial" w:hAnsi="Arial"/>
                <w:sz w:val="7"/>
                <w:szCs w:val="7"/>
                <w:color w:val="auto"/>
              </w:rPr>
              <w:t>Jacksonville, FL</w:t>
            </w:r>
          </w:p>
        </w:tc>
        <w:tc>
          <w:tcPr>
            <w:tcW w:w="1380" w:type="dxa"/>
            <w:vAlign w:val="bottom"/>
            <w:gridSpan w:val="2"/>
          </w:tcPr>
          <w:p>
            <w:pPr>
              <w:spacing w:after="0"/>
              <w:rPr>
                <w:sz w:val="20"/>
                <w:szCs w:val="20"/>
                <w:color w:val="auto"/>
              </w:rPr>
            </w:pPr>
            <w:r>
              <w:rPr>
                <w:rFonts w:ascii="Arial" w:cs="Arial" w:eastAsia="Arial" w:hAnsi="Arial"/>
                <w:sz w:val="7"/>
                <w:szCs w:val="7"/>
                <w:color w:val="auto"/>
              </w:rPr>
              <w:t>Publix</w:t>
            </w:r>
          </w:p>
        </w:tc>
        <w:tc>
          <w:tcPr>
            <w:tcW w:w="540" w:type="dxa"/>
            <w:vAlign w:val="bottom"/>
          </w:tcPr>
          <w:p>
            <w:pPr>
              <w:jc w:val="center"/>
              <w:spacing w:after="0"/>
              <w:rPr>
                <w:sz w:val="20"/>
                <w:szCs w:val="20"/>
                <w:color w:val="auto"/>
              </w:rPr>
            </w:pPr>
            <w:r>
              <w:rPr>
                <w:rFonts w:ascii="Arial" w:cs="Arial" w:eastAsia="Arial" w:hAnsi="Arial"/>
                <w:sz w:val="7"/>
                <w:szCs w:val="7"/>
                <w:color w:val="auto"/>
                <w:w w:val="99"/>
              </w:rPr>
              <w:t>63%</w:t>
            </w:r>
          </w:p>
        </w:tc>
        <w:tc>
          <w:tcPr>
            <w:tcW w:w="26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7"/>
                <w:szCs w:val="7"/>
                <w:color w:val="auto"/>
                <w:w w:val="95"/>
              </w:rPr>
              <w:t>Q3-2025</w:t>
            </w:r>
          </w:p>
        </w:tc>
        <w:tc>
          <w:tcPr>
            <w:tcW w:w="1180" w:type="dxa"/>
            <w:vAlign w:val="bottom"/>
            <w:gridSpan w:val="3"/>
          </w:tcPr>
          <w:p>
            <w:pPr>
              <w:ind w:left="400"/>
              <w:spacing w:after="0"/>
              <w:rPr>
                <w:sz w:val="20"/>
                <w:szCs w:val="20"/>
                <w:color w:val="auto"/>
              </w:rPr>
            </w:pPr>
            <w:r>
              <w:rPr>
                <w:rFonts w:ascii="Arial" w:cs="Arial" w:eastAsia="Arial" w:hAnsi="Arial"/>
                <w:sz w:val="7"/>
                <w:szCs w:val="7"/>
                <w:color w:val="auto"/>
              </w:rPr>
              <w:t>1H-2027</w:t>
            </w:r>
          </w:p>
        </w:tc>
        <w:tc>
          <w:tcPr>
            <w:tcW w:w="760" w:type="dxa"/>
            <w:vAlign w:val="bottom"/>
            <w:gridSpan w:val="2"/>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$112M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19%</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8%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 xml:space="preserve">Ellis Village Center - Phase 1 </w:t>
            </w:r>
            <w:r>
              <w:rPr>
                <w:rFonts w:ascii="Arial" w:cs="Arial" w:eastAsia="Arial" w:hAnsi="Arial"/>
                <w:sz w:val="9"/>
                <w:szCs w:val="9"/>
                <w:color w:val="auto"/>
                <w:vertAlign w:val="superscript"/>
              </w:rPr>
              <w:t>(2)</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Bay Area, CA</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Sprouts</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rPr>
              <w:t>100%</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Q3-2025</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2H-2026</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$30M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34%</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7"/>
                <w:szCs w:val="7"/>
                <w:color w:val="auto"/>
              </w:rPr>
              <w:t xml:space="preserve">Culver Commons </w:t>
            </w:r>
            <w:r>
              <w:rPr>
                <w:rFonts w:ascii="Arial" w:cs="Arial" w:eastAsia="Arial" w:hAnsi="Arial"/>
                <w:sz w:val="9"/>
                <w:szCs w:val="9"/>
                <w:color w:val="auto"/>
                <w:vertAlign w:val="superscript"/>
              </w:rPr>
              <w:t>(2)</w:t>
            </w:r>
          </w:p>
        </w:tc>
        <w:tc>
          <w:tcPr>
            <w:tcW w:w="460" w:type="dxa"/>
            <w:vAlign w:val="bottom"/>
          </w:tcPr>
          <w:p>
            <w:pPr>
              <w:spacing w:after="0"/>
              <w:rPr>
                <w:sz w:val="12"/>
                <w:szCs w:val="12"/>
                <w:color w:val="auto"/>
              </w:rPr>
            </w:pPr>
          </w:p>
        </w:tc>
        <w:tc>
          <w:tcPr>
            <w:tcW w:w="1180" w:type="dxa"/>
            <w:vAlign w:val="bottom"/>
            <w:gridSpan w:val="3"/>
          </w:tcPr>
          <w:p>
            <w:pPr>
              <w:ind w:left="40"/>
              <w:spacing w:after="0"/>
              <w:rPr>
                <w:sz w:val="20"/>
                <w:szCs w:val="20"/>
                <w:color w:val="auto"/>
              </w:rPr>
            </w:pPr>
            <w:r>
              <w:rPr>
                <w:rFonts w:ascii="Arial" w:cs="Arial" w:eastAsia="Arial" w:hAnsi="Arial"/>
                <w:sz w:val="7"/>
                <w:szCs w:val="7"/>
                <w:color w:val="auto"/>
              </w:rPr>
              <w:t>Los Angeles, CA</w:t>
            </w:r>
          </w:p>
        </w:tc>
        <w:tc>
          <w:tcPr>
            <w:tcW w:w="1380" w:type="dxa"/>
            <w:vAlign w:val="bottom"/>
            <w:gridSpan w:val="2"/>
          </w:tcPr>
          <w:p>
            <w:pPr>
              <w:spacing w:after="0"/>
              <w:rPr>
                <w:sz w:val="20"/>
                <w:szCs w:val="20"/>
                <w:color w:val="auto"/>
              </w:rPr>
            </w:pPr>
            <w:r>
              <w:rPr>
                <w:rFonts w:ascii="Arial" w:cs="Arial" w:eastAsia="Arial" w:hAnsi="Arial"/>
                <w:sz w:val="7"/>
                <w:szCs w:val="7"/>
                <w:color w:val="auto"/>
              </w:rPr>
              <w:t>Retail</w:t>
            </w:r>
          </w:p>
        </w:tc>
        <w:tc>
          <w:tcPr>
            <w:tcW w:w="540" w:type="dxa"/>
            <w:vAlign w:val="bottom"/>
          </w:tcPr>
          <w:p>
            <w:pPr>
              <w:jc w:val="center"/>
              <w:spacing w:after="0"/>
              <w:rPr>
                <w:sz w:val="20"/>
                <w:szCs w:val="20"/>
                <w:color w:val="auto"/>
              </w:rPr>
            </w:pPr>
            <w:r>
              <w:rPr>
                <w:rFonts w:ascii="Arial" w:cs="Arial" w:eastAsia="Arial" w:hAnsi="Arial"/>
                <w:sz w:val="7"/>
                <w:szCs w:val="7"/>
                <w:color w:val="auto"/>
                <w:w w:val="99"/>
              </w:rPr>
              <w:t>73%</w:t>
            </w:r>
          </w:p>
        </w:tc>
        <w:tc>
          <w:tcPr>
            <w:tcW w:w="26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7"/>
                <w:szCs w:val="7"/>
                <w:color w:val="auto"/>
                <w:w w:val="95"/>
              </w:rPr>
              <w:t>Q4-2025</w:t>
            </w:r>
          </w:p>
        </w:tc>
        <w:tc>
          <w:tcPr>
            <w:tcW w:w="1180" w:type="dxa"/>
            <w:vAlign w:val="bottom"/>
            <w:gridSpan w:val="3"/>
          </w:tcPr>
          <w:p>
            <w:pPr>
              <w:ind w:left="400"/>
              <w:spacing w:after="0"/>
              <w:rPr>
                <w:sz w:val="20"/>
                <w:szCs w:val="20"/>
                <w:color w:val="auto"/>
              </w:rPr>
            </w:pPr>
            <w:r>
              <w:rPr>
                <w:rFonts w:ascii="Arial" w:cs="Arial" w:eastAsia="Arial" w:hAnsi="Arial"/>
                <w:sz w:val="7"/>
                <w:szCs w:val="7"/>
                <w:color w:val="auto"/>
              </w:rPr>
              <w:t>1H-2027</w:t>
            </w:r>
          </w:p>
        </w:tc>
        <w:tc>
          <w:tcPr>
            <w:tcW w:w="760" w:type="dxa"/>
            <w:vAlign w:val="bottom"/>
            <w:gridSpan w:val="2"/>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$16M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16%</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 xml:space="preserve">Lone Tree Village </w:t>
            </w:r>
            <w:r>
              <w:rPr>
                <w:rFonts w:ascii="Arial" w:cs="Arial" w:eastAsia="Arial" w:hAnsi="Arial"/>
                <w:sz w:val="9"/>
                <w:szCs w:val="9"/>
                <w:color w:val="auto"/>
                <w:vertAlign w:val="superscript"/>
              </w:rPr>
              <w:t>(2)</w:t>
            </w:r>
          </w:p>
        </w:tc>
        <w:tc>
          <w:tcPr>
            <w:tcW w:w="460" w:type="dxa"/>
            <w:vAlign w:val="bottom"/>
            <w:shd w:val="clear" w:color="auto" w:fill="D9D9D9"/>
          </w:tcPr>
          <w:p>
            <w:pPr>
              <w:spacing w:after="0"/>
              <w:rPr>
                <w:sz w:val="12"/>
                <w:szCs w:val="12"/>
                <w:color w:val="auto"/>
              </w:rPr>
            </w:pP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Denver, CO</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King Soopers</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83%</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Q4-2025</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1H-2027</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$31M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30%</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7"/>
                <w:szCs w:val="7"/>
                <w:color w:val="auto"/>
              </w:rPr>
              <w:t xml:space="preserve">Oak Valley Village </w:t>
            </w:r>
            <w:r>
              <w:rPr>
                <w:rFonts w:ascii="Arial" w:cs="Arial" w:eastAsia="Arial" w:hAnsi="Arial"/>
                <w:sz w:val="9"/>
                <w:szCs w:val="9"/>
                <w:color w:val="auto"/>
                <w:vertAlign w:val="superscript"/>
              </w:rPr>
              <w:t>(2)(3)</w:t>
            </w: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color w:val="auto"/>
              </w:rPr>
              <w:t>Los Angeles, CA</w:t>
            </w: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7"/>
                <w:szCs w:val="7"/>
                <w:color w:val="auto"/>
              </w:rPr>
              <w:t>Target, Sprouts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w w:val="99"/>
              </w:rPr>
              <w:t>81%</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7"/>
                <w:szCs w:val="7"/>
                <w:color w:val="auto"/>
                <w:w w:val="95"/>
              </w:rPr>
              <w:t>Q4-2025</w:t>
            </w:r>
          </w:p>
        </w:tc>
        <w:tc>
          <w:tcPr>
            <w:tcW w:w="1180" w:type="dxa"/>
            <w:vAlign w:val="bottom"/>
            <w:tcBorders>
              <w:bottom w:val="single" w:sz="8" w:color="auto"/>
            </w:tcBorders>
            <w:gridSpan w:val="3"/>
          </w:tcPr>
          <w:p>
            <w:pPr>
              <w:ind w:left="400"/>
              <w:spacing w:after="0"/>
              <w:rPr>
                <w:sz w:val="20"/>
                <w:szCs w:val="20"/>
                <w:color w:val="auto"/>
              </w:rPr>
            </w:pPr>
            <w:r>
              <w:rPr>
                <w:rFonts w:ascii="Arial" w:cs="Arial" w:eastAsia="Arial" w:hAnsi="Arial"/>
                <w:sz w:val="7"/>
                <w:szCs w:val="7"/>
                <w:color w:val="auto"/>
              </w:rPr>
              <w:t>2H-2027</w:t>
            </w:r>
          </w:p>
        </w:tc>
        <w:tc>
          <w:tcPr>
            <w:tcW w:w="760" w:type="dxa"/>
            <w:vAlign w:val="bottom"/>
            <w:tcBorders>
              <w:bottom w:val="single" w:sz="8" w:color="auto"/>
            </w:tcBorders>
            <w:gridSpan w:val="2"/>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7"/>
                <w:szCs w:val="7"/>
                <w:color w:val="auto"/>
              </w:rPr>
              <w:t>$45M</w:t>
            </w:r>
          </w:p>
        </w:tc>
        <w:tc>
          <w:tcPr>
            <w:tcW w:w="720" w:type="dxa"/>
            <w:vAlign w:val="bottom"/>
            <w:tcBorders>
              <w:bottom w:val="single" w:sz="8" w:color="auto"/>
            </w:tcBorders>
            <w:gridSpan w:val="2"/>
          </w:tcPr>
          <w:p>
            <w:pPr>
              <w:jc w:val="center"/>
              <w:ind w:left="25"/>
              <w:spacing w:after="0"/>
              <w:rPr>
                <w:sz w:val="20"/>
                <w:szCs w:val="20"/>
                <w:color w:val="auto"/>
              </w:rPr>
            </w:pPr>
            <w:r>
              <w:rPr>
                <w:rFonts w:ascii="Arial" w:cs="Arial" w:eastAsia="Arial" w:hAnsi="Arial"/>
                <w:sz w:val="7"/>
                <w:szCs w:val="7"/>
                <w:color w:val="auto"/>
                <w:w w:val="99"/>
              </w:rPr>
              <w:t>13%</w:t>
            </w:r>
          </w:p>
        </w:tc>
        <w:tc>
          <w:tcPr>
            <w:tcW w:w="720" w:type="dxa"/>
            <w:vAlign w:val="bottom"/>
            <w:tcBorders>
              <w:bottom w:val="single" w:sz="8" w:color="auto"/>
            </w:tcBorders>
            <w:gridSpan w:val="2"/>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00" w:type="dxa"/>
            <w:vAlign w:val="bottom"/>
            <w:tcBorders>
              <w:bottom w:val="single" w:sz="8" w:color="808080"/>
            </w:tcBorders>
            <w:gridSpan w:val="2"/>
            <w:shd w:val="clear" w:color="auto" w:fill="808080"/>
          </w:tcPr>
          <w:p>
            <w:pPr>
              <w:spacing w:after="0"/>
              <w:rPr>
                <w:sz w:val="20"/>
                <w:szCs w:val="20"/>
                <w:color w:val="auto"/>
              </w:rPr>
            </w:pPr>
            <w:r>
              <w:rPr>
                <w:rFonts w:ascii="Arial" w:cs="Arial" w:eastAsia="Arial" w:hAnsi="Arial"/>
                <w:sz w:val="7"/>
                <w:szCs w:val="7"/>
                <w:color w:val="auto"/>
                <w:highlight w:val="white"/>
              </w:rPr>
              <w:t>Redevelopments</w:t>
            </w:r>
          </w:p>
        </w:tc>
        <w:tc>
          <w:tcPr>
            <w:tcW w:w="460" w:type="dxa"/>
            <w:vAlign w:val="bottom"/>
            <w:tcBorders>
              <w:bottom w:val="single" w:sz="8" w:color="808080"/>
            </w:tcBorders>
            <w:shd w:val="clear" w:color="auto" w:fill="808080"/>
          </w:tcPr>
          <w:p>
            <w:pPr>
              <w:spacing w:after="0"/>
              <w:rPr>
                <w:sz w:val="11"/>
                <w:szCs w:val="11"/>
                <w:color w:val="auto"/>
              </w:rPr>
            </w:pPr>
          </w:p>
        </w:tc>
        <w:tc>
          <w:tcPr>
            <w:tcW w:w="40" w:type="dxa"/>
            <w:vAlign w:val="bottom"/>
            <w:tcBorders>
              <w:bottom w:val="single" w:sz="8" w:color="808080"/>
            </w:tcBorders>
            <w:shd w:val="clear" w:color="auto" w:fill="808080"/>
          </w:tcPr>
          <w:p>
            <w:pPr>
              <w:spacing w:after="0"/>
              <w:rPr>
                <w:sz w:val="11"/>
                <w:szCs w:val="11"/>
                <w:color w:val="auto"/>
              </w:rPr>
            </w:pPr>
          </w:p>
        </w:tc>
        <w:tc>
          <w:tcPr>
            <w:tcW w:w="220" w:type="dxa"/>
            <w:vAlign w:val="bottom"/>
            <w:tcBorders>
              <w:bottom w:val="single" w:sz="8" w:color="808080"/>
            </w:tcBorders>
            <w:shd w:val="clear" w:color="auto" w:fill="808080"/>
          </w:tcPr>
          <w:p>
            <w:pPr>
              <w:spacing w:after="0"/>
              <w:rPr>
                <w:sz w:val="11"/>
                <w:szCs w:val="11"/>
                <w:color w:val="auto"/>
              </w:rPr>
            </w:pPr>
          </w:p>
        </w:tc>
        <w:tc>
          <w:tcPr>
            <w:tcW w:w="920" w:type="dxa"/>
            <w:vAlign w:val="bottom"/>
            <w:tcBorders>
              <w:bottom w:val="single" w:sz="8" w:color="808080"/>
            </w:tcBorders>
            <w:shd w:val="clear" w:color="auto" w:fill="808080"/>
          </w:tcPr>
          <w:p>
            <w:pPr>
              <w:spacing w:after="0"/>
              <w:rPr>
                <w:sz w:val="11"/>
                <w:szCs w:val="11"/>
                <w:color w:val="auto"/>
              </w:rPr>
            </w:pPr>
          </w:p>
        </w:tc>
        <w:tc>
          <w:tcPr>
            <w:tcW w:w="700" w:type="dxa"/>
            <w:vAlign w:val="bottom"/>
            <w:tcBorders>
              <w:bottom w:val="single" w:sz="8" w:color="808080"/>
            </w:tcBorders>
            <w:shd w:val="clear" w:color="auto" w:fill="808080"/>
          </w:tcPr>
          <w:p>
            <w:pPr>
              <w:spacing w:after="0"/>
              <w:rPr>
                <w:sz w:val="11"/>
                <w:szCs w:val="11"/>
                <w:color w:val="auto"/>
              </w:rPr>
            </w:pPr>
          </w:p>
        </w:tc>
        <w:tc>
          <w:tcPr>
            <w:tcW w:w="680" w:type="dxa"/>
            <w:vAlign w:val="bottom"/>
            <w:tcBorders>
              <w:bottom w:val="single" w:sz="8" w:color="808080"/>
            </w:tcBorders>
            <w:shd w:val="clear" w:color="auto" w:fill="808080"/>
          </w:tcPr>
          <w:p>
            <w:pPr>
              <w:spacing w:after="0"/>
              <w:rPr>
                <w:sz w:val="11"/>
                <w:szCs w:val="11"/>
                <w:color w:val="auto"/>
              </w:rPr>
            </w:pPr>
          </w:p>
        </w:tc>
        <w:tc>
          <w:tcPr>
            <w:tcW w:w="54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7"/>
                <w:szCs w:val="7"/>
                <w:color w:val="auto"/>
                <w:highlight w:val="white"/>
                <w:w w:val="99"/>
              </w:rPr>
              <w:t>90%</w:t>
            </w:r>
          </w:p>
        </w:tc>
        <w:tc>
          <w:tcPr>
            <w:tcW w:w="260" w:type="dxa"/>
            <w:vAlign w:val="bottom"/>
            <w:tcBorders>
              <w:bottom w:val="single" w:sz="8" w:color="808080"/>
            </w:tcBorders>
            <w:shd w:val="clear" w:color="auto" w:fill="808080"/>
          </w:tcPr>
          <w:p>
            <w:pPr>
              <w:spacing w:after="0"/>
              <w:rPr>
                <w:sz w:val="11"/>
                <w:szCs w:val="11"/>
                <w:color w:val="auto"/>
              </w:rPr>
            </w:pPr>
          </w:p>
        </w:tc>
        <w:tc>
          <w:tcPr>
            <w:tcW w:w="380" w:type="dxa"/>
            <w:vAlign w:val="bottom"/>
            <w:tcBorders>
              <w:bottom w:val="single" w:sz="8" w:color="808080"/>
            </w:tcBorders>
            <w:shd w:val="clear" w:color="auto" w:fill="808080"/>
          </w:tcPr>
          <w:p>
            <w:pPr>
              <w:spacing w:after="0"/>
              <w:rPr>
                <w:sz w:val="11"/>
                <w:szCs w:val="11"/>
                <w:color w:val="auto"/>
              </w:rPr>
            </w:pPr>
          </w:p>
        </w:tc>
        <w:tc>
          <w:tcPr>
            <w:tcW w:w="260" w:type="dxa"/>
            <w:vAlign w:val="bottom"/>
            <w:tcBorders>
              <w:bottom w:val="single" w:sz="8" w:color="808080"/>
            </w:tcBorders>
            <w:shd w:val="clear" w:color="auto" w:fill="808080"/>
          </w:tcPr>
          <w:p>
            <w:pPr>
              <w:spacing w:after="0"/>
              <w:rPr>
                <w:sz w:val="11"/>
                <w:szCs w:val="11"/>
                <w:color w:val="auto"/>
              </w:rPr>
            </w:pPr>
          </w:p>
        </w:tc>
        <w:tc>
          <w:tcPr>
            <w:tcW w:w="1020" w:type="dxa"/>
            <w:vAlign w:val="bottom"/>
            <w:tcBorders>
              <w:bottom w:val="single" w:sz="8" w:color="808080"/>
            </w:tcBorders>
            <w:shd w:val="clear" w:color="auto" w:fill="808080"/>
          </w:tcPr>
          <w:p>
            <w:pPr>
              <w:spacing w:after="0"/>
              <w:rPr>
                <w:sz w:val="11"/>
                <w:szCs w:val="11"/>
                <w:color w:val="auto"/>
              </w:rPr>
            </w:pPr>
          </w:p>
        </w:tc>
        <w:tc>
          <w:tcPr>
            <w:tcW w:w="80" w:type="dxa"/>
            <w:vAlign w:val="bottom"/>
            <w:tcBorders>
              <w:bottom w:val="single" w:sz="8" w:color="808080"/>
            </w:tcBorders>
            <w:shd w:val="clear" w:color="auto" w:fill="808080"/>
          </w:tcPr>
          <w:p>
            <w:pPr>
              <w:spacing w:after="0"/>
              <w:rPr>
                <w:sz w:val="11"/>
                <w:szCs w:val="11"/>
                <w:color w:val="auto"/>
              </w:rPr>
            </w:pPr>
          </w:p>
        </w:tc>
        <w:tc>
          <w:tcPr>
            <w:tcW w:w="80" w:type="dxa"/>
            <w:vAlign w:val="bottom"/>
            <w:tcBorders>
              <w:bottom w:val="single" w:sz="8" w:color="808080"/>
            </w:tcBorders>
            <w:shd w:val="clear" w:color="auto" w:fill="808080"/>
          </w:tcPr>
          <w:p>
            <w:pPr>
              <w:spacing w:after="0"/>
              <w:rPr>
                <w:sz w:val="11"/>
                <w:szCs w:val="11"/>
                <w:color w:val="auto"/>
              </w:rPr>
            </w:pPr>
          </w:p>
        </w:tc>
        <w:tc>
          <w:tcPr>
            <w:tcW w:w="80" w:type="dxa"/>
            <w:vAlign w:val="bottom"/>
            <w:tcBorders>
              <w:bottom w:val="single" w:sz="8" w:color="808080"/>
            </w:tcBorders>
            <w:shd w:val="clear" w:color="auto" w:fill="808080"/>
          </w:tcPr>
          <w:p>
            <w:pPr>
              <w:spacing w:after="0"/>
              <w:rPr>
                <w:sz w:val="11"/>
                <w:szCs w:val="11"/>
                <w:color w:val="auto"/>
              </w:rPr>
            </w:pPr>
          </w:p>
        </w:tc>
        <w:tc>
          <w:tcPr>
            <w:tcW w:w="680" w:type="dxa"/>
            <w:vAlign w:val="bottom"/>
            <w:tcBorders>
              <w:bottom w:val="single" w:sz="8" w:color="808080"/>
            </w:tcBorders>
            <w:shd w:val="clear" w:color="auto" w:fill="808080"/>
          </w:tcPr>
          <w:p>
            <w:pPr>
              <w:spacing w:after="0"/>
              <w:rPr>
                <w:sz w:val="11"/>
                <w:szCs w:val="11"/>
                <w:color w:val="auto"/>
              </w:rPr>
            </w:pPr>
          </w:p>
        </w:tc>
        <w:tc>
          <w:tcPr>
            <w:tcW w:w="60" w:type="dxa"/>
            <w:vAlign w:val="bottom"/>
            <w:tcBorders>
              <w:bottom w:val="single" w:sz="8" w:color="808080"/>
            </w:tcBorders>
            <w:shd w:val="clear" w:color="auto" w:fill="808080"/>
          </w:tcPr>
          <w:p>
            <w:pPr>
              <w:spacing w:after="0"/>
              <w:rPr>
                <w:sz w:val="11"/>
                <w:szCs w:val="11"/>
                <w:color w:val="auto"/>
              </w:rPr>
            </w:pPr>
          </w:p>
        </w:tc>
        <w:tc>
          <w:tcPr>
            <w:tcW w:w="80" w:type="dxa"/>
            <w:vAlign w:val="bottom"/>
            <w:tcBorders>
              <w:bottom w:val="single" w:sz="8" w:color="808080"/>
            </w:tcBorders>
            <w:shd w:val="clear" w:color="auto" w:fill="808080"/>
          </w:tcPr>
          <w:p>
            <w:pPr>
              <w:spacing w:after="0"/>
              <w:rPr>
                <w:sz w:val="11"/>
                <w:szCs w:val="11"/>
                <w:color w:val="auto"/>
              </w:rPr>
            </w:pPr>
          </w:p>
        </w:tc>
        <w:tc>
          <w:tcPr>
            <w:tcW w:w="80" w:type="dxa"/>
            <w:vAlign w:val="bottom"/>
            <w:tcBorders>
              <w:bottom w:val="single" w:sz="8" w:color="808080"/>
            </w:tcBorders>
            <w:shd w:val="clear" w:color="auto" w:fill="808080"/>
          </w:tcPr>
          <w:p>
            <w:pPr>
              <w:spacing w:after="0"/>
              <w:rPr>
                <w:sz w:val="11"/>
                <w:szCs w:val="11"/>
                <w:color w:val="auto"/>
              </w:rPr>
            </w:pPr>
          </w:p>
        </w:tc>
        <w:tc>
          <w:tcPr>
            <w:tcW w:w="720" w:type="dxa"/>
            <w:vAlign w:val="bottom"/>
            <w:tcBorders>
              <w:bottom w:val="single" w:sz="8" w:color="808080"/>
            </w:tcBorders>
            <w:gridSpan w:val="2"/>
            <w:shd w:val="clear" w:color="auto" w:fill="808080"/>
          </w:tcPr>
          <w:p>
            <w:pPr>
              <w:jc w:val="center"/>
              <w:ind w:right="36"/>
              <w:spacing w:after="0"/>
              <w:rPr>
                <w:sz w:val="20"/>
                <w:szCs w:val="20"/>
                <w:color w:val="auto"/>
              </w:rPr>
            </w:pPr>
            <w:r>
              <w:rPr>
                <w:rFonts w:ascii="Arial" w:cs="Arial" w:eastAsia="Arial" w:hAnsi="Arial"/>
                <w:sz w:val="7"/>
                <w:szCs w:val="7"/>
                <w:color w:val="auto"/>
                <w:highlight w:val="white"/>
              </w:rPr>
              <w:t>$297M</w:t>
            </w:r>
          </w:p>
        </w:tc>
        <w:tc>
          <w:tcPr>
            <w:tcW w:w="720" w:type="dxa"/>
            <w:vAlign w:val="bottom"/>
            <w:tcBorders>
              <w:bottom w:val="single" w:sz="8" w:color="808080"/>
            </w:tcBorders>
            <w:gridSpan w:val="2"/>
            <w:shd w:val="clear" w:color="auto" w:fill="808080"/>
          </w:tcPr>
          <w:p>
            <w:pPr>
              <w:jc w:val="center"/>
              <w:ind w:left="25"/>
              <w:spacing w:after="0"/>
              <w:rPr>
                <w:sz w:val="20"/>
                <w:szCs w:val="20"/>
                <w:color w:val="auto"/>
              </w:rPr>
            </w:pPr>
            <w:r>
              <w:rPr>
                <w:rFonts w:ascii="Arial" w:cs="Arial" w:eastAsia="Arial" w:hAnsi="Arial"/>
                <w:sz w:val="7"/>
                <w:szCs w:val="7"/>
                <w:color w:val="auto"/>
                <w:highlight w:val="white"/>
                <w:w w:val="99"/>
              </w:rPr>
              <w:t>50%</w:t>
            </w:r>
          </w:p>
        </w:tc>
        <w:tc>
          <w:tcPr>
            <w:tcW w:w="720" w:type="dxa"/>
            <w:vAlign w:val="bottom"/>
            <w:tcBorders>
              <w:bottom w:val="single" w:sz="8" w:color="808080"/>
            </w:tcBorders>
            <w:gridSpan w:val="2"/>
            <w:shd w:val="clear" w:color="auto" w:fill="808080"/>
          </w:tcPr>
          <w:p>
            <w:pPr>
              <w:jc w:val="center"/>
              <w:ind w:left="245"/>
              <w:spacing w:after="0"/>
              <w:rPr>
                <w:sz w:val="20"/>
                <w:szCs w:val="20"/>
                <w:color w:val="auto"/>
              </w:rPr>
            </w:pPr>
            <w:r>
              <w:rPr>
                <w:rFonts w:ascii="Arial" w:cs="Arial" w:eastAsia="Arial" w:hAnsi="Arial"/>
                <w:sz w:val="7"/>
                <w:szCs w:val="7"/>
                <w:color w:val="auto"/>
                <w:highlight w:val="white"/>
              </w:rPr>
              <w:t>10% +/-</w:t>
            </w:r>
          </w:p>
        </w:tc>
        <w:tc>
          <w:tcPr>
            <w:tcW w:w="60" w:type="dxa"/>
            <w:vAlign w:val="bottom"/>
            <w:tcBorders>
              <w:bottom w:val="single" w:sz="8" w:color="808080"/>
            </w:tcBorders>
            <w:shd w:val="clear" w:color="auto" w:fill="808080"/>
          </w:tcPr>
          <w:p>
            <w:pPr>
              <w:spacing w:after="0"/>
              <w:rPr>
                <w:sz w:val="11"/>
                <w:szCs w:val="11"/>
                <w:color w:val="auto"/>
              </w:rPr>
            </w:pPr>
          </w:p>
        </w:tc>
        <w:tc>
          <w:tcPr>
            <w:tcW w:w="160" w:type="dxa"/>
            <w:vAlign w:val="bottom"/>
            <w:tcBorders>
              <w:bottom w:val="single" w:sz="8" w:color="808080"/>
            </w:tcBorders>
            <w:shd w:val="clear" w:color="auto" w:fill="80808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00" w:type="dxa"/>
            <w:vAlign w:val="bottom"/>
            <w:tcBorders>
              <w:top w:val="single" w:sz="8" w:color="auto"/>
            </w:tcBorders>
            <w:gridSpan w:val="2"/>
          </w:tcPr>
          <w:p>
            <w:pPr>
              <w:spacing w:after="0"/>
              <w:rPr>
                <w:sz w:val="20"/>
                <w:szCs w:val="20"/>
                <w:color w:val="auto"/>
              </w:rPr>
            </w:pPr>
            <w:r>
              <w:rPr>
                <w:rFonts w:ascii="Arial" w:cs="Arial" w:eastAsia="Arial" w:hAnsi="Arial"/>
                <w:sz w:val="7"/>
                <w:szCs w:val="7"/>
                <w:color w:val="auto"/>
              </w:rPr>
              <w:t xml:space="preserve">Bloom on Third </w:t>
            </w:r>
            <w:r>
              <w:rPr>
                <w:rFonts w:ascii="Arial" w:cs="Arial" w:eastAsia="Arial" w:hAnsi="Arial"/>
                <w:sz w:val="9"/>
                <w:szCs w:val="9"/>
                <w:color w:val="auto"/>
                <w:vertAlign w:val="superscript"/>
              </w:rPr>
              <w:t>(3)(4)</w:t>
            </w:r>
          </w:p>
        </w:tc>
        <w:tc>
          <w:tcPr>
            <w:tcW w:w="460" w:type="dxa"/>
            <w:vAlign w:val="bottom"/>
            <w:tcBorders>
              <w:top w:val="single" w:sz="8" w:color="auto"/>
            </w:tcBorders>
          </w:tcPr>
          <w:p>
            <w:pPr>
              <w:jc w:val="right"/>
              <w:spacing w:after="0" w:line="132" w:lineRule="exact"/>
              <w:rPr>
                <w:sz w:val="20"/>
                <w:szCs w:val="20"/>
                <w:color w:val="auto"/>
              </w:rPr>
            </w:pPr>
            <w:r>
              <w:rPr>
                <w:rFonts w:ascii="Arial" w:cs="Arial" w:eastAsia="Arial" w:hAnsi="Arial"/>
                <w:sz w:val="12"/>
                <w:szCs w:val="12"/>
                <w:color w:val="FFFFFF"/>
              </w:rPr>
              <w:t>0</w:t>
            </w:r>
          </w:p>
        </w:tc>
        <w:tc>
          <w:tcPr>
            <w:tcW w:w="1180" w:type="dxa"/>
            <w:vAlign w:val="bottom"/>
            <w:tcBorders>
              <w:top w:val="single" w:sz="8" w:color="auto"/>
            </w:tcBorders>
            <w:gridSpan w:val="3"/>
          </w:tcPr>
          <w:p>
            <w:pPr>
              <w:ind w:left="40"/>
              <w:spacing w:after="0"/>
              <w:rPr>
                <w:sz w:val="20"/>
                <w:szCs w:val="20"/>
                <w:color w:val="auto"/>
              </w:rPr>
            </w:pPr>
            <w:r>
              <w:rPr>
                <w:rFonts w:ascii="Arial" w:cs="Arial" w:eastAsia="Arial" w:hAnsi="Arial"/>
                <w:sz w:val="7"/>
                <w:szCs w:val="7"/>
                <w:color w:val="auto"/>
              </w:rPr>
              <w:t>Los Angeles, CA</w:t>
            </w: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7"/>
                <w:szCs w:val="7"/>
                <w:color w:val="auto"/>
              </w:rPr>
              <w:t>Whole Foods</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7"/>
                <w:szCs w:val="7"/>
                <w:color w:val="auto"/>
                <w:w w:val="99"/>
              </w:rPr>
              <w:t>88%</w:t>
            </w:r>
          </w:p>
        </w:tc>
        <w:tc>
          <w:tcPr>
            <w:tcW w:w="2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7"/>
                <w:szCs w:val="7"/>
                <w:color w:val="auto"/>
                <w:w w:val="95"/>
              </w:rPr>
              <w:t>Q4-2022</w:t>
            </w:r>
          </w:p>
        </w:tc>
        <w:tc>
          <w:tcPr>
            <w:tcW w:w="1180" w:type="dxa"/>
            <w:vAlign w:val="bottom"/>
            <w:tcBorders>
              <w:top w:val="single" w:sz="8" w:color="auto"/>
            </w:tcBorders>
            <w:gridSpan w:val="3"/>
          </w:tcPr>
          <w:p>
            <w:pPr>
              <w:ind w:left="400"/>
              <w:spacing w:after="0"/>
              <w:rPr>
                <w:sz w:val="20"/>
                <w:szCs w:val="20"/>
                <w:color w:val="auto"/>
              </w:rPr>
            </w:pPr>
            <w:r>
              <w:rPr>
                <w:rFonts w:ascii="Arial" w:cs="Arial" w:eastAsia="Arial" w:hAnsi="Arial"/>
                <w:sz w:val="7"/>
                <w:szCs w:val="7"/>
                <w:color w:val="auto"/>
              </w:rPr>
              <w:t>2H-2026</w:t>
            </w:r>
          </w:p>
        </w:tc>
        <w:tc>
          <w:tcPr>
            <w:tcW w:w="760" w:type="dxa"/>
            <w:vAlign w:val="bottom"/>
            <w:tcBorders>
              <w:top w:val="single" w:sz="8" w:color="auto"/>
            </w:tcBorders>
            <w:gridSpan w:val="2"/>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36"/>
              <w:spacing w:after="0"/>
              <w:rPr>
                <w:sz w:val="20"/>
                <w:szCs w:val="20"/>
                <w:color w:val="auto"/>
              </w:rPr>
            </w:pPr>
            <w:r>
              <w:rPr>
                <w:rFonts w:ascii="Arial" w:cs="Arial" w:eastAsia="Arial" w:hAnsi="Arial"/>
                <w:sz w:val="7"/>
                <w:szCs w:val="7"/>
                <w:color w:val="auto"/>
              </w:rPr>
              <w:t>$25M</w:t>
            </w:r>
          </w:p>
        </w:tc>
        <w:tc>
          <w:tcPr>
            <w:tcW w:w="720" w:type="dxa"/>
            <w:vAlign w:val="bottom"/>
            <w:tcBorders>
              <w:top w:val="single" w:sz="8" w:color="auto"/>
            </w:tcBorders>
            <w:gridSpan w:val="2"/>
          </w:tcPr>
          <w:p>
            <w:pPr>
              <w:jc w:val="center"/>
              <w:ind w:left="25"/>
              <w:spacing w:after="0"/>
              <w:rPr>
                <w:sz w:val="20"/>
                <w:szCs w:val="20"/>
                <w:color w:val="auto"/>
              </w:rPr>
            </w:pPr>
            <w:r>
              <w:rPr>
                <w:rFonts w:ascii="Arial" w:cs="Arial" w:eastAsia="Arial" w:hAnsi="Arial"/>
                <w:sz w:val="7"/>
                <w:szCs w:val="7"/>
                <w:color w:val="auto"/>
                <w:w w:val="99"/>
              </w:rPr>
              <w:t>73%</w:t>
            </w:r>
          </w:p>
        </w:tc>
        <w:tc>
          <w:tcPr>
            <w:tcW w:w="720" w:type="dxa"/>
            <w:vAlign w:val="bottom"/>
            <w:tcBorders>
              <w:top w:val="single" w:sz="8" w:color="auto"/>
            </w:tcBorders>
            <w:gridSpan w:val="2"/>
          </w:tcPr>
          <w:p>
            <w:pPr>
              <w:jc w:val="center"/>
              <w:ind w:left="245"/>
              <w:spacing w:after="0"/>
              <w:rPr>
                <w:sz w:val="20"/>
                <w:szCs w:val="20"/>
                <w:color w:val="auto"/>
              </w:rPr>
            </w:pPr>
            <w:r>
              <w:rPr>
                <w:rFonts w:ascii="Arial" w:cs="Arial" w:eastAsia="Arial" w:hAnsi="Arial"/>
                <w:sz w:val="7"/>
                <w:szCs w:val="7"/>
                <w:color w:val="auto"/>
              </w:rPr>
              <w:t>15% +/-</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Serramonte Center - Phase 3</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San Francisco, CA</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Jagalchi</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96%</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Q2-2023</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1H-2025</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2026</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$43M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46%</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11%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7"/>
                <w:szCs w:val="7"/>
                <w:color w:val="auto"/>
              </w:rPr>
              <w:t>West Chester Plaza</w:t>
            </w:r>
          </w:p>
        </w:tc>
        <w:tc>
          <w:tcPr>
            <w:tcW w:w="460" w:type="dxa"/>
            <w:vAlign w:val="bottom"/>
          </w:tcPr>
          <w:p>
            <w:pPr>
              <w:jc w:val="right"/>
              <w:spacing w:after="0"/>
              <w:rPr>
                <w:sz w:val="20"/>
                <w:szCs w:val="20"/>
                <w:color w:val="auto"/>
              </w:rPr>
            </w:pPr>
            <w:r>
              <w:rPr>
                <w:rFonts w:ascii="Arial" w:cs="Arial" w:eastAsia="Arial" w:hAnsi="Arial"/>
                <w:sz w:val="12"/>
                <w:szCs w:val="12"/>
                <w:color w:val="FFFFFF"/>
              </w:rPr>
              <w:t>0</w:t>
            </w:r>
          </w:p>
        </w:tc>
        <w:tc>
          <w:tcPr>
            <w:tcW w:w="1180" w:type="dxa"/>
            <w:vAlign w:val="bottom"/>
            <w:gridSpan w:val="3"/>
          </w:tcPr>
          <w:p>
            <w:pPr>
              <w:ind w:left="40"/>
              <w:spacing w:after="0"/>
              <w:rPr>
                <w:sz w:val="20"/>
                <w:szCs w:val="20"/>
                <w:color w:val="auto"/>
              </w:rPr>
            </w:pPr>
            <w:r>
              <w:rPr>
                <w:rFonts w:ascii="Arial" w:cs="Arial" w:eastAsia="Arial" w:hAnsi="Arial"/>
                <w:sz w:val="7"/>
                <w:szCs w:val="7"/>
                <w:color w:val="auto"/>
              </w:rPr>
              <w:t>Cincinnati, OH</w:t>
            </w:r>
          </w:p>
        </w:tc>
        <w:tc>
          <w:tcPr>
            <w:tcW w:w="1380" w:type="dxa"/>
            <w:vAlign w:val="bottom"/>
            <w:gridSpan w:val="2"/>
          </w:tcPr>
          <w:p>
            <w:pPr>
              <w:spacing w:after="0"/>
              <w:rPr>
                <w:sz w:val="20"/>
                <w:szCs w:val="20"/>
                <w:color w:val="auto"/>
              </w:rPr>
            </w:pPr>
            <w:r>
              <w:rPr>
                <w:rFonts w:ascii="Arial" w:cs="Arial" w:eastAsia="Arial" w:hAnsi="Arial"/>
                <w:sz w:val="7"/>
                <w:szCs w:val="7"/>
                <w:color w:val="auto"/>
              </w:rPr>
              <w:t>Kroger</w:t>
            </w:r>
          </w:p>
        </w:tc>
        <w:tc>
          <w:tcPr>
            <w:tcW w:w="540" w:type="dxa"/>
            <w:vAlign w:val="bottom"/>
          </w:tcPr>
          <w:p>
            <w:pPr>
              <w:jc w:val="center"/>
              <w:spacing w:after="0"/>
              <w:rPr>
                <w:sz w:val="20"/>
                <w:szCs w:val="20"/>
                <w:color w:val="auto"/>
              </w:rPr>
            </w:pPr>
            <w:r>
              <w:rPr>
                <w:rFonts w:ascii="Arial" w:cs="Arial" w:eastAsia="Arial" w:hAnsi="Arial"/>
                <w:sz w:val="7"/>
                <w:szCs w:val="7"/>
                <w:color w:val="auto"/>
                <w:w w:val="99"/>
              </w:rPr>
              <w:t>80%</w:t>
            </w:r>
          </w:p>
        </w:tc>
        <w:tc>
          <w:tcPr>
            <w:tcW w:w="26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7"/>
                <w:szCs w:val="7"/>
                <w:color w:val="auto"/>
                <w:w w:val="95"/>
              </w:rPr>
              <w:t>Q4-2024</w:t>
            </w:r>
          </w:p>
        </w:tc>
        <w:tc>
          <w:tcPr>
            <w:tcW w:w="1180" w:type="dxa"/>
            <w:vAlign w:val="bottom"/>
            <w:gridSpan w:val="3"/>
          </w:tcPr>
          <w:p>
            <w:pPr>
              <w:ind w:left="400"/>
              <w:spacing w:after="0"/>
              <w:rPr>
                <w:sz w:val="20"/>
                <w:szCs w:val="20"/>
                <w:color w:val="auto"/>
              </w:rPr>
            </w:pPr>
            <w:r>
              <w:rPr>
                <w:rFonts w:ascii="Arial" w:cs="Arial" w:eastAsia="Arial" w:hAnsi="Arial"/>
                <w:sz w:val="7"/>
                <w:szCs w:val="7"/>
                <w:color w:val="auto"/>
              </w:rPr>
              <w:t>2H-2027</w:t>
            </w:r>
          </w:p>
        </w:tc>
        <w:tc>
          <w:tcPr>
            <w:tcW w:w="760" w:type="dxa"/>
            <w:vAlign w:val="bottom"/>
            <w:gridSpan w:val="2"/>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$15M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34%</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8%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Willows Shopping Center</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Bay Area, CA</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Retail</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85%</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Q4-2024</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1H-2026</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$17M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48%</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9%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7"/>
                <w:szCs w:val="7"/>
                <w:color w:val="auto"/>
              </w:rPr>
              <w:t>The Crossing Clarendon</w:t>
            </w:r>
          </w:p>
        </w:tc>
        <w:tc>
          <w:tcPr>
            <w:tcW w:w="460" w:type="dxa"/>
            <w:vAlign w:val="bottom"/>
          </w:tcPr>
          <w:p>
            <w:pPr>
              <w:jc w:val="right"/>
              <w:spacing w:after="0"/>
              <w:rPr>
                <w:sz w:val="20"/>
                <w:szCs w:val="20"/>
                <w:color w:val="auto"/>
              </w:rPr>
            </w:pPr>
            <w:r>
              <w:rPr>
                <w:rFonts w:ascii="Arial" w:cs="Arial" w:eastAsia="Arial" w:hAnsi="Arial"/>
                <w:sz w:val="12"/>
                <w:szCs w:val="12"/>
                <w:color w:val="FFFFFF"/>
              </w:rPr>
              <w:t>0</w:t>
            </w:r>
          </w:p>
        </w:tc>
        <w:tc>
          <w:tcPr>
            <w:tcW w:w="1180" w:type="dxa"/>
            <w:vAlign w:val="bottom"/>
            <w:gridSpan w:val="3"/>
          </w:tcPr>
          <w:p>
            <w:pPr>
              <w:ind w:left="40"/>
              <w:spacing w:after="0"/>
              <w:rPr>
                <w:sz w:val="20"/>
                <w:szCs w:val="20"/>
                <w:color w:val="auto"/>
              </w:rPr>
            </w:pPr>
            <w:r>
              <w:rPr>
                <w:rFonts w:ascii="Arial" w:cs="Arial" w:eastAsia="Arial" w:hAnsi="Arial"/>
                <w:sz w:val="7"/>
                <w:szCs w:val="7"/>
                <w:color w:val="auto"/>
              </w:rPr>
              <w:t>Metro DC</w:t>
            </w:r>
          </w:p>
        </w:tc>
        <w:tc>
          <w:tcPr>
            <w:tcW w:w="1380" w:type="dxa"/>
            <w:vAlign w:val="bottom"/>
            <w:gridSpan w:val="2"/>
          </w:tcPr>
          <w:p>
            <w:pPr>
              <w:spacing w:after="0"/>
              <w:rPr>
                <w:sz w:val="20"/>
                <w:szCs w:val="20"/>
                <w:color w:val="auto"/>
              </w:rPr>
            </w:pPr>
            <w:r>
              <w:rPr>
                <w:rFonts w:ascii="Arial" w:cs="Arial" w:eastAsia="Arial" w:hAnsi="Arial"/>
                <w:sz w:val="7"/>
                <w:szCs w:val="7"/>
                <w:color w:val="auto"/>
              </w:rPr>
              <w:t>Whole Foods</w:t>
            </w:r>
          </w:p>
        </w:tc>
        <w:tc>
          <w:tcPr>
            <w:tcW w:w="540" w:type="dxa"/>
            <w:vAlign w:val="bottom"/>
          </w:tcPr>
          <w:p>
            <w:pPr>
              <w:jc w:val="center"/>
              <w:spacing w:after="0"/>
              <w:rPr>
                <w:sz w:val="20"/>
                <w:szCs w:val="20"/>
                <w:color w:val="auto"/>
              </w:rPr>
            </w:pPr>
            <w:r>
              <w:rPr>
                <w:rFonts w:ascii="Arial" w:cs="Arial" w:eastAsia="Arial" w:hAnsi="Arial"/>
                <w:sz w:val="7"/>
                <w:szCs w:val="7"/>
                <w:color w:val="auto"/>
                <w:w w:val="99"/>
              </w:rPr>
              <w:t>93%</w:t>
            </w:r>
          </w:p>
        </w:tc>
        <w:tc>
          <w:tcPr>
            <w:tcW w:w="26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7"/>
                <w:szCs w:val="7"/>
                <w:color w:val="auto"/>
                <w:w w:val="95"/>
              </w:rPr>
              <w:t>Q2-2025</w:t>
            </w:r>
          </w:p>
        </w:tc>
        <w:tc>
          <w:tcPr>
            <w:tcW w:w="1180" w:type="dxa"/>
            <w:vAlign w:val="bottom"/>
            <w:gridSpan w:val="3"/>
          </w:tcPr>
          <w:p>
            <w:pPr>
              <w:ind w:left="400"/>
              <w:spacing w:after="0"/>
              <w:rPr>
                <w:sz w:val="20"/>
                <w:szCs w:val="20"/>
                <w:color w:val="auto"/>
              </w:rPr>
            </w:pPr>
            <w:r>
              <w:rPr>
                <w:rFonts w:ascii="Arial" w:cs="Arial" w:eastAsia="Arial" w:hAnsi="Arial"/>
                <w:sz w:val="7"/>
                <w:szCs w:val="7"/>
                <w:color w:val="auto"/>
              </w:rPr>
              <w:t>1H-2026</w:t>
            </w:r>
          </w:p>
        </w:tc>
        <w:tc>
          <w:tcPr>
            <w:tcW w:w="760" w:type="dxa"/>
            <w:vAlign w:val="bottom"/>
            <w:gridSpan w:val="2"/>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$14M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41%</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East Meadow Plaza - Phase 1</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Long Island, NY</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Lidl</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90%</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Q3-2024</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2H-2025</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2026</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$12M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75%</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17%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gridSpan w:val="2"/>
          </w:tcPr>
          <w:p>
            <w:pPr>
              <w:spacing w:after="0"/>
              <w:rPr>
                <w:sz w:val="20"/>
                <w:szCs w:val="20"/>
                <w:color w:val="auto"/>
              </w:rPr>
            </w:pPr>
            <w:r>
              <w:rPr>
                <w:rFonts w:ascii="Arial" w:cs="Arial" w:eastAsia="Arial" w:hAnsi="Arial"/>
                <w:sz w:val="7"/>
                <w:szCs w:val="7"/>
                <w:color w:val="auto"/>
              </w:rPr>
              <w:t>East Meadow Plaza - Phase 2A</w:t>
            </w:r>
          </w:p>
        </w:tc>
        <w:tc>
          <w:tcPr>
            <w:tcW w:w="460" w:type="dxa"/>
            <w:vAlign w:val="bottom"/>
          </w:tcPr>
          <w:p>
            <w:pPr>
              <w:jc w:val="right"/>
              <w:spacing w:after="0"/>
              <w:rPr>
                <w:sz w:val="20"/>
                <w:szCs w:val="20"/>
                <w:color w:val="auto"/>
              </w:rPr>
            </w:pPr>
            <w:r>
              <w:rPr>
                <w:rFonts w:ascii="Arial" w:cs="Arial" w:eastAsia="Arial" w:hAnsi="Arial"/>
                <w:sz w:val="12"/>
                <w:szCs w:val="12"/>
                <w:color w:val="FFFFFF"/>
              </w:rPr>
              <w:t>0</w:t>
            </w:r>
          </w:p>
        </w:tc>
        <w:tc>
          <w:tcPr>
            <w:tcW w:w="1180" w:type="dxa"/>
            <w:vAlign w:val="bottom"/>
            <w:gridSpan w:val="3"/>
          </w:tcPr>
          <w:p>
            <w:pPr>
              <w:ind w:left="40"/>
              <w:spacing w:after="0"/>
              <w:rPr>
                <w:sz w:val="20"/>
                <w:szCs w:val="20"/>
                <w:color w:val="auto"/>
              </w:rPr>
            </w:pPr>
            <w:r>
              <w:rPr>
                <w:rFonts w:ascii="Arial" w:cs="Arial" w:eastAsia="Arial" w:hAnsi="Arial"/>
                <w:sz w:val="7"/>
                <w:szCs w:val="7"/>
                <w:color w:val="auto"/>
              </w:rPr>
              <w:t>Long Island, NY</w:t>
            </w:r>
          </w:p>
        </w:tc>
        <w:tc>
          <w:tcPr>
            <w:tcW w:w="1380" w:type="dxa"/>
            <w:vAlign w:val="bottom"/>
            <w:gridSpan w:val="2"/>
          </w:tcPr>
          <w:p>
            <w:pPr>
              <w:spacing w:after="0"/>
              <w:rPr>
                <w:sz w:val="20"/>
                <w:szCs w:val="20"/>
                <w:color w:val="auto"/>
              </w:rPr>
            </w:pPr>
            <w:r>
              <w:rPr>
                <w:rFonts w:ascii="Arial" w:cs="Arial" w:eastAsia="Arial" w:hAnsi="Arial"/>
                <w:sz w:val="7"/>
                <w:szCs w:val="7"/>
                <w:color w:val="auto"/>
              </w:rPr>
              <w:t>Lidl</w:t>
            </w:r>
          </w:p>
        </w:tc>
        <w:tc>
          <w:tcPr>
            <w:tcW w:w="540" w:type="dxa"/>
            <w:vAlign w:val="bottom"/>
          </w:tcPr>
          <w:p>
            <w:pPr>
              <w:jc w:val="center"/>
              <w:spacing w:after="0"/>
              <w:rPr>
                <w:sz w:val="20"/>
                <w:szCs w:val="20"/>
                <w:color w:val="auto"/>
              </w:rPr>
            </w:pPr>
            <w:r>
              <w:rPr>
                <w:rFonts w:ascii="Arial" w:cs="Arial" w:eastAsia="Arial" w:hAnsi="Arial"/>
                <w:sz w:val="7"/>
                <w:szCs w:val="7"/>
                <w:color w:val="auto"/>
                <w:w w:val="99"/>
              </w:rPr>
              <w:t>90%</w:t>
            </w:r>
          </w:p>
        </w:tc>
        <w:tc>
          <w:tcPr>
            <w:tcW w:w="26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7"/>
                <w:szCs w:val="7"/>
                <w:color w:val="auto"/>
                <w:w w:val="95"/>
              </w:rPr>
              <w:t>Q3-2025</w:t>
            </w:r>
          </w:p>
        </w:tc>
        <w:tc>
          <w:tcPr>
            <w:tcW w:w="1180" w:type="dxa"/>
            <w:vAlign w:val="bottom"/>
            <w:gridSpan w:val="3"/>
          </w:tcPr>
          <w:p>
            <w:pPr>
              <w:ind w:left="400"/>
              <w:spacing w:after="0"/>
              <w:rPr>
                <w:sz w:val="20"/>
                <w:szCs w:val="20"/>
                <w:color w:val="auto"/>
              </w:rPr>
            </w:pPr>
            <w:r>
              <w:rPr>
                <w:rFonts w:ascii="Arial" w:cs="Arial" w:eastAsia="Arial" w:hAnsi="Arial"/>
                <w:sz w:val="7"/>
                <w:szCs w:val="7"/>
                <w:color w:val="auto"/>
              </w:rPr>
              <w:t>2H-2026</w:t>
            </w:r>
          </w:p>
        </w:tc>
        <w:tc>
          <w:tcPr>
            <w:tcW w:w="760" w:type="dxa"/>
            <w:vAlign w:val="bottom"/>
            <w:gridSpan w:val="2"/>
          </w:tcPr>
          <w:p>
            <w:pPr>
              <w:jc w:val="right"/>
              <w:ind w:right="205"/>
              <w:spacing w:after="0"/>
              <w:rPr>
                <w:sz w:val="20"/>
                <w:szCs w:val="20"/>
                <w:color w:val="auto"/>
              </w:rPr>
            </w:pPr>
            <w:r>
              <w:rPr>
                <w:rFonts w:ascii="Arial" w:cs="Arial" w:eastAsia="Arial" w:hAnsi="Arial"/>
                <w:sz w:val="7"/>
                <w:szCs w:val="7"/>
                <w:color w:val="auto"/>
              </w:rPr>
              <w:t>2027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$16M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52%</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8%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00" w:type="dxa"/>
            <w:vAlign w:val="bottom"/>
            <w:gridSpan w:val="2"/>
            <w:shd w:val="clear" w:color="auto" w:fill="D9D9D9"/>
          </w:tcPr>
          <w:p>
            <w:pPr>
              <w:spacing w:after="0"/>
              <w:rPr>
                <w:sz w:val="20"/>
                <w:szCs w:val="20"/>
                <w:color w:val="auto"/>
              </w:rPr>
            </w:pPr>
            <w:r>
              <w:rPr>
                <w:rFonts w:ascii="Arial" w:cs="Arial" w:eastAsia="Arial" w:hAnsi="Arial"/>
                <w:sz w:val="7"/>
                <w:szCs w:val="7"/>
                <w:color w:val="auto"/>
              </w:rPr>
              <w:t xml:space="preserve">Crystal Brook Corner </w:t>
            </w:r>
            <w:r>
              <w:rPr>
                <w:rFonts w:ascii="Arial" w:cs="Arial" w:eastAsia="Arial" w:hAnsi="Arial"/>
                <w:sz w:val="9"/>
                <w:szCs w:val="9"/>
                <w:color w:val="auto"/>
                <w:vertAlign w:val="superscript"/>
              </w:rPr>
              <w:t>(2)</w:t>
            </w:r>
          </w:p>
        </w:tc>
        <w:tc>
          <w:tcPr>
            <w:tcW w:w="460" w:type="dxa"/>
            <w:vAlign w:val="bottom"/>
            <w:shd w:val="clear" w:color="auto" w:fill="D9D9D9"/>
          </w:tcPr>
          <w:p>
            <w:pPr>
              <w:jc w:val="right"/>
              <w:spacing w:after="0"/>
              <w:rPr>
                <w:sz w:val="20"/>
                <w:szCs w:val="20"/>
                <w:color w:val="auto"/>
              </w:rPr>
            </w:pPr>
            <w:r>
              <w:rPr>
                <w:rFonts w:ascii="Arial" w:cs="Arial" w:eastAsia="Arial" w:hAnsi="Arial"/>
                <w:sz w:val="12"/>
                <w:szCs w:val="12"/>
                <w:color w:val="D9D9D9"/>
              </w:rPr>
              <w:t>0</w:t>
            </w:r>
          </w:p>
        </w:tc>
        <w:tc>
          <w:tcPr>
            <w:tcW w:w="1180" w:type="dxa"/>
            <w:vAlign w:val="bottom"/>
            <w:gridSpan w:val="3"/>
            <w:shd w:val="clear" w:color="auto" w:fill="D9D9D9"/>
          </w:tcPr>
          <w:p>
            <w:pPr>
              <w:ind w:left="40"/>
              <w:spacing w:after="0"/>
              <w:rPr>
                <w:sz w:val="20"/>
                <w:szCs w:val="20"/>
                <w:color w:val="auto"/>
              </w:rPr>
            </w:pPr>
            <w:r>
              <w:rPr>
                <w:rFonts w:ascii="Arial" w:cs="Arial" w:eastAsia="Arial" w:hAnsi="Arial"/>
                <w:sz w:val="7"/>
                <w:szCs w:val="7"/>
                <w:color w:val="auto"/>
              </w:rPr>
              <w:t>Long Island, NY</w:t>
            </w:r>
          </w:p>
        </w:tc>
        <w:tc>
          <w:tcPr>
            <w:tcW w:w="1380" w:type="dxa"/>
            <w:vAlign w:val="bottom"/>
            <w:gridSpan w:val="2"/>
            <w:shd w:val="clear" w:color="auto" w:fill="D9D9D9"/>
          </w:tcPr>
          <w:p>
            <w:pPr>
              <w:spacing w:after="0"/>
              <w:rPr>
                <w:sz w:val="20"/>
                <w:szCs w:val="20"/>
                <w:color w:val="auto"/>
              </w:rPr>
            </w:pPr>
            <w:r>
              <w:rPr>
                <w:rFonts w:ascii="Arial" w:cs="Arial" w:eastAsia="Arial" w:hAnsi="Arial"/>
                <w:sz w:val="7"/>
                <w:szCs w:val="7"/>
                <w:color w:val="auto"/>
              </w:rPr>
              <w:t>Whole Foods</w:t>
            </w:r>
          </w:p>
        </w:tc>
        <w:tc>
          <w:tcPr>
            <w:tcW w:w="540" w:type="dxa"/>
            <w:vAlign w:val="bottom"/>
            <w:shd w:val="clear" w:color="auto" w:fill="D9D9D9"/>
          </w:tcPr>
          <w:p>
            <w:pPr>
              <w:jc w:val="center"/>
              <w:spacing w:after="0"/>
              <w:rPr>
                <w:sz w:val="20"/>
                <w:szCs w:val="20"/>
                <w:color w:val="auto"/>
              </w:rPr>
            </w:pPr>
            <w:r>
              <w:rPr>
                <w:rFonts w:ascii="Arial" w:cs="Arial" w:eastAsia="Arial" w:hAnsi="Arial"/>
                <w:sz w:val="7"/>
                <w:szCs w:val="7"/>
                <w:color w:val="auto"/>
                <w:w w:val="99"/>
              </w:rPr>
              <w:t>65%</w:t>
            </w:r>
          </w:p>
        </w:tc>
        <w:tc>
          <w:tcPr>
            <w:tcW w:w="260" w:type="dxa"/>
            <w:vAlign w:val="bottom"/>
            <w:shd w:val="clear" w:color="auto" w:fill="D9D9D9"/>
          </w:tcPr>
          <w:p>
            <w:pPr>
              <w:spacing w:after="0"/>
              <w:rPr>
                <w:sz w:val="12"/>
                <w:szCs w:val="12"/>
                <w:color w:val="auto"/>
              </w:rPr>
            </w:pPr>
          </w:p>
        </w:tc>
        <w:tc>
          <w:tcPr>
            <w:tcW w:w="640" w:type="dxa"/>
            <w:vAlign w:val="bottom"/>
            <w:gridSpan w:val="2"/>
            <w:shd w:val="clear" w:color="auto" w:fill="D9D9D9"/>
          </w:tcPr>
          <w:p>
            <w:pPr>
              <w:jc w:val="center"/>
              <w:ind w:right="260"/>
              <w:spacing w:after="0"/>
              <w:rPr>
                <w:sz w:val="20"/>
                <w:szCs w:val="20"/>
                <w:color w:val="auto"/>
              </w:rPr>
            </w:pPr>
            <w:r>
              <w:rPr>
                <w:rFonts w:ascii="Arial" w:cs="Arial" w:eastAsia="Arial" w:hAnsi="Arial"/>
                <w:sz w:val="7"/>
                <w:szCs w:val="7"/>
                <w:color w:val="auto"/>
                <w:w w:val="95"/>
              </w:rPr>
              <w:t>Q1-2026</w:t>
            </w:r>
          </w:p>
        </w:tc>
        <w:tc>
          <w:tcPr>
            <w:tcW w:w="1180" w:type="dxa"/>
            <w:vAlign w:val="bottom"/>
            <w:gridSpan w:val="3"/>
            <w:shd w:val="clear" w:color="auto" w:fill="D9D9D9"/>
          </w:tcPr>
          <w:p>
            <w:pPr>
              <w:ind w:left="400"/>
              <w:spacing w:after="0"/>
              <w:rPr>
                <w:sz w:val="20"/>
                <w:szCs w:val="20"/>
                <w:color w:val="auto"/>
              </w:rPr>
            </w:pPr>
            <w:r>
              <w:rPr>
                <w:rFonts w:ascii="Arial" w:cs="Arial" w:eastAsia="Arial" w:hAnsi="Arial"/>
                <w:sz w:val="7"/>
                <w:szCs w:val="7"/>
                <w:color w:val="auto"/>
              </w:rPr>
              <w:t>1H-2027</w:t>
            </w:r>
          </w:p>
        </w:tc>
        <w:tc>
          <w:tcPr>
            <w:tcW w:w="760" w:type="dxa"/>
            <w:vAlign w:val="bottom"/>
            <w:gridSpan w:val="2"/>
            <w:shd w:val="clear" w:color="auto" w:fill="D9D9D9"/>
          </w:tcPr>
          <w:p>
            <w:pPr>
              <w:jc w:val="right"/>
              <w:ind w:right="205"/>
              <w:spacing w:after="0"/>
              <w:rPr>
                <w:sz w:val="20"/>
                <w:szCs w:val="20"/>
                <w:color w:val="auto"/>
              </w:rPr>
            </w:pPr>
            <w:r>
              <w:rPr>
                <w:rFonts w:ascii="Arial" w:cs="Arial" w:eastAsia="Arial" w:hAnsi="Arial"/>
                <w:sz w:val="7"/>
                <w:szCs w:val="7"/>
                <w:color w:val="auto"/>
              </w:rPr>
              <w:t>2028</w:t>
            </w:r>
          </w:p>
        </w:tc>
        <w:tc>
          <w:tcPr>
            <w:tcW w:w="6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80" w:type="dxa"/>
            <w:vAlign w:val="bottom"/>
            <w:shd w:val="clear" w:color="auto" w:fill="D9D9D9"/>
          </w:tcPr>
          <w:p>
            <w:pPr>
              <w:spacing w:after="0"/>
              <w:rPr>
                <w:sz w:val="12"/>
                <w:szCs w:val="12"/>
                <w:color w:val="auto"/>
              </w:rPr>
            </w:pPr>
          </w:p>
        </w:tc>
        <w:tc>
          <w:tcPr>
            <w:tcW w:w="720" w:type="dxa"/>
            <w:vAlign w:val="bottom"/>
            <w:gridSpan w:val="2"/>
            <w:shd w:val="clear" w:color="auto" w:fill="D9D9D9"/>
          </w:tcPr>
          <w:p>
            <w:pPr>
              <w:jc w:val="center"/>
              <w:ind w:right="36"/>
              <w:spacing w:after="0"/>
              <w:rPr>
                <w:sz w:val="20"/>
                <w:szCs w:val="20"/>
                <w:color w:val="auto"/>
              </w:rPr>
            </w:pPr>
            <w:r>
              <w:rPr>
                <w:rFonts w:ascii="Arial" w:cs="Arial" w:eastAsia="Arial" w:hAnsi="Arial"/>
                <w:sz w:val="7"/>
                <w:szCs w:val="7"/>
                <w:color w:val="auto"/>
              </w:rPr>
              <w:t>$59M</w:t>
            </w:r>
          </w:p>
        </w:tc>
        <w:tc>
          <w:tcPr>
            <w:tcW w:w="720" w:type="dxa"/>
            <w:vAlign w:val="bottom"/>
            <w:gridSpan w:val="2"/>
            <w:shd w:val="clear" w:color="auto" w:fill="D9D9D9"/>
          </w:tcPr>
          <w:p>
            <w:pPr>
              <w:jc w:val="center"/>
              <w:ind w:left="25"/>
              <w:spacing w:after="0"/>
              <w:rPr>
                <w:sz w:val="20"/>
                <w:szCs w:val="20"/>
                <w:color w:val="auto"/>
              </w:rPr>
            </w:pPr>
            <w:r>
              <w:rPr>
                <w:rFonts w:ascii="Arial" w:cs="Arial" w:eastAsia="Arial" w:hAnsi="Arial"/>
                <w:sz w:val="7"/>
                <w:szCs w:val="7"/>
                <w:color w:val="auto"/>
                <w:w w:val="99"/>
              </w:rPr>
              <w:t>55%</w:t>
            </w:r>
          </w:p>
        </w:tc>
        <w:tc>
          <w:tcPr>
            <w:tcW w:w="720" w:type="dxa"/>
            <w:vAlign w:val="bottom"/>
            <w:gridSpan w:val="2"/>
            <w:shd w:val="clear" w:color="auto" w:fill="D9D9D9"/>
          </w:tcPr>
          <w:p>
            <w:pPr>
              <w:jc w:val="center"/>
              <w:ind w:left="245"/>
              <w:spacing w:after="0"/>
              <w:rPr>
                <w:sz w:val="20"/>
                <w:szCs w:val="20"/>
                <w:color w:val="auto"/>
              </w:rPr>
            </w:pPr>
            <w:r>
              <w:rPr>
                <w:rFonts w:ascii="Arial" w:cs="Arial" w:eastAsia="Arial" w:hAnsi="Arial"/>
                <w:sz w:val="7"/>
                <w:szCs w:val="7"/>
                <w:color w:val="auto"/>
              </w:rPr>
              <w:t>7% +/-</w:t>
            </w:r>
          </w:p>
        </w:tc>
        <w:tc>
          <w:tcPr>
            <w:tcW w:w="60" w:type="dxa"/>
            <w:vAlign w:val="bottom"/>
            <w:shd w:val="clear" w:color="auto" w:fill="D9D9D9"/>
          </w:tcPr>
          <w:p>
            <w:pPr>
              <w:spacing w:after="0"/>
              <w:rPr>
                <w:sz w:val="12"/>
                <w:szCs w:val="12"/>
                <w:color w:val="auto"/>
              </w:rPr>
            </w:pPr>
          </w:p>
        </w:tc>
        <w:tc>
          <w:tcPr>
            <w:tcW w:w="160" w:type="dxa"/>
            <w:vAlign w:val="bottom"/>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300" w:type="dxa"/>
            <w:vAlign w:val="bottom"/>
            <w:gridSpan w:val="2"/>
          </w:tcPr>
          <w:p>
            <w:pPr>
              <w:spacing w:after="0"/>
              <w:rPr>
                <w:sz w:val="20"/>
                <w:szCs w:val="20"/>
                <w:color w:val="auto"/>
              </w:rPr>
            </w:pPr>
            <w:r>
              <w:rPr>
                <w:rFonts w:ascii="Arial" w:cs="Arial" w:eastAsia="Arial" w:hAnsi="Arial"/>
                <w:sz w:val="7"/>
                <w:szCs w:val="7"/>
                <w:color w:val="auto"/>
              </w:rPr>
              <w:t>Various Redevelopments (est costs &lt; $10 million individually)</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7"/>
                <w:szCs w:val="7"/>
                <w:color w:val="auto"/>
                <w:w w:val="99"/>
              </w:rPr>
              <w:t>90%</w:t>
            </w: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center"/>
              <w:ind w:right="36"/>
              <w:spacing w:after="0"/>
              <w:rPr>
                <w:sz w:val="20"/>
                <w:szCs w:val="20"/>
                <w:color w:val="auto"/>
              </w:rPr>
            </w:pPr>
            <w:r>
              <w:rPr>
                <w:rFonts w:ascii="Arial" w:cs="Arial" w:eastAsia="Arial" w:hAnsi="Arial"/>
                <w:sz w:val="7"/>
                <w:szCs w:val="7"/>
                <w:color w:val="auto"/>
              </w:rPr>
              <w:t>$96M</w:t>
            </w:r>
          </w:p>
        </w:tc>
        <w:tc>
          <w:tcPr>
            <w:tcW w:w="720" w:type="dxa"/>
            <w:vAlign w:val="bottom"/>
            <w:gridSpan w:val="2"/>
          </w:tcPr>
          <w:p>
            <w:pPr>
              <w:jc w:val="center"/>
              <w:ind w:left="25"/>
              <w:spacing w:after="0"/>
              <w:rPr>
                <w:sz w:val="20"/>
                <w:szCs w:val="20"/>
                <w:color w:val="auto"/>
              </w:rPr>
            </w:pPr>
            <w:r>
              <w:rPr>
                <w:rFonts w:ascii="Arial" w:cs="Arial" w:eastAsia="Arial" w:hAnsi="Arial"/>
                <w:sz w:val="7"/>
                <w:szCs w:val="7"/>
                <w:color w:val="auto"/>
                <w:w w:val="99"/>
              </w:rPr>
              <w:t>44%</w:t>
            </w:r>
          </w:p>
        </w:tc>
        <w:tc>
          <w:tcPr>
            <w:tcW w:w="720" w:type="dxa"/>
            <w:vAlign w:val="bottom"/>
            <w:gridSpan w:val="2"/>
          </w:tcPr>
          <w:p>
            <w:pPr>
              <w:jc w:val="center"/>
              <w:ind w:left="245"/>
              <w:spacing w:after="0"/>
              <w:rPr>
                <w:sz w:val="20"/>
                <w:szCs w:val="20"/>
                <w:color w:val="auto"/>
              </w:rPr>
            </w:pPr>
            <w:r>
              <w:rPr>
                <w:rFonts w:ascii="Arial" w:cs="Arial" w:eastAsia="Arial" w:hAnsi="Arial"/>
                <w:sz w:val="7"/>
                <w:szCs w:val="7"/>
                <w:color w:val="auto"/>
              </w:rPr>
              <w:t>12%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300" w:type="dxa"/>
            <w:vAlign w:val="bottom"/>
            <w:gridSpan w:val="2"/>
            <w:shd w:val="clear" w:color="auto" w:fill="181717"/>
          </w:tcPr>
          <w:p>
            <w:pPr>
              <w:spacing w:after="0"/>
              <w:rPr>
                <w:sz w:val="20"/>
                <w:szCs w:val="20"/>
                <w:color w:val="auto"/>
              </w:rPr>
            </w:pPr>
            <w:r>
              <w:rPr>
                <w:rFonts w:ascii="Arial" w:cs="Arial" w:eastAsia="Arial" w:hAnsi="Arial"/>
                <w:sz w:val="7"/>
                <w:szCs w:val="7"/>
                <w:color w:val="auto"/>
              </w:rPr>
              <w:t>Total In-Process (In Construction)</w:t>
            </w:r>
          </w:p>
        </w:tc>
        <w:tc>
          <w:tcPr>
            <w:tcW w:w="460" w:type="dxa"/>
            <w:vAlign w:val="bottom"/>
            <w:shd w:val="clear" w:color="auto" w:fill="181717"/>
          </w:tcPr>
          <w:p>
            <w:pPr>
              <w:spacing w:after="0"/>
              <w:rPr>
                <w:sz w:val="12"/>
                <w:szCs w:val="12"/>
                <w:color w:val="auto"/>
              </w:rPr>
            </w:pPr>
          </w:p>
        </w:tc>
        <w:tc>
          <w:tcPr>
            <w:tcW w:w="40" w:type="dxa"/>
            <w:vAlign w:val="bottom"/>
            <w:shd w:val="clear" w:color="auto" w:fill="181717"/>
          </w:tcPr>
          <w:p>
            <w:pPr>
              <w:spacing w:after="0"/>
              <w:rPr>
                <w:sz w:val="12"/>
                <w:szCs w:val="12"/>
                <w:color w:val="auto"/>
              </w:rPr>
            </w:pPr>
          </w:p>
        </w:tc>
        <w:tc>
          <w:tcPr>
            <w:tcW w:w="220" w:type="dxa"/>
            <w:vAlign w:val="bottom"/>
            <w:shd w:val="clear" w:color="auto" w:fill="181717"/>
          </w:tcPr>
          <w:p>
            <w:pPr>
              <w:spacing w:after="0"/>
              <w:rPr>
                <w:sz w:val="12"/>
                <w:szCs w:val="12"/>
                <w:color w:val="auto"/>
              </w:rPr>
            </w:pPr>
          </w:p>
        </w:tc>
        <w:tc>
          <w:tcPr>
            <w:tcW w:w="920" w:type="dxa"/>
            <w:vAlign w:val="bottom"/>
            <w:shd w:val="clear" w:color="auto" w:fill="181717"/>
          </w:tcPr>
          <w:p>
            <w:pPr>
              <w:spacing w:after="0"/>
              <w:rPr>
                <w:sz w:val="12"/>
                <w:szCs w:val="12"/>
                <w:color w:val="auto"/>
              </w:rPr>
            </w:pPr>
          </w:p>
        </w:tc>
        <w:tc>
          <w:tcPr>
            <w:tcW w:w="700" w:type="dxa"/>
            <w:vAlign w:val="bottom"/>
            <w:shd w:val="clear" w:color="auto" w:fill="181717"/>
          </w:tcPr>
          <w:p>
            <w:pPr>
              <w:spacing w:after="0"/>
              <w:rPr>
                <w:sz w:val="12"/>
                <w:szCs w:val="12"/>
                <w:color w:val="auto"/>
              </w:rPr>
            </w:pPr>
          </w:p>
        </w:tc>
        <w:tc>
          <w:tcPr>
            <w:tcW w:w="680" w:type="dxa"/>
            <w:vAlign w:val="bottom"/>
            <w:shd w:val="clear" w:color="auto" w:fill="181717"/>
          </w:tcPr>
          <w:p>
            <w:pPr>
              <w:spacing w:after="0"/>
              <w:rPr>
                <w:sz w:val="12"/>
                <w:szCs w:val="12"/>
                <w:color w:val="auto"/>
              </w:rPr>
            </w:pPr>
          </w:p>
        </w:tc>
        <w:tc>
          <w:tcPr>
            <w:tcW w:w="540" w:type="dxa"/>
            <w:vAlign w:val="bottom"/>
            <w:shd w:val="clear" w:color="auto" w:fill="181717"/>
          </w:tcPr>
          <w:p>
            <w:pPr>
              <w:spacing w:after="0"/>
              <w:rPr>
                <w:sz w:val="12"/>
                <w:szCs w:val="12"/>
                <w:color w:val="auto"/>
              </w:rPr>
            </w:pPr>
          </w:p>
        </w:tc>
        <w:tc>
          <w:tcPr>
            <w:tcW w:w="260" w:type="dxa"/>
            <w:vAlign w:val="bottom"/>
            <w:shd w:val="clear" w:color="auto" w:fill="181717"/>
          </w:tcPr>
          <w:p>
            <w:pPr>
              <w:spacing w:after="0"/>
              <w:rPr>
                <w:sz w:val="12"/>
                <w:szCs w:val="12"/>
                <w:color w:val="auto"/>
              </w:rPr>
            </w:pPr>
          </w:p>
        </w:tc>
        <w:tc>
          <w:tcPr>
            <w:tcW w:w="380" w:type="dxa"/>
            <w:vAlign w:val="bottom"/>
            <w:shd w:val="clear" w:color="auto" w:fill="181717"/>
          </w:tcPr>
          <w:p>
            <w:pPr>
              <w:jc w:val="center"/>
              <w:spacing w:after="0" w:line="132" w:lineRule="exact"/>
              <w:rPr>
                <w:sz w:val="20"/>
                <w:szCs w:val="20"/>
                <w:color w:val="auto"/>
              </w:rPr>
            </w:pPr>
            <w:r>
              <w:rPr>
                <w:rFonts w:ascii="Arial" w:cs="Arial" w:eastAsia="Arial" w:hAnsi="Arial"/>
                <w:sz w:val="12"/>
                <w:szCs w:val="12"/>
                <w:color w:val="181717"/>
                <w:w w:val="89"/>
              </w:rPr>
              <w:t>0</w:t>
            </w:r>
          </w:p>
        </w:tc>
        <w:tc>
          <w:tcPr>
            <w:tcW w:w="260" w:type="dxa"/>
            <w:vAlign w:val="bottom"/>
            <w:shd w:val="clear" w:color="auto" w:fill="181717"/>
          </w:tcPr>
          <w:p>
            <w:pPr>
              <w:spacing w:after="0"/>
              <w:rPr>
                <w:sz w:val="12"/>
                <w:szCs w:val="12"/>
                <w:color w:val="auto"/>
              </w:rPr>
            </w:pPr>
          </w:p>
        </w:tc>
        <w:tc>
          <w:tcPr>
            <w:tcW w:w="1020" w:type="dxa"/>
            <w:vAlign w:val="bottom"/>
            <w:shd w:val="clear" w:color="auto" w:fill="181717"/>
          </w:tcPr>
          <w:p>
            <w:pPr>
              <w:spacing w:after="0"/>
              <w:rPr>
                <w:sz w:val="12"/>
                <w:szCs w:val="12"/>
                <w:color w:val="auto"/>
              </w:rPr>
            </w:pPr>
          </w:p>
        </w:tc>
        <w:tc>
          <w:tcPr>
            <w:tcW w:w="80" w:type="dxa"/>
            <w:vAlign w:val="bottom"/>
            <w:shd w:val="clear" w:color="auto" w:fill="181717"/>
          </w:tcPr>
          <w:p>
            <w:pPr>
              <w:spacing w:after="0"/>
              <w:rPr>
                <w:sz w:val="12"/>
                <w:szCs w:val="12"/>
                <w:color w:val="auto"/>
              </w:rPr>
            </w:pPr>
          </w:p>
        </w:tc>
        <w:tc>
          <w:tcPr>
            <w:tcW w:w="80" w:type="dxa"/>
            <w:vAlign w:val="bottom"/>
            <w:shd w:val="clear" w:color="auto" w:fill="181717"/>
          </w:tcPr>
          <w:p>
            <w:pPr>
              <w:spacing w:after="0"/>
              <w:rPr>
                <w:sz w:val="12"/>
                <w:szCs w:val="12"/>
                <w:color w:val="auto"/>
              </w:rPr>
            </w:pPr>
          </w:p>
        </w:tc>
        <w:tc>
          <w:tcPr>
            <w:tcW w:w="80" w:type="dxa"/>
            <w:vAlign w:val="bottom"/>
            <w:shd w:val="clear" w:color="auto" w:fill="181717"/>
          </w:tcPr>
          <w:p>
            <w:pPr>
              <w:spacing w:after="0"/>
              <w:rPr>
                <w:sz w:val="12"/>
                <w:szCs w:val="12"/>
                <w:color w:val="auto"/>
              </w:rPr>
            </w:pPr>
          </w:p>
        </w:tc>
        <w:tc>
          <w:tcPr>
            <w:tcW w:w="680" w:type="dxa"/>
            <w:vAlign w:val="bottom"/>
            <w:shd w:val="clear" w:color="auto" w:fill="181717"/>
          </w:tcPr>
          <w:p>
            <w:pPr>
              <w:spacing w:after="0"/>
              <w:rPr>
                <w:sz w:val="12"/>
                <w:szCs w:val="12"/>
                <w:color w:val="auto"/>
              </w:rPr>
            </w:pPr>
          </w:p>
        </w:tc>
        <w:tc>
          <w:tcPr>
            <w:tcW w:w="60" w:type="dxa"/>
            <w:vAlign w:val="bottom"/>
            <w:shd w:val="clear" w:color="auto" w:fill="181717"/>
          </w:tcPr>
          <w:p>
            <w:pPr>
              <w:spacing w:after="0"/>
              <w:rPr>
                <w:sz w:val="12"/>
                <w:szCs w:val="12"/>
                <w:color w:val="auto"/>
              </w:rPr>
            </w:pPr>
          </w:p>
        </w:tc>
        <w:tc>
          <w:tcPr>
            <w:tcW w:w="80" w:type="dxa"/>
            <w:vAlign w:val="bottom"/>
            <w:shd w:val="clear" w:color="auto" w:fill="181717"/>
          </w:tcPr>
          <w:p>
            <w:pPr>
              <w:spacing w:after="0"/>
              <w:rPr>
                <w:sz w:val="12"/>
                <w:szCs w:val="12"/>
                <w:color w:val="auto"/>
              </w:rPr>
            </w:pPr>
          </w:p>
        </w:tc>
        <w:tc>
          <w:tcPr>
            <w:tcW w:w="80" w:type="dxa"/>
            <w:vAlign w:val="bottom"/>
            <w:shd w:val="clear" w:color="auto" w:fill="181717"/>
          </w:tcPr>
          <w:p>
            <w:pPr>
              <w:spacing w:after="0"/>
              <w:rPr>
                <w:sz w:val="12"/>
                <w:szCs w:val="12"/>
                <w:color w:val="auto"/>
              </w:rPr>
            </w:pPr>
          </w:p>
        </w:tc>
        <w:tc>
          <w:tcPr>
            <w:tcW w:w="720" w:type="dxa"/>
            <w:vAlign w:val="bottom"/>
            <w:gridSpan w:val="2"/>
            <w:shd w:val="clear" w:color="auto" w:fill="181717"/>
          </w:tcPr>
          <w:p>
            <w:pPr>
              <w:jc w:val="center"/>
              <w:ind w:right="36"/>
              <w:spacing w:after="0"/>
              <w:rPr>
                <w:sz w:val="20"/>
                <w:szCs w:val="20"/>
                <w:color w:val="auto"/>
              </w:rPr>
            </w:pPr>
            <w:r>
              <w:rPr>
                <w:rFonts w:ascii="Arial" w:cs="Arial" w:eastAsia="Arial" w:hAnsi="Arial"/>
                <w:sz w:val="7"/>
                <w:szCs w:val="7"/>
                <w:color w:val="auto"/>
                <w:highlight w:val="white"/>
              </w:rPr>
              <w:t>$635M</w:t>
            </w:r>
          </w:p>
        </w:tc>
        <w:tc>
          <w:tcPr>
            <w:tcW w:w="720" w:type="dxa"/>
            <w:vAlign w:val="bottom"/>
            <w:gridSpan w:val="2"/>
            <w:shd w:val="clear" w:color="auto" w:fill="181717"/>
          </w:tcPr>
          <w:p>
            <w:pPr>
              <w:jc w:val="center"/>
              <w:ind w:left="25"/>
              <w:spacing w:after="0"/>
              <w:rPr>
                <w:sz w:val="20"/>
                <w:szCs w:val="20"/>
                <w:color w:val="auto"/>
              </w:rPr>
            </w:pPr>
            <w:r>
              <w:rPr>
                <w:rFonts w:ascii="Arial" w:cs="Arial" w:eastAsia="Arial" w:hAnsi="Arial"/>
                <w:sz w:val="7"/>
                <w:szCs w:val="7"/>
                <w:color w:val="auto"/>
                <w:highlight w:val="white"/>
                <w:w w:val="99"/>
              </w:rPr>
              <w:t>46%</w:t>
            </w:r>
          </w:p>
        </w:tc>
        <w:tc>
          <w:tcPr>
            <w:tcW w:w="720" w:type="dxa"/>
            <w:vAlign w:val="bottom"/>
            <w:gridSpan w:val="2"/>
            <w:shd w:val="clear" w:color="auto" w:fill="181717"/>
          </w:tcPr>
          <w:p>
            <w:pPr>
              <w:jc w:val="center"/>
              <w:ind w:left="245"/>
              <w:spacing w:after="0"/>
              <w:rPr>
                <w:sz w:val="20"/>
                <w:szCs w:val="20"/>
                <w:color w:val="auto"/>
              </w:rPr>
            </w:pPr>
            <w:r>
              <w:rPr>
                <w:rFonts w:ascii="Arial" w:cs="Arial" w:eastAsia="Arial" w:hAnsi="Arial"/>
                <w:sz w:val="7"/>
                <w:szCs w:val="7"/>
                <w:color w:val="auto"/>
              </w:rPr>
              <w:t>9% +/-</w:t>
            </w:r>
          </w:p>
        </w:tc>
        <w:tc>
          <w:tcPr>
            <w:tcW w:w="60" w:type="dxa"/>
            <w:vAlign w:val="bottom"/>
            <w:shd w:val="clear" w:color="auto" w:fill="181717"/>
          </w:tcPr>
          <w:p>
            <w:pPr>
              <w:spacing w:after="0"/>
              <w:rPr>
                <w:sz w:val="12"/>
                <w:szCs w:val="12"/>
                <w:color w:val="auto"/>
              </w:rPr>
            </w:pPr>
          </w:p>
        </w:tc>
        <w:tc>
          <w:tcPr>
            <w:tcW w:w="160" w:type="dxa"/>
            <w:vAlign w:val="bottom"/>
            <w:shd w:val="clear" w:color="auto" w:fill="181717"/>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77405" cy="654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7405" cy="654685"/>
                    </a:xfrm>
                    <a:prstGeom prst="rect">
                      <a:avLst/>
                    </a:prstGeom>
                    <a:noFill/>
                  </pic:spPr>
                </pic:pic>
              </a:graphicData>
            </a:graphic>
          </wp:anchor>
        </w:drawing>
      </w:r>
    </w:p>
    <w:p>
      <w:pPr>
        <w:spacing w:after="0" w:line="312" w:lineRule="exact"/>
        <w:rPr>
          <w:sz w:val="20"/>
          <w:szCs w:val="20"/>
          <w:color w:val="auto"/>
        </w:rPr>
      </w:pPr>
    </w:p>
    <w:p>
      <w:pPr>
        <w:ind w:left="8"/>
        <w:spacing w:after="0"/>
        <w:rPr>
          <w:sz w:val="20"/>
          <w:szCs w:val="20"/>
          <w:color w:val="auto"/>
        </w:rPr>
      </w:pPr>
      <w:r>
        <w:rPr>
          <w:rFonts w:ascii="Arial" w:cs="Arial" w:eastAsia="Arial" w:hAnsi="Arial"/>
          <w:sz w:val="7"/>
          <w:szCs w:val="7"/>
          <w:color w:val="auto"/>
        </w:rPr>
        <w:t>Current Year Development and Redevelopment Completions</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90"/>
        </w:trPr>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highlight w:val="black"/>
                <w:w w:val="98"/>
              </w:rPr>
              <w:t>Shopping Center</w:t>
            </w:r>
          </w:p>
        </w:tc>
        <w:tc>
          <w:tcPr>
            <w:tcW w:w="19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highlight w:val="black"/>
                <w:w w:val="93"/>
              </w:rPr>
              <w:t>Market</w:t>
            </w:r>
          </w:p>
        </w:tc>
        <w:tc>
          <w:tcPr>
            <w:tcW w:w="86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highlight w:val="black"/>
                <w:w w:val="98"/>
              </w:rPr>
              <w:t>Project Start</w:t>
            </w:r>
          </w:p>
        </w:tc>
        <w:tc>
          <w:tcPr>
            <w:tcW w:w="50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w w:val="99"/>
              </w:rPr>
              <w:t>Est Initial Rent Commencement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4"/>
                <w:szCs w:val="4"/>
                <w:color w:val="auto"/>
                <w:highlight w:val="black"/>
                <w:w w:val="80"/>
              </w:rPr>
              <w:t>(a)</w:t>
            </w:r>
          </w:p>
        </w:tc>
        <w:tc>
          <w:tcPr>
            <w:tcW w:w="42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color w:val="auto"/>
                <w:w w:val="96"/>
              </w:rPr>
              <w:t>Est Stabilization Year</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4"/>
                <w:szCs w:val="4"/>
                <w:color w:val="auto"/>
                <w:highlight w:val="black"/>
                <w:w w:val="80"/>
              </w:rPr>
              <w:t>(b)</w:t>
            </w:r>
          </w:p>
        </w:tc>
        <w:tc>
          <w:tcPr>
            <w:tcW w:w="2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highlight w:val="black"/>
                <w:w w:val="95"/>
              </w:rPr>
              <w:t>Net Project Costs</w:t>
            </w:r>
          </w:p>
        </w:tc>
        <w:tc>
          <w:tcPr>
            <w:tcW w:w="500" w:type="dxa"/>
            <w:vAlign w:val="bottom"/>
            <w:tcBorders>
              <w:top w:val="single" w:sz="8" w:color="auto"/>
              <w:bottom w:val="single" w:sz="8" w:color="auto"/>
            </w:tcBorders>
          </w:tcPr>
          <w:p>
            <w:pPr>
              <w:spacing w:after="0" w:line="55" w:lineRule="exact"/>
              <w:rPr>
                <w:sz w:val="20"/>
                <w:szCs w:val="20"/>
                <w:color w:val="auto"/>
              </w:rPr>
            </w:pPr>
            <w:r>
              <w:rPr>
                <w:rFonts w:ascii="Arial" w:cs="Arial" w:eastAsia="Arial" w:hAnsi="Arial"/>
                <w:sz w:val="5"/>
                <w:szCs w:val="5"/>
                <w:color w:val="auto"/>
                <w:highlight w:val="black"/>
              </w:rPr>
              <w:t>(c)</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7"/>
                <w:szCs w:val="7"/>
                <w:color w:val="auto"/>
              </w:rPr>
              <w:t>% of Costs Incurred</w:t>
            </w:r>
          </w:p>
        </w:tc>
        <w:tc>
          <w:tcPr>
            <w:tcW w:w="5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7"/>
                <w:szCs w:val="7"/>
                <w:color w:val="auto"/>
                <w:highlight w:val="black"/>
                <w:w w:val="96"/>
              </w:rPr>
              <w:t>Stabilized Yield</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4"/>
                <w:szCs w:val="4"/>
                <w:color w:val="auto"/>
                <w:highlight w:val="black"/>
                <w:w w:val="80"/>
              </w:rPr>
              <w:t>(</w:t>
            </w:r>
            <w:r>
              <w:rPr>
                <w:rFonts w:ascii="Arial" w:cs="Arial" w:eastAsia="Arial" w:hAnsi="Arial"/>
                <w:sz w:val="4"/>
                <w:szCs w:val="4"/>
                <w:color w:val="auto"/>
                <w:w w:val="80"/>
              </w:rPr>
              <w:t>d)</w:t>
            </w:r>
          </w:p>
        </w:tc>
        <w:tc>
          <w:tcPr>
            <w:tcW w:w="340" w:type="dxa"/>
            <w:vAlign w:val="bottom"/>
            <w:tcBorders>
              <w:top w:val="single" w:sz="8" w:color="auto"/>
              <w:bottom w:val="single" w:sz="8" w:color="auto"/>
            </w:tcBorders>
          </w:tcPr>
          <w:p>
            <w:pPr>
              <w:spacing w:after="0"/>
              <w:rPr>
                <w:sz w:val="7"/>
                <w:szCs w:val="7"/>
                <w:color w:val="auto"/>
              </w:rPr>
            </w:pPr>
          </w:p>
        </w:tc>
      </w:tr>
      <w:tr>
        <w:trPr>
          <w:trHeight w:val="148"/>
        </w:trPr>
        <w:tc>
          <w:tcPr>
            <w:tcW w:w="2460" w:type="dxa"/>
            <w:vAlign w:val="bottom"/>
            <w:tcBorders>
              <w:bottom w:val="single" w:sz="8" w:color="808080"/>
            </w:tcBorders>
            <w:gridSpan w:val="2"/>
            <w:shd w:val="clear" w:color="auto" w:fill="808080"/>
          </w:tcPr>
          <w:p>
            <w:pPr>
              <w:spacing w:after="0"/>
              <w:rPr>
                <w:sz w:val="20"/>
                <w:szCs w:val="20"/>
                <w:color w:val="auto"/>
              </w:rPr>
            </w:pPr>
            <w:r>
              <w:rPr>
                <w:rFonts w:ascii="Arial" w:cs="Arial" w:eastAsia="Arial" w:hAnsi="Arial"/>
                <w:sz w:val="7"/>
                <w:szCs w:val="7"/>
                <w:color w:val="auto"/>
              </w:rPr>
              <w:t>Ground-up Developments</w:t>
            </w:r>
          </w:p>
        </w:tc>
        <w:tc>
          <w:tcPr>
            <w:tcW w:w="440" w:type="dxa"/>
            <w:vAlign w:val="bottom"/>
            <w:tcBorders>
              <w:bottom w:val="single" w:sz="8" w:color="808080"/>
            </w:tcBorders>
            <w:shd w:val="clear" w:color="auto" w:fill="808080"/>
          </w:tcPr>
          <w:p>
            <w:pPr>
              <w:jc w:val="right"/>
              <w:spacing w:after="0"/>
              <w:rPr>
                <w:sz w:val="20"/>
                <w:szCs w:val="20"/>
                <w:color w:val="auto"/>
              </w:rPr>
            </w:pPr>
            <w:r>
              <w:rPr>
                <w:rFonts w:ascii="Arial" w:cs="Arial" w:eastAsia="Arial" w:hAnsi="Arial"/>
                <w:sz w:val="7"/>
                <w:szCs w:val="7"/>
                <w:color w:val="auto"/>
              </w:rPr>
              <w:t>0</w:t>
            </w:r>
          </w:p>
        </w:tc>
        <w:tc>
          <w:tcPr>
            <w:tcW w:w="220" w:type="dxa"/>
            <w:vAlign w:val="bottom"/>
            <w:tcBorders>
              <w:bottom w:val="single" w:sz="8" w:color="808080"/>
            </w:tcBorders>
            <w:shd w:val="clear" w:color="auto" w:fill="808080"/>
          </w:tcPr>
          <w:p>
            <w:pPr>
              <w:spacing w:after="0"/>
              <w:rPr>
                <w:sz w:val="12"/>
                <w:szCs w:val="12"/>
                <w:color w:val="auto"/>
              </w:rPr>
            </w:pPr>
          </w:p>
        </w:tc>
        <w:tc>
          <w:tcPr>
            <w:tcW w:w="860" w:type="dxa"/>
            <w:vAlign w:val="bottom"/>
            <w:tcBorders>
              <w:bottom w:val="single" w:sz="8" w:color="808080"/>
            </w:tcBorders>
            <w:shd w:val="clear" w:color="auto" w:fill="808080"/>
          </w:tcPr>
          <w:p>
            <w:pPr>
              <w:spacing w:after="0"/>
              <w:rPr>
                <w:sz w:val="12"/>
                <w:szCs w:val="12"/>
                <w:color w:val="auto"/>
              </w:rPr>
            </w:pPr>
          </w:p>
        </w:tc>
        <w:tc>
          <w:tcPr>
            <w:tcW w:w="660" w:type="dxa"/>
            <w:vAlign w:val="bottom"/>
            <w:tcBorders>
              <w:bottom w:val="single" w:sz="8" w:color="808080"/>
            </w:tcBorders>
            <w:shd w:val="clear" w:color="auto" w:fill="808080"/>
          </w:tcPr>
          <w:p>
            <w:pPr>
              <w:spacing w:after="0"/>
              <w:rPr>
                <w:sz w:val="12"/>
                <w:szCs w:val="12"/>
                <w:color w:val="auto"/>
              </w:rPr>
            </w:pPr>
          </w:p>
        </w:tc>
        <w:tc>
          <w:tcPr>
            <w:tcW w:w="400" w:type="dxa"/>
            <w:vAlign w:val="bottom"/>
            <w:tcBorders>
              <w:bottom w:val="single" w:sz="8" w:color="808080"/>
            </w:tcBorders>
            <w:shd w:val="clear" w:color="auto" w:fill="808080"/>
          </w:tcPr>
          <w:p>
            <w:pPr>
              <w:spacing w:after="0"/>
              <w:rPr>
                <w:sz w:val="12"/>
                <w:szCs w:val="12"/>
                <w:color w:val="auto"/>
              </w:rPr>
            </w:pPr>
          </w:p>
        </w:tc>
        <w:tc>
          <w:tcPr>
            <w:tcW w:w="500" w:type="dxa"/>
            <w:vAlign w:val="bottom"/>
            <w:tcBorders>
              <w:bottom w:val="single" w:sz="8" w:color="808080"/>
            </w:tcBorders>
            <w:shd w:val="clear" w:color="auto" w:fill="808080"/>
          </w:tcPr>
          <w:p>
            <w:pPr>
              <w:spacing w:after="0"/>
              <w:rPr>
                <w:sz w:val="12"/>
                <w:szCs w:val="12"/>
                <w:color w:val="auto"/>
              </w:rPr>
            </w:pPr>
          </w:p>
        </w:tc>
        <w:tc>
          <w:tcPr>
            <w:tcW w:w="1000" w:type="dxa"/>
            <w:vAlign w:val="bottom"/>
            <w:tcBorders>
              <w:bottom w:val="single" w:sz="8" w:color="808080"/>
            </w:tcBorders>
            <w:shd w:val="clear" w:color="auto" w:fill="808080"/>
          </w:tcPr>
          <w:p>
            <w:pPr>
              <w:spacing w:after="0"/>
              <w:rPr>
                <w:sz w:val="12"/>
                <w:szCs w:val="12"/>
                <w:color w:val="auto"/>
              </w:rPr>
            </w:pPr>
          </w:p>
        </w:tc>
        <w:tc>
          <w:tcPr>
            <w:tcW w:w="60" w:type="dxa"/>
            <w:vAlign w:val="bottom"/>
            <w:tcBorders>
              <w:bottom w:val="single" w:sz="8" w:color="808080"/>
            </w:tcBorders>
            <w:shd w:val="clear" w:color="auto" w:fill="808080"/>
          </w:tcPr>
          <w:p>
            <w:pPr>
              <w:spacing w:after="0"/>
              <w:rPr>
                <w:sz w:val="12"/>
                <w:szCs w:val="12"/>
                <w:color w:val="auto"/>
              </w:rPr>
            </w:pPr>
          </w:p>
        </w:tc>
        <w:tc>
          <w:tcPr>
            <w:tcW w:w="420" w:type="dxa"/>
            <w:vAlign w:val="bottom"/>
            <w:tcBorders>
              <w:bottom w:val="single" w:sz="8" w:color="808080"/>
            </w:tcBorders>
            <w:shd w:val="clear" w:color="auto" w:fill="808080"/>
          </w:tcPr>
          <w:p>
            <w:pPr>
              <w:spacing w:after="0"/>
              <w:rPr>
                <w:sz w:val="12"/>
                <w:szCs w:val="12"/>
                <w:color w:val="auto"/>
              </w:rPr>
            </w:pPr>
          </w:p>
        </w:tc>
        <w:tc>
          <w:tcPr>
            <w:tcW w:w="660" w:type="dxa"/>
            <w:vAlign w:val="bottom"/>
            <w:tcBorders>
              <w:bottom w:val="single" w:sz="8" w:color="808080"/>
            </w:tcBorders>
            <w:shd w:val="clear" w:color="auto" w:fill="808080"/>
          </w:tcPr>
          <w:p>
            <w:pPr>
              <w:spacing w:after="0"/>
              <w:rPr>
                <w:sz w:val="12"/>
                <w:szCs w:val="12"/>
                <w:color w:val="auto"/>
              </w:rPr>
            </w:pPr>
          </w:p>
        </w:tc>
        <w:tc>
          <w:tcPr>
            <w:tcW w:w="60" w:type="dxa"/>
            <w:vAlign w:val="bottom"/>
            <w:tcBorders>
              <w:bottom w:val="single" w:sz="8" w:color="808080"/>
            </w:tcBorders>
            <w:shd w:val="clear" w:color="auto" w:fill="808080"/>
          </w:tcPr>
          <w:p>
            <w:pPr>
              <w:spacing w:after="0"/>
              <w:rPr>
                <w:sz w:val="12"/>
                <w:szCs w:val="12"/>
                <w:color w:val="auto"/>
              </w:rPr>
            </w:pPr>
          </w:p>
        </w:tc>
        <w:tc>
          <w:tcPr>
            <w:tcW w:w="260" w:type="dxa"/>
            <w:vAlign w:val="bottom"/>
            <w:tcBorders>
              <w:bottom w:val="single" w:sz="8" w:color="808080"/>
            </w:tcBorders>
            <w:shd w:val="clear" w:color="auto" w:fill="808080"/>
          </w:tcPr>
          <w:p>
            <w:pPr>
              <w:spacing w:after="0"/>
              <w:rPr>
                <w:sz w:val="12"/>
                <w:szCs w:val="12"/>
                <w:color w:val="auto"/>
              </w:rPr>
            </w:pPr>
          </w:p>
        </w:tc>
        <w:tc>
          <w:tcPr>
            <w:tcW w:w="240" w:type="dxa"/>
            <w:vAlign w:val="bottom"/>
            <w:tcBorders>
              <w:bottom w:val="single" w:sz="8" w:color="808080"/>
            </w:tcBorders>
            <w:shd w:val="clear" w:color="auto" w:fill="808080"/>
          </w:tcPr>
          <w:p>
            <w:pPr>
              <w:spacing w:after="0"/>
              <w:rPr>
                <w:sz w:val="12"/>
                <w:szCs w:val="12"/>
                <w:color w:val="auto"/>
              </w:rPr>
            </w:pPr>
          </w:p>
        </w:tc>
        <w:tc>
          <w:tcPr>
            <w:tcW w:w="1040" w:type="dxa"/>
            <w:vAlign w:val="bottom"/>
            <w:tcBorders>
              <w:bottom w:val="single" w:sz="8" w:color="808080"/>
            </w:tcBorders>
            <w:gridSpan w:val="2"/>
            <w:shd w:val="clear" w:color="auto" w:fill="808080"/>
          </w:tcPr>
          <w:p>
            <w:pPr>
              <w:jc w:val="center"/>
              <w:ind w:right="416"/>
              <w:spacing w:after="0"/>
              <w:rPr>
                <w:sz w:val="20"/>
                <w:szCs w:val="20"/>
                <w:color w:val="auto"/>
              </w:rPr>
            </w:pPr>
            <w:r>
              <w:rPr>
                <w:rFonts w:ascii="Arial" w:cs="Arial" w:eastAsia="Arial" w:hAnsi="Arial"/>
                <w:sz w:val="7"/>
                <w:szCs w:val="7"/>
                <w:color w:val="auto"/>
                <w:highlight w:val="white"/>
                <w:w w:val="91"/>
              </w:rPr>
              <w:t>$36M</w:t>
            </w:r>
          </w:p>
        </w:tc>
        <w:tc>
          <w:tcPr>
            <w:tcW w:w="64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7"/>
                <w:szCs w:val="7"/>
                <w:color w:val="auto"/>
                <w:highlight w:val="white"/>
              </w:rPr>
              <w:t>93%</w:t>
            </w:r>
          </w:p>
        </w:tc>
        <w:tc>
          <w:tcPr>
            <w:tcW w:w="980" w:type="dxa"/>
            <w:vAlign w:val="bottom"/>
            <w:tcBorders>
              <w:bottom w:val="single" w:sz="8" w:color="808080"/>
            </w:tcBorders>
            <w:gridSpan w:val="2"/>
            <w:shd w:val="clear" w:color="auto" w:fill="808080"/>
          </w:tcPr>
          <w:p>
            <w:pPr>
              <w:jc w:val="center"/>
              <w:ind w:left="525"/>
              <w:spacing w:after="0"/>
              <w:rPr>
                <w:sz w:val="20"/>
                <w:szCs w:val="20"/>
                <w:color w:val="auto"/>
              </w:rPr>
            </w:pPr>
            <w:r>
              <w:rPr>
                <w:rFonts w:ascii="Arial" w:cs="Arial" w:eastAsia="Arial" w:hAnsi="Arial"/>
                <w:sz w:val="7"/>
                <w:szCs w:val="7"/>
                <w:color w:val="auto"/>
                <w:highlight w:val="white"/>
              </w:rPr>
              <w:t>7% +/-</w:t>
            </w:r>
          </w:p>
        </w:tc>
        <w:tc>
          <w:tcPr>
            <w:tcW w:w="60" w:type="dxa"/>
            <w:vAlign w:val="bottom"/>
            <w:tcBorders>
              <w:bottom w:val="single" w:sz="8" w:color="808080"/>
            </w:tcBorders>
            <w:shd w:val="clear" w:color="auto" w:fill="808080"/>
          </w:tcPr>
          <w:p>
            <w:pPr>
              <w:spacing w:after="0"/>
              <w:rPr>
                <w:sz w:val="12"/>
                <w:szCs w:val="12"/>
                <w:color w:val="auto"/>
              </w:rPr>
            </w:pPr>
          </w:p>
        </w:tc>
        <w:tc>
          <w:tcPr>
            <w:tcW w:w="340" w:type="dxa"/>
            <w:vAlign w:val="bottom"/>
            <w:tcBorders>
              <w:bottom w:val="single" w:sz="8" w:color="808080"/>
            </w:tcBorders>
            <w:shd w:val="clear" w:color="auto" w:fill="808080"/>
          </w:tcPr>
          <w:p>
            <w:pPr>
              <w:spacing w:after="0"/>
              <w:rPr>
                <w:sz w:val="12"/>
                <w:szCs w:val="12"/>
                <w:color w:val="auto"/>
              </w:rPr>
            </w:pPr>
          </w:p>
        </w:tc>
      </w:tr>
      <w:tr>
        <w:trPr>
          <w:trHeight w:val="134"/>
        </w:trPr>
        <w:tc>
          <w:tcPr>
            <w:tcW w:w="2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7"/>
                <w:szCs w:val="7"/>
                <w:color w:val="auto"/>
              </w:rPr>
              <w:t xml:space="preserve">Oakley Shops at Laurel Fields </w:t>
            </w:r>
            <w:r>
              <w:rPr>
                <w:rFonts w:ascii="Arial" w:cs="Arial" w:eastAsia="Arial" w:hAnsi="Arial"/>
                <w:sz w:val="9"/>
                <w:szCs w:val="9"/>
                <w:color w:val="auto"/>
                <w:vertAlign w:val="superscript"/>
              </w:rPr>
              <w:t>(2)</w:t>
            </w:r>
          </w:p>
        </w:tc>
        <w:tc>
          <w:tcPr>
            <w:tcW w:w="4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7"/>
                <w:szCs w:val="7"/>
                <w:color w:val="auto"/>
              </w:rPr>
              <w:t>Bay Area, CA</w:t>
            </w:r>
          </w:p>
        </w:tc>
        <w:tc>
          <w:tcPr>
            <w:tcW w:w="6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7"/>
                <w:szCs w:val="7"/>
                <w:color w:val="auto"/>
              </w:rPr>
              <w:t>Q3-2024</w:t>
            </w:r>
          </w:p>
        </w:tc>
        <w:tc>
          <w:tcPr>
            <w:tcW w:w="50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tcBorders>
            <w:gridSpan w:val="3"/>
          </w:tcPr>
          <w:p>
            <w:pPr>
              <w:ind w:left="400"/>
              <w:spacing w:after="0"/>
              <w:rPr>
                <w:sz w:val="20"/>
                <w:szCs w:val="20"/>
                <w:color w:val="auto"/>
              </w:rPr>
            </w:pPr>
            <w:r>
              <w:rPr>
                <w:rFonts w:ascii="Arial" w:cs="Arial" w:eastAsia="Arial" w:hAnsi="Arial"/>
                <w:sz w:val="7"/>
                <w:szCs w:val="7"/>
                <w:color w:val="auto"/>
              </w:rPr>
              <w:t>2H-2025</w:t>
            </w:r>
          </w:p>
        </w:tc>
        <w:tc>
          <w:tcPr>
            <w:tcW w:w="66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7"/>
                <w:szCs w:val="7"/>
                <w:color w:val="auto"/>
              </w:rPr>
              <w:t>2026</w:t>
            </w:r>
          </w:p>
        </w:tc>
        <w:tc>
          <w:tcPr>
            <w:tcW w:w="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tcPr>
          <w:p>
            <w:pPr>
              <w:jc w:val="center"/>
              <w:ind w:right="416"/>
              <w:spacing w:after="0"/>
              <w:rPr>
                <w:sz w:val="20"/>
                <w:szCs w:val="20"/>
                <w:color w:val="auto"/>
              </w:rPr>
            </w:pPr>
            <w:r>
              <w:rPr>
                <w:rFonts w:ascii="Arial" w:cs="Arial" w:eastAsia="Arial" w:hAnsi="Arial"/>
                <w:sz w:val="7"/>
                <w:szCs w:val="7"/>
                <w:color w:val="auto"/>
                <w:w w:val="91"/>
              </w:rPr>
              <w:t>$36M</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7"/>
                <w:szCs w:val="7"/>
                <w:color w:val="auto"/>
              </w:rPr>
              <w:t>93%</w:t>
            </w:r>
          </w:p>
        </w:tc>
        <w:tc>
          <w:tcPr>
            <w:tcW w:w="980" w:type="dxa"/>
            <w:vAlign w:val="bottom"/>
            <w:tcBorders>
              <w:top w:val="single" w:sz="8" w:color="auto"/>
              <w:bottom w:val="single" w:sz="8" w:color="auto"/>
            </w:tcBorders>
            <w:gridSpan w:val="2"/>
          </w:tcPr>
          <w:p>
            <w:pPr>
              <w:jc w:val="center"/>
              <w:ind w:left="525"/>
              <w:spacing w:after="0"/>
              <w:rPr>
                <w:sz w:val="20"/>
                <w:szCs w:val="20"/>
                <w:color w:val="auto"/>
              </w:rPr>
            </w:pPr>
            <w:r>
              <w:rPr>
                <w:rFonts w:ascii="Arial" w:cs="Arial" w:eastAsia="Arial" w:hAnsi="Arial"/>
                <w:sz w:val="7"/>
                <w:szCs w:val="7"/>
                <w:color w:val="auto"/>
              </w:rPr>
              <w:t>7% +/-</w:t>
            </w:r>
          </w:p>
        </w:tc>
        <w:tc>
          <w:tcPr>
            <w:tcW w:w="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r>
      <w:tr>
        <w:trPr>
          <w:trHeight w:val="139"/>
        </w:trPr>
        <w:tc>
          <w:tcPr>
            <w:tcW w:w="2460" w:type="dxa"/>
            <w:vAlign w:val="bottom"/>
            <w:tcBorders>
              <w:bottom w:val="single" w:sz="8" w:color="808080"/>
            </w:tcBorders>
            <w:gridSpan w:val="2"/>
            <w:shd w:val="clear" w:color="auto" w:fill="808080"/>
          </w:tcPr>
          <w:p>
            <w:pPr>
              <w:spacing w:after="0"/>
              <w:rPr>
                <w:sz w:val="20"/>
                <w:szCs w:val="20"/>
                <w:color w:val="auto"/>
              </w:rPr>
            </w:pPr>
            <w:r>
              <w:rPr>
                <w:rFonts w:ascii="Arial" w:cs="Arial" w:eastAsia="Arial" w:hAnsi="Arial"/>
                <w:sz w:val="7"/>
                <w:szCs w:val="7"/>
                <w:color w:val="auto"/>
                <w:highlight w:val="white"/>
              </w:rPr>
              <w:t>Redevelopments</w:t>
            </w:r>
          </w:p>
        </w:tc>
        <w:tc>
          <w:tcPr>
            <w:tcW w:w="440" w:type="dxa"/>
            <w:vAlign w:val="bottom"/>
            <w:tcBorders>
              <w:bottom w:val="single" w:sz="8" w:color="808080"/>
            </w:tcBorders>
            <w:shd w:val="clear" w:color="auto" w:fill="808080"/>
          </w:tcPr>
          <w:p>
            <w:pPr>
              <w:spacing w:after="0"/>
              <w:rPr>
                <w:sz w:val="11"/>
                <w:szCs w:val="11"/>
                <w:color w:val="auto"/>
              </w:rPr>
            </w:pPr>
          </w:p>
        </w:tc>
        <w:tc>
          <w:tcPr>
            <w:tcW w:w="220" w:type="dxa"/>
            <w:vAlign w:val="bottom"/>
            <w:tcBorders>
              <w:bottom w:val="single" w:sz="8" w:color="808080"/>
            </w:tcBorders>
            <w:shd w:val="clear" w:color="auto" w:fill="808080"/>
          </w:tcPr>
          <w:p>
            <w:pPr>
              <w:spacing w:after="0"/>
              <w:rPr>
                <w:sz w:val="11"/>
                <w:szCs w:val="11"/>
                <w:color w:val="auto"/>
              </w:rPr>
            </w:pPr>
          </w:p>
        </w:tc>
        <w:tc>
          <w:tcPr>
            <w:tcW w:w="860" w:type="dxa"/>
            <w:vAlign w:val="bottom"/>
            <w:tcBorders>
              <w:bottom w:val="single" w:sz="8" w:color="808080"/>
            </w:tcBorders>
            <w:shd w:val="clear" w:color="auto" w:fill="808080"/>
          </w:tcPr>
          <w:p>
            <w:pPr>
              <w:spacing w:after="0"/>
              <w:rPr>
                <w:sz w:val="11"/>
                <w:szCs w:val="11"/>
                <w:color w:val="auto"/>
              </w:rPr>
            </w:pPr>
          </w:p>
        </w:tc>
        <w:tc>
          <w:tcPr>
            <w:tcW w:w="660" w:type="dxa"/>
            <w:vAlign w:val="bottom"/>
            <w:tcBorders>
              <w:bottom w:val="single" w:sz="8" w:color="808080"/>
            </w:tcBorders>
            <w:shd w:val="clear" w:color="auto" w:fill="808080"/>
          </w:tcPr>
          <w:p>
            <w:pPr>
              <w:spacing w:after="0"/>
              <w:rPr>
                <w:sz w:val="11"/>
                <w:szCs w:val="11"/>
                <w:color w:val="auto"/>
              </w:rPr>
            </w:pPr>
          </w:p>
        </w:tc>
        <w:tc>
          <w:tcPr>
            <w:tcW w:w="400" w:type="dxa"/>
            <w:vAlign w:val="bottom"/>
            <w:tcBorders>
              <w:bottom w:val="single" w:sz="8" w:color="808080"/>
            </w:tcBorders>
            <w:shd w:val="clear" w:color="auto" w:fill="808080"/>
          </w:tcPr>
          <w:p>
            <w:pPr>
              <w:spacing w:after="0"/>
              <w:rPr>
                <w:sz w:val="11"/>
                <w:szCs w:val="11"/>
                <w:color w:val="auto"/>
              </w:rPr>
            </w:pPr>
          </w:p>
        </w:tc>
        <w:tc>
          <w:tcPr>
            <w:tcW w:w="500" w:type="dxa"/>
            <w:vAlign w:val="bottom"/>
            <w:tcBorders>
              <w:bottom w:val="single" w:sz="8" w:color="808080"/>
            </w:tcBorders>
            <w:shd w:val="clear" w:color="auto" w:fill="808080"/>
          </w:tcPr>
          <w:p>
            <w:pPr>
              <w:spacing w:after="0"/>
              <w:rPr>
                <w:sz w:val="11"/>
                <w:szCs w:val="11"/>
                <w:color w:val="auto"/>
              </w:rPr>
            </w:pPr>
          </w:p>
        </w:tc>
        <w:tc>
          <w:tcPr>
            <w:tcW w:w="1000" w:type="dxa"/>
            <w:vAlign w:val="bottom"/>
            <w:tcBorders>
              <w:bottom w:val="single" w:sz="8" w:color="808080"/>
            </w:tcBorders>
            <w:shd w:val="clear" w:color="auto" w:fill="808080"/>
          </w:tcPr>
          <w:p>
            <w:pPr>
              <w:spacing w:after="0"/>
              <w:rPr>
                <w:sz w:val="11"/>
                <w:szCs w:val="11"/>
                <w:color w:val="auto"/>
              </w:rPr>
            </w:pPr>
          </w:p>
        </w:tc>
        <w:tc>
          <w:tcPr>
            <w:tcW w:w="60" w:type="dxa"/>
            <w:vAlign w:val="bottom"/>
            <w:tcBorders>
              <w:bottom w:val="single" w:sz="8" w:color="808080"/>
            </w:tcBorders>
            <w:shd w:val="clear" w:color="auto" w:fill="808080"/>
          </w:tcPr>
          <w:p>
            <w:pPr>
              <w:spacing w:after="0"/>
              <w:rPr>
                <w:sz w:val="11"/>
                <w:szCs w:val="11"/>
                <w:color w:val="auto"/>
              </w:rPr>
            </w:pPr>
          </w:p>
        </w:tc>
        <w:tc>
          <w:tcPr>
            <w:tcW w:w="420" w:type="dxa"/>
            <w:vAlign w:val="bottom"/>
            <w:tcBorders>
              <w:bottom w:val="single" w:sz="8" w:color="808080"/>
            </w:tcBorders>
            <w:shd w:val="clear" w:color="auto" w:fill="808080"/>
          </w:tcPr>
          <w:p>
            <w:pPr>
              <w:spacing w:after="0"/>
              <w:rPr>
                <w:sz w:val="11"/>
                <w:szCs w:val="11"/>
                <w:color w:val="auto"/>
              </w:rPr>
            </w:pPr>
          </w:p>
        </w:tc>
        <w:tc>
          <w:tcPr>
            <w:tcW w:w="660" w:type="dxa"/>
            <w:vAlign w:val="bottom"/>
            <w:tcBorders>
              <w:bottom w:val="single" w:sz="8" w:color="808080"/>
            </w:tcBorders>
            <w:shd w:val="clear" w:color="auto" w:fill="808080"/>
          </w:tcPr>
          <w:p>
            <w:pPr>
              <w:spacing w:after="0"/>
              <w:rPr>
                <w:sz w:val="11"/>
                <w:szCs w:val="11"/>
                <w:color w:val="auto"/>
              </w:rPr>
            </w:pPr>
          </w:p>
        </w:tc>
        <w:tc>
          <w:tcPr>
            <w:tcW w:w="60" w:type="dxa"/>
            <w:vAlign w:val="bottom"/>
            <w:tcBorders>
              <w:bottom w:val="single" w:sz="8" w:color="808080"/>
            </w:tcBorders>
            <w:shd w:val="clear" w:color="auto" w:fill="808080"/>
          </w:tcPr>
          <w:p>
            <w:pPr>
              <w:spacing w:after="0"/>
              <w:rPr>
                <w:sz w:val="11"/>
                <w:szCs w:val="11"/>
                <w:color w:val="auto"/>
              </w:rPr>
            </w:pPr>
          </w:p>
        </w:tc>
        <w:tc>
          <w:tcPr>
            <w:tcW w:w="260" w:type="dxa"/>
            <w:vAlign w:val="bottom"/>
            <w:tcBorders>
              <w:bottom w:val="single" w:sz="8" w:color="808080"/>
            </w:tcBorders>
            <w:shd w:val="clear" w:color="auto" w:fill="808080"/>
          </w:tcPr>
          <w:p>
            <w:pPr>
              <w:spacing w:after="0"/>
              <w:rPr>
                <w:sz w:val="11"/>
                <w:szCs w:val="11"/>
                <w:color w:val="auto"/>
              </w:rPr>
            </w:pPr>
          </w:p>
        </w:tc>
        <w:tc>
          <w:tcPr>
            <w:tcW w:w="240" w:type="dxa"/>
            <w:vAlign w:val="bottom"/>
            <w:tcBorders>
              <w:bottom w:val="single" w:sz="8" w:color="808080"/>
            </w:tcBorders>
            <w:shd w:val="clear" w:color="auto" w:fill="808080"/>
          </w:tcPr>
          <w:p>
            <w:pPr>
              <w:spacing w:after="0"/>
              <w:rPr>
                <w:sz w:val="11"/>
                <w:szCs w:val="11"/>
                <w:color w:val="auto"/>
              </w:rPr>
            </w:pPr>
          </w:p>
        </w:tc>
        <w:tc>
          <w:tcPr>
            <w:tcW w:w="1040" w:type="dxa"/>
            <w:vAlign w:val="bottom"/>
            <w:tcBorders>
              <w:bottom w:val="single" w:sz="8" w:color="808080"/>
            </w:tcBorders>
            <w:gridSpan w:val="2"/>
            <w:shd w:val="clear" w:color="auto" w:fill="808080"/>
          </w:tcPr>
          <w:p>
            <w:pPr>
              <w:jc w:val="center"/>
              <w:ind w:right="416"/>
              <w:spacing w:after="0"/>
              <w:rPr>
                <w:sz w:val="20"/>
                <w:szCs w:val="20"/>
                <w:color w:val="auto"/>
              </w:rPr>
            </w:pPr>
            <w:r>
              <w:rPr>
                <w:rFonts w:ascii="Arial" w:cs="Arial" w:eastAsia="Arial" w:hAnsi="Arial"/>
                <w:sz w:val="7"/>
                <w:szCs w:val="7"/>
                <w:color w:val="auto"/>
                <w:highlight w:val="white"/>
                <w:w w:val="87"/>
              </w:rPr>
              <w:t>$6M</w:t>
            </w:r>
          </w:p>
        </w:tc>
        <w:tc>
          <w:tcPr>
            <w:tcW w:w="64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7"/>
                <w:szCs w:val="7"/>
                <w:color w:val="auto"/>
                <w:highlight w:val="white"/>
              </w:rPr>
              <w:t>96%</w:t>
            </w:r>
          </w:p>
        </w:tc>
        <w:tc>
          <w:tcPr>
            <w:tcW w:w="980" w:type="dxa"/>
            <w:vAlign w:val="bottom"/>
            <w:tcBorders>
              <w:bottom w:val="single" w:sz="8" w:color="808080"/>
            </w:tcBorders>
            <w:gridSpan w:val="2"/>
            <w:shd w:val="clear" w:color="auto" w:fill="808080"/>
          </w:tcPr>
          <w:p>
            <w:pPr>
              <w:jc w:val="center"/>
              <w:ind w:left="525"/>
              <w:spacing w:after="0"/>
              <w:rPr>
                <w:sz w:val="20"/>
                <w:szCs w:val="20"/>
                <w:color w:val="auto"/>
              </w:rPr>
            </w:pPr>
            <w:r>
              <w:rPr>
                <w:rFonts w:ascii="Arial" w:cs="Arial" w:eastAsia="Arial" w:hAnsi="Arial"/>
                <w:sz w:val="7"/>
                <w:szCs w:val="7"/>
                <w:color w:val="auto"/>
                <w:highlight w:val="white"/>
              </w:rPr>
              <w:t>13% +/-</w:t>
            </w:r>
          </w:p>
        </w:tc>
        <w:tc>
          <w:tcPr>
            <w:tcW w:w="60" w:type="dxa"/>
            <w:vAlign w:val="bottom"/>
            <w:tcBorders>
              <w:bottom w:val="single" w:sz="8" w:color="808080"/>
            </w:tcBorders>
            <w:shd w:val="clear" w:color="auto" w:fill="808080"/>
          </w:tcPr>
          <w:p>
            <w:pPr>
              <w:spacing w:after="0"/>
              <w:rPr>
                <w:sz w:val="11"/>
                <w:szCs w:val="11"/>
                <w:color w:val="auto"/>
              </w:rPr>
            </w:pPr>
          </w:p>
        </w:tc>
        <w:tc>
          <w:tcPr>
            <w:tcW w:w="340" w:type="dxa"/>
            <w:vAlign w:val="bottom"/>
            <w:tcBorders>
              <w:bottom w:val="single" w:sz="8" w:color="808080"/>
            </w:tcBorders>
            <w:shd w:val="clear" w:color="auto" w:fill="808080"/>
          </w:tcPr>
          <w:p>
            <w:pPr>
              <w:spacing w:after="0"/>
              <w:rPr>
                <w:sz w:val="11"/>
                <w:szCs w:val="11"/>
                <w:color w:val="auto"/>
              </w:rPr>
            </w:pPr>
          </w:p>
        </w:tc>
      </w:tr>
      <w:tr>
        <w:trPr>
          <w:trHeight w:val="133"/>
        </w:trPr>
        <w:tc>
          <w:tcPr>
            <w:tcW w:w="2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7"/>
                <w:szCs w:val="7"/>
                <w:color w:val="auto"/>
              </w:rPr>
              <w:t>Redevelopment Completions (est costs &lt; $10 million individually)</w:t>
            </w:r>
          </w:p>
        </w:tc>
        <w:tc>
          <w:tcPr>
            <w:tcW w:w="4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2"/>
          </w:tcPr>
          <w:p>
            <w:pPr>
              <w:jc w:val="right"/>
              <w:ind w:right="145"/>
              <w:spacing w:after="0" w:line="132" w:lineRule="exact"/>
              <w:rPr>
                <w:sz w:val="20"/>
                <w:szCs w:val="20"/>
                <w:color w:val="auto"/>
              </w:rPr>
            </w:pPr>
            <w:r>
              <w:rPr>
                <w:rFonts w:ascii="Arial" w:cs="Arial" w:eastAsia="Arial" w:hAnsi="Arial"/>
                <w:sz w:val="12"/>
                <w:szCs w:val="12"/>
                <w:color w:val="D9D9D9"/>
              </w:rPr>
              <w:t>-</w:t>
            </w:r>
          </w:p>
        </w:tc>
        <w:tc>
          <w:tcPr>
            <w:tcW w:w="5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gridSpan w:val="2"/>
          </w:tcPr>
          <w:p>
            <w:pPr>
              <w:jc w:val="center"/>
              <w:ind w:right="416"/>
              <w:spacing w:after="0"/>
              <w:rPr>
                <w:sz w:val="20"/>
                <w:szCs w:val="20"/>
                <w:color w:val="auto"/>
              </w:rPr>
            </w:pPr>
            <w:r>
              <w:rPr>
                <w:rFonts w:ascii="Arial" w:cs="Arial" w:eastAsia="Arial" w:hAnsi="Arial"/>
                <w:sz w:val="7"/>
                <w:szCs w:val="7"/>
                <w:color w:val="auto"/>
                <w:w w:val="87"/>
              </w:rPr>
              <w:t>$6M</w:t>
            </w: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7"/>
                <w:szCs w:val="7"/>
                <w:color w:val="auto"/>
              </w:rPr>
              <w:t>96%</w:t>
            </w:r>
          </w:p>
        </w:tc>
        <w:tc>
          <w:tcPr>
            <w:tcW w:w="980" w:type="dxa"/>
            <w:vAlign w:val="bottom"/>
            <w:tcBorders>
              <w:top w:val="single" w:sz="8" w:color="auto"/>
              <w:bottom w:val="single" w:sz="8" w:color="auto"/>
            </w:tcBorders>
            <w:gridSpan w:val="2"/>
          </w:tcPr>
          <w:p>
            <w:pPr>
              <w:jc w:val="center"/>
              <w:ind w:left="525"/>
              <w:spacing w:after="0"/>
              <w:rPr>
                <w:sz w:val="20"/>
                <w:szCs w:val="20"/>
                <w:color w:val="auto"/>
              </w:rPr>
            </w:pPr>
            <w:r>
              <w:rPr>
                <w:rFonts w:ascii="Arial" w:cs="Arial" w:eastAsia="Arial" w:hAnsi="Arial"/>
                <w:sz w:val="7"/>
                <w:szCs w:val="7"/>
                <w:color w:val="auto"/>
              </w:rPr>
              <w:t>13% +/-</w:t>
            </w:r>
          </w:p>
        </w:tc>
        <w:tc>
          <w:tcPr>
            <w:tcW w:w="6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r>
      <w:tr>
        <w:trPr>
          <w:trHeight w:val="105"/>
        </w:trPr>
        <w:tc>
          <w:tcPr>
            <w:tcW w:w="2460" w:type="dxa"/>
            <w:vAlign w:val="bottom"/>
            <w:gridSpan w:val="2"/>
            <w:shd w:val="clear" w:color="auto" w:fill="181717"/>
          </w:tcPr>
          <w:p>
            <w:pPr>
              <w:spacing w:after="0"/>
              <w:rPr>
                <w:sz w:val="20"/>
                <w:szCs w:val="20"/>
                <w:color w:val="auto"/>
              </w:rPr>
            </w:pPr>
            <w:r>
              <w:rPr>
                <w:rFonts w:ascii="Arial" w:cs="Arial" w:eastAsia="Arial" w:hAnsi="Arial"/>
                <w:sz w:val="7"/>
                <w:szCs w:val="7"/>
                <w:color w:val="auto"/>
                <w:highlight w:val="white"/>
              </w:rPr>
              <w:t>Total Completions</w:t>
            </w:r>
          </w:p>
        </w:tc>
        <w:tc>
          <w:tcPr>
            <w:tcW w:w="440" w:type="dxa"/>
            <w:vAlign w:val="bottom"/>
            <w:shd w:val="clear" w:color="auto" w:fill="181717"/>
          </w:tcPr>
          <w:p>
            <w:pPr>
              <w:spacing w:after="0"/>
              <w:rPr>
                <w:sz w:val="9"/>
                <w:szCs w:val="9"/>
                <w:color w:val="auto"/>
              </w:rPr>
            </w:pPr>
          </w:p>
        </w:tc>
        <w:tc>
          <w:tcPr>
            <w:tcW w:w="220" w:type="dxa"/>
            <w:vAlign w:val="bottom"/>
            <w:shd w:val="clear" w:color="auto" w:fill="181717"/>
          </w:tcPr>
          <w:p>
            <w:pPr>
              <w:spacing w:after="0"/>
              <w:rPr>
                <w:sz w:val="9"/>
                <w:szCs w:val="9"/>
                <w:color w:val="auto"/>
              </w:rPr>
            </w:pPr>
          </w:p>
        </w:tc>
        <w:tc>
          <w:tcPr>
            <w:tcW w:w="860" w:type="dxa"/>
            <w:vAlign w:val="bottom"/>
            <w:shd w:val="clear" w:color="auto" w:fill="181717"/>
          </w:tcPr>
          <w:p>
            <w:pPr>
              <w:spacing w:after="0"/>
              <w:rPr>
                <w:sz w:val="9"/>
                <w:szCs w:val="9"/>
                <w:color w:val="auto"/>
              </w:rPr>
            </w:pPr>
          </w:p>
        </w:tc>
        <w:tc>
          <w:tcPr>
            <w:tcW w:w="660" w:type="dxa"/>
            <w:vAlign w:val="bottom"/>
            <w:shd w:val="clear" w:color="auto" w:fill="181717"/>
          </w:tcPr>
          <w:p>
            <w:pPr>
              <w:spacing w:after="0"/>
              <w:rPr>
                <w:sz w:val="9"/>
                <w:szCs w:val="9"/>
                <w:color w:val="auto"/>
              </w:rPr>
            </w:pPr>
          </w:p>
        </w:tc>
        <w:tc>
          <w:tcPr>
            <w:tcW w:w="400" w:type="dxa"/>
            <w:vAlign w:val="bottom"/>
            <w:shd w:val="clear" w:color="auto" w:fill="181717"/>
          </w:tcPr>
          <w:p>
            <w:pPr>
              <w:spacing w:after="0"/>
              <w:rPr>
                <w:sz w:val="9"/>
                <w:szCs w:val="9"/>
                <w:color w:val="auto"/>
              </w:rPr>
            </w:pPr>
          </w:p>
        </w:tc>
        <w:tc>
          <w:tcPr>
            <w:tcW w:w="500" w:type="dxa"/>
            <w:vAlign w:val="bottom"/>
            <w:shd w:val="clear" w:color="auto" w:fill="181717"/>
          </w:tcPr>
          <w:p>
            <w:pPr>
              <w:spacing w:after="0"/>
              <w:rPr>
                <w:sz w:val="9"/>
                <w:szCs w:val="9"/>
                <w:color w:val="auto"/>
              </w:rPr>
            </w:pPr>
          </w:p>
        </w:tc>
        <w:tc>
          <w:tcPr>
            <w:tcW w:w="1000" w:type="dxa"/>
            <w:vAlign w:val="bottom"/>
            <w:shd w:val="clear" w:color="auto" w:fill="181717"/>
          </w:tcPr>
          <w:p>
            <w:pPr>
              <w:spacing w:after="0"/>
              <w:rPr>
                <w:sz w:val="9"/>
                <w:szCs w:val="9"/>
                <w:color w:val="auto"/>
              </w:rPr>
            </w:pPr>
          </w:p>
        </w:tc>
        <w:tc>
          <w:tcPr>
            <w:tcW w:w="60" w:type="dxa"/>
            <w:vAlign w:val="bottom"/>
            <w:shd w:val="clear" w:color="auto" w:fill="181717"/>
          </w:tcPr>
          <w:p>
            <w:pPr>
              <w:spacing w:after="0"/>
              <w:rPr>
                <w:sz w:val="9"/>
                <w:szCs w:val="9"/>
                <w:color w:val="auto"/>
              </w:rPr>
            </w:pPr>
          </w:p>
        </w:tc>
        <w:tc>
          <w:tcPr>
            <w:tcW w:w="420" w:type="dxa"/>
            <w:vAlign w:val="bottom"/>
            <w:shd w:val="clear" w:color="auto" w:fill="181717"/>
          </w:tcPr>
          <w:p>
            <w:pPr>
              <w:spacing w:after="0"/>
              <w:rPr>
                <w:sz w:val="9"/>
                <w:szCs w:val="9"/>
                <w:color w:val="auto"/>
              </w:rPr>
            </w:pPr>
          </w:p>
        </w:tc>
        <w:tc>
          <w:tcPr>
            <w:tcW w:w="660" w:type="dxa"/>
            <w:vAlign w:val="bottom"/>
            <w:shd w:val="clear" w:color="auto" w:fill="181717"/>
          </w:tcPr>
          <w:p>
            <w:pPr>
              <w:spacing w:after="0"/>
              <w:rPr>
                <w:sz w:val="9"/>
                <w:szCs w:val="9"/>
                <w:color w:val="auto"/>
              </w:rPr>
            </w:pPr>
          </w:p>
        </w:tc>
        <w:tc>
          <w:tcPr>
            <w:tcW w:w="60" w:type="dxa"/>
            <w:vAlign w:val="bottom"/>
            <w:shd w:val="clear" w:color="auto" w:fill="181717"/>
          </w:tcPr>
          <w:p>
            <w:pPr>
              <w:spacing w:after="0"/>
              <w:rPr>
                <w:sz w:val="9"/>
                <w:szCs w:val="9"/>
                <w:color w:val="auto"/>
              </w:rPr>
            </w:pPr>
          </w:p>
        </w:tc>
        <w:tc>
          <w:tcPr>
            <w:tcW w:w="260" w:type="dxa"/>
            <w:vAlign w:val="bottom"/>
            <w:shd w:val="clear" w:color="auto" w:fill="181717"/>
          </w:tcPr>
          <w:p>
            <w:pPr>
              <w:spacing w:after="0"/>
              <w:rPr>
                <w:sz w:val="9"/>
                <w:szCs w:val="9"/>
                <w:color w:val="auto"/>
              </w:rPr>
            </w:pPr>
          </w:p>
        </w:tc>
        <w:tc>
          <w:tcPr>
            <w:tcW w:w="240" w:type="dxa"/>
            <w:vAlign w:val="bottom"/>
            <w:shd w:val="clear" w:color="auto" w:fill="181717"/>
          </w:tcPr>
          <w:p>
            <w:pPr>
              <w:spacing w:after="0"/>
              <w:rPr>
                <w:sz w:val="9"/>
                <w:szCs w:val="9"/>
                <w:color w:val="auto"/>
              </w:rPr>
            </w:pPr>
          </w:p>
        </w:tc>
        <w:tc>
          <w:tcPr>
            <w:tcW w:w="1040" w:type="dxa"/>
            <w:vAlign w:val="bottom"/>
            <w:gridSpan w:val="2"/>
            <w:shd w:val="clear" w:color="auto" w:fill="181717"/>
          </w:tcPr>
          <w:p>
            <w:pPr>
              <w:jc w:val="center"/>
              <w:ind w:right="416"/>
              <w:spacing w:after="0"/>
              <w:rPr>
                <w:sz w:val="20"/>
                <w:szCs w:val="20"/>
                <w:color w:val="auto"/>
              </w:rPr>
            </w:pPr>
            <w:r>
              <w:rPr>
                <w:rFonts w:ascii="Arial" w:cs="Arial" w:eastAsia="Arial" w:hAnsi="Arial"/>
                <w:sz w:val="7"/>
                <w:szCs w:val="7"/>
                <w:color w:val="auto"/>
                <w:highlight w:val="white"/>
                <w:w w:val="91"/>
              </w:rPr>
              <w:t>$42M</w:t>
            </w:r>
          </w:p>
        </w:tc>
        <w:tc>
          <w:tcPr>
            <w:tcW w:w="640" w:type="dxa"/>
            <w:vAlign w:val="bottom"/>
            <w:shd w:val="clear" w:color="auto" w:fill="181717"/>
          </w:tcPr>
          <w:p>
            <w:pPr>
              <w:jc w:val="center"/>
              <w:spacing w:after="0"/>
              <w:rPr>
                <w:sz w:val="20"/>
                <w:szCs w:val="20"/>
                <w:color w:val="auto"/>
              </w:rPr>
            </w:pPr>
            <w:r>
              <w:rPr>
                <w:rFonts w:ascii="Arial" w:cs="Arial" w:eastAsia="Arial" w:hAnsi="Arial"/>
                <w:sz w:val="7"/>
                <w:szCs w:val="7"/>
                <w:color w:val="auto"/>
                <w:highlight w:val="white"/>
              </w:rPr>
              <w:t>93%</w:t>
            </w:r>
          </w:p>
        </w:tc>
        <w:tc>
          <w:tcPr>
            <w:tcW w:w="980" w:type="dxa"/>
            <w:vAlign w:val="bottom"/>
            <w:gridSpan w:val="2"/>
            <w:shd w:val="clear" w:color="auto" w:fill="181717"/>
          </w:tcPr>
          <w:p>
            <w:pPr>
              <w:jc w:val="center"/>
              <w:ind w:left="525"/>
              <w:spacing w:after="0"/>
              <w:rPr>
                <w:sz w:val="20"/>
                <w:szCs w:val="20"/>
                <w:color w:val="auto"/>
              </w:rPr>
            </w:pPr>
            <w:r>
              <w:rPr>
                <w:rFonts w:ascii="Arial" w:cs="Arial" w:eastAsia="Arial" w:hAnsi="Arial"/>
                <w:sz w:val="7"/>
                <w:szCs w:val="7"/>
                <w:color w:val="auto"/>
              </w:rPr>
              <w:t>8% +/-</w:t>
            </w:r>
          </w:p>
        </w:tc>
        <w:tc>
          <w:tcPr>
            <w:tcW w:w="60" w:type="dxa"/>
            <w:vAlign w:val="bottom"/>
            <w:shd w:val="clear" w:color="auto" w:fill="181717"/>
          </w:tcPr>
          <w:p>
            <w:pPr>
              <w:spacing w:after="0"/>
              <w:rPr>
                <w:sz w:val="9"/>
                <w:szCs w:val="9"/>
                <w:color w:val="auto"/>
              </w:rPr>
            </w:pPr>
          </w:p>
        </w:tc>
        <w:tc>
          <w:tcPr>
            <w:tcW w:w="340" w:type="dxa"/>
            <w:vAlign w:val="bottom"/>
            <w:shd w:val="clear" w:color="auto" w:fill="181717"/>
          </w:tcPr>
          <w:p>
            <w:pPr>
              <w:spacing w:after="0"/>
              <w:rPr>
                <w:sz w:val="9"/>
                <w:szCs w:val="9"/>
                <w:color w:val="auto"/>
              </w:rPr>
            </w:pPr>
          </w:p>
        </w:tc>
      </w:tr>
      <w:tr>
        <w:trPr>
          <w:trHeight w:val="39"/>
        </w:trPr>
        <w:tc>
          <w:tcPr>
            <w:tcW w:w="540" w:type="dxa"/>
            <w:vAlign w:val="bottom"/>
            <w:shd w:val="clear" w:color="auto" w:fill="181717"/>
          </w:tcPr>
          <w:p>
            <w:pPr>
              <w:spacing w:after="0"/>
              <w:rPr>
                <w:sz w:val="3"/>
                <w:szCs w:val="3"/>
                <w:color w:val="auto"/>
              </w:rPr>
            </w:pPr>
          </w:p>
        </w:tc>
        <w:tc>
          <w:tcPr>
            <w:tcW w:w="1920" w:type="dxa"/>
            <w:vAlign w:val="bottom"/>
            <w:shd w:val="clear" w:color="auto" w:fill="181717"/>
          </w:tcPr>
          <w:p>
            <w:pPr>
              <w:spacing w:after="0"/>
              <w:rPr>
                <w:sz w:val="3"/>
                <w:szCs w:val="3"/>
                <w:color w:val="auto"/>
              </w:rPr>
            </w:pPr>
          </w:p>
        </w:tc>
        <w:tc>
          <w:tcPr>
            <w:tcW w:w="440" w:type="dxa"/>
            <w:vAlign w:val="bottom"/>
            <w:shd w:val="clear" w:color="auto" w:fill="181717"/>
          </w:tcPr>
          <w:p>
            <w:pPr>
              <w:spacing w:after="0"/>
              <w:rPr>
                <w:sz w:val="3"/>
                <w:szCs w:val="3"/>
                <w:color w:val="auto"/>
              </w:rPr>
            </w:pPr>
          </w:p>
        </w:tc>
        <w:tc>
          <w:tcPr>
            <w:tcW w:w="220" w:type="dxa"/>
            <w:vAlign w:val="bottom"/>
            <w:shd w:val="clear" w:color="auto" w:fill="181717"/>
          </w:tcPr>
          <w:p>
            <w:pPr>
              <w:spacing w:after="0"/>
              <w:rPr>
                <w:sz w:val="3"/>
                <w:szCs w:val="3"/>
                <w:color w:val="auto"/>
              </w:rPr>
            </w:pPr>
          </w:p>
        </w:tc>
        <w:tc>
          <w:tcPr>
            <w:tcW w:w="860" w:type="dxa"/>
            <w:vAlign w:val="bottom"/>
            <w:shd w:val="clear" w:color="auto" w:fill="181717"/>
          </w:tcPr>
          <w:p>
            <w:pPr>
              <w:spacing w:after="0"/>
              <w:rPr>
                <w:sz w:val="3"/>
                <w:szCs w:val="3"/>
                <w:color w:val="auto"/>
              </w:rPr>
            </w:pPr>
          </w:p>
        </w:tc>
        <w:tc>
          <w:tcPr>
            <w:tcW w:w="660" w:type="dxa"/>
            <w:vAlign w:val="bottom"/>
            <w:shd w:val="clear" w:color="auto" w:fill="181717"/>
          </w:tcPr>
          <w:p>
            <w:pPr>
              <w:spacing w:after="0"/>
              <w:rPr>
                <w:sz w:val="3"/>
                <w:szCs w:val="3"/>
                <w:color w:val="auto"/>
              </w:rPr>
            </w:pPr>
          </w:p>
        </w:tc>
        <w:tc>
          <w:tcPr>
            <w:tcW w:w="400" w:type="dxa"/>
            <w:vAlign w:val="bottom"/>
            <w:shd w:val="clear" w:color="auto" w:fill="181717"/>
          </w:tcPr>
          <w:p>
            <w:pPr>
              <w:spacing w:after="0"/>
              <w:rPr>
                <w:sz w:val="3"/>
                <w:szCs w:val="3"/>
                <w:color w:val="auto"/>
              </w:rPr>
            </w:pPr>
          </w:p>
        </w:tc>
        <w:tc>
          <w:tcPr>
            <w:tcW w:w="500" w:type="dxa"/>
            <w:vAlign w:val="bottom"/>
            <w:shd w:val="clear" w:color="auto" w:fill="181717"/>
          </w:tcPr>
          <w:p>
            <w:pPr>
              <w:spacing w:after="0"/>
              <w:rPr>
                <w:sz w:val="3"/>
                <w:szCs w:val="3"/>
                <w:color w:val="auto"/>
              </w:rPr>
            </w:pPr>
          </w:p>
        </w:tc>
        <w:tc>
          <w:tcPr>
            <w:tcW w:w="1000" w:type="dxa"/>
            <w:vAlign w:val="bottom"/>
            <w:shd w:val="clear" w:color="auto" w:fill="181717"/>
          </w:tcPr>
          <w:p>
            <w:pPr>
              <w:spacing w:after="0"/>
              <w:rPr>
                <w:sz w:val="3"/>
                <w:szCs w:val="3"/>
                <w:color w:val="auto"/>
              </w:rPr>
            </w:pPr>
          </w:p>
        </w:tc>
        <w:tc>
          <w:tcPr>
            <w:tcW w:w="60" w:type="dxa"/>
            <w:vAlign w:val="bottom"/>
            <w:shd w:val="clear" w:color="auto" w:fill="181717"/>
          </w:tcPr>
          <w:p>
            <w:pPr>
              <w:spacing w:after="0"/>
              <w:rPr>
                <w:sz w:val="3"/>
                <w:szCs w:val="3"/>
                <w:color w:val="auto"/>
              </w:rPr>
            </w:pPr>
          </w:p>
        </w:tc>
        <w:tc>
          <w:tcPr>
            <w:tcW w:w="420" w:type="dxa"/>
            <w:vAlign w:val="bottom"/>
            <w:shd w:val="clear" w:color="auto" w:fill="181717"/>
          </w:tcPr>
          <w:p>
            <w:pPr>
              <w:spacing w:after="0"/>
              <w:rPr>
                <w:sz w:val="3"/>
                <w:szCs w:val="3"/>
                <w:color w:val="auto"/>
              </w:rPr>
            </w:pPr>
          </w:p>
        </w:tc>
        <w:tc>
          <w:tcPr>
            <w:tcW w:w="660" w:type="dxa"/>
            <w:vAlign w:val="bottom"/>
            <w:shd w:val="clear" w:color="auto" w:fill="181717"/>
          </w:tcPr>
          <w:p>
            <w:pPr>
              <w:spacing w:after="0"/>
              <w:rPr>
                <w:sz w:val="3"/>
                <w:szCs w:val="3"/>
                <w:color w:val="auto"/>
              </w:rPr>
            </w:pPr>
          </w:p>
        </w:tc>
        <w:tc>
          <w:tcPr>
            <w:tcW w:w="60" w:type="dxa"/>
            <w:vAlign w:val="bottom"/>
            <w:shd w:val="clear" w:color="auto" w:fill="181717"/>
          </w:tcPr>
          <w:p>
            <w:pPr>
              <w:spacing w:after="0"/>
              <w:rPr>
                <w:sz w:val="3"/>
                <w:szCs w:val="3"/>
                <w:color w:val="auto"/>
              </w:rPr>
            </w:pPr>
          </w:p>
        </w:tc>
        <w:tc>
          <w:tcPr>
            <w:tcW w:w="260" w:type="dxa"/>
            <w:vAlign w:val="bottom"/>
            <w:shd w:val="clear" w:color="auto" w:fill="181717"/>
          </w:tcPr>
          <w:p>
            <w:pPr>
              <w:spacing w:after="0"/>
              <w:rPr>
                <w:sz w:val="3"/>
                <w:szCs w:val="3"/>
                <w:color w:val="auto"/>
              </w:rPr>
            </w:pPr>
          </w:p>
        </w:tc>
        <w:tc>
          <w:tcPr>
            <w:tcW w:w="240" w:type="dxa"/>
            <w:vAlign w:val="bottom"/>
            <w:shd w:val="clear" w:color="auto" w:fill="181717"/>
          </w:tcPr>
          <w:p>
            <w:pPr>
              <w:spacing w:after="0"/>
              <w:rPr>
                <w:sz w:val="3"/>
                <w:szCs w:val="3"/>
                <w:color w:val="auto"/>
              </w:rPr>
            </w:pPr>
          </w:p>
        </w:tc>
        <w:tc>
          <w:tcPr>
            <w:tcW w:w="540" w:type="dxa"/>
            <w:vAlign w:val="bottom"/>
            <w:shd w:val="clear" w:color="auto" w:fill="181717"/>
          </w:tcPr>
          <w:p>
            <w:pPr>
              <w:spacing w:after="0"/>
              <w:rPr>
                <w:sz w:val="3"/>
                <w:szCs w:val="3"/>
                <w:color w:val="auto"/>
              </w:rPr>
            </w:pPr>
          </w:p>
        </w:tc>
        <w:tc>
          <w:tcPr>
            <w:tcW w:w="500" w:type="dxa"/>
            <w:vAlign w:val="bottom"/>
            <w:shd w:val="clear" w:color="auto" w:fill="181717"/>
          </w:tcPr>
          <w:p>
            <w:pPr>
              <w:spacing w:after="0"/>
              <w:rPr>
                <w:sz w:val="3"/>
                <w:szCs w:val="3"/>
                <w:color w:val="auto"/>
              </w:rPr>
            </w:pPr>
          </w:p>
        </w:tc>
        <w:tc>
          <w:tcPr>
            <w:tcW w:w="640" w:type="dxa"/>
            <w:vAlign w:val="bottom"/>
            <w:shd w:val="clear" w:color="auto" w:fill="181717"/>
          </w:tcPr>
          <w:p>
            <w:pPr>
              <w:spacing w:after="0"/>
              <w:rPr>
                <w:sz w:val="3"/>
                <w:szCs w:val="3"/>
                <w:color w:val="auto"/>
              </w:rPr>
            </w:pPr>
          </w:p>
        </w:tc>
        <w:tc>
          <w:tcPr>
            <w:tcW w:w="500" w:type="dxa"/>
            <w:vAlign w:val="bottom"/>
            <w:shd w:val="clear" w:color="auto" w:fill="181717"/>
          </w:tcPr>
          <w:p>
            <w:pPr>
              <w:spacing w:after="0"/>
              <w:rPr>
                <w:sz w:val="3"/>
                <w:szCs w:val="3"/>
                <w:color w:val="auto"/>
              </w:rPr>
            </w:pPr>
          </w:p>
        </w:tc>
        <w:tc>
          <w:tcPr>
            <w:tcW w:w="480" w:type="dxa"/>
            <w:vAlign w:val="bottom"/>
            <w:shd w:val="clear" w:color="auto" w:fill="181717"/>
          </w:tcPr>
          <w:p>
            <w:pPr>
              <w:spacing w:after="0"/>
              <w:rPr>
                <w:sz w:val="3"/>
                <w:szCs w:val="3"/>
                <w:color w:val="auto"/>
              </w:rPr>
            </w:pPr>
          </w:p>
        </w:tc>
        <w:tc>
          <w:tcPr>
            <w:tcW w:w="60" w:type="dxa"/>
            <w:vAlign w:val="bottom"/>
            <w:shd w:val="clear" w:color="auto" w:fill="181717"/>
          </w:tcPr>
          <w:p>
            <w:pPr>
              <w:spacing w:after="0"/>
              <w:rPr>
                <w:sz w:val="3"/>
                <w:szCs w:val="3"/>
                <w:color w:val="auto"/>
              </w:rPr>
            </w:pPr>
          </w:p>
        </w:tc>
        <w:tc>
          <w:tcPr>
            <w:tcW w:w="340" w:type="dxa"/>
            <w:vAlign w:val="bottom"/>
            <w:shd w:val="clear" w:color="auto" w:fill="181717"/>
          </w:tcPr>
          <w:p>
            <w:pPr>
              <w:spacing w:after="0"/>
              <w:rPr>
                <w:sz w:val="3"/>
                <w:szCs w:val="3"/>
                <w:color w:val="auto"/>
              </w:rPr>
            </w:pPr>
          </w:p>
        </w:tc>
      </w:tr>
    </w:tbl>
    <w:p>
      <w:pPr>
        <w:spacing w:after="0" w:line="189"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11"/>
          <w:szCs w:val="11"/>
          <w:color w:val="auto"/>
          <w:vertAlign w:val="superscript"/>
        </w:rPr>
      </w:pPr>
      <w:r>
        <w:rPr>
          <w:rFonts w:ascii="Arial" w:cs="Arial" w:eastAsia="Arial" w:hAnsi="Arial"/>
          <w:sz w:val="8"/>
          <w:szCs w:val="8"/>
          <w:color w:val="auto"/>
        </w:rPr>
        <w:t>Estimated Initial Rent Commencement represents the estimated date that the anchor or first tenants at each project will rent commence.</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6"/>
        </w:numPr>
        <w:rPr>
          <w:rFonts w:ascii="Arial" w:cs="Arial" w:eastAsia="Arial" w:hAnsi="Arial"/>
          <w:sz w:val="9"/>
          <w:szCs w:val="9"/>
          <w:color w:val="auto"/>
          <w:vertAlign w:val="superscript"/>
        </w:rPr>
      </w:pPr>
      <w:r>
        <w:rPr>
          <w:rFonts w:ascii="Arial" w:cs="Arial" w:eastAsia="Arial" w:hAnsi="Arial"/>
          <w:sz w:val="7"/>
          <w:szCs w:val="7"/>
          <w:color w:val="auto"/>
        </w:rPr>
        <w:t>Estimated Stabilization Year represents the estimated year that the project will reach the stated stabilized yield on an annualized basis.</w:t>
      </w:r>
    </w:p>
    <w:p>
      <w:pPr>
        <w:spacing w:after="0" w:line="35"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6"/>
        </w:numPr>
        <w:rPr>
          <w:rFonts w:ascii="Arial" w:cs="Arial" w:eastAsia="Arial" w:hAnsi="Arial"/>
          <w:sz w:val="9"/>
          <w:szCs w:val="9"/>
          <w:color w:val="auto"/>
          <w:vertAlign w:val="superscript"/>
        </w:rPr>
      </w:pPr>
      <w:r>
        <w:rPr>
          <w:rFonts w:ascii="Arial" w:cs="Arial" w:eastAsia="Arial" w:hAnsi="Arial"/>
          <w:sz w:val="7"/>
          <w:szCs w:val="7"/>
          <w:color w:val="auto"/>
        </w:rPr>
        <w:t>Represents Regency's pro-rata share of net project costs.</w:t>
      </w:r>
    </w:p>
    <w:p>
      <w:pPr>
        <w:spacing w:after="0" w:line="26"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6"/>
        </w:numPr>
        <w:rPr>
          <w:rFonts w:ascii="Arial" w:cs="Arial" w:eastAsia="Arial" w:hAnsi="Arial"/>
          <w:sz w:val="9"/>
          <w:szCs w:val="9"/>
          <w:color w:val="auto"/>
          <w:vertAlign w:val="superscript"/>
        </w:rPr>
      </w:pPr>
      <w:r>
        <w:rPr>
          <w:rFonts w:ascii="Arial" w:cs="Arial" w:eastAsia="Arial" w:hAnsi="Arial"/>
          <w:sz w:val="7"/>
          <w:szCs w:val="7"/>
          <w:color w:val="auto"/>
        </w:rPr>
        <w:t>A stabilized yield for a redevelopment property represents the incremental NOI (estimated stabilized NOI less NOI prior to project commencement) divided by the total project costs.</w:t>
      </w:r>
    </w:p>
    <w:p>
      <w:pPr>
        <w:spacing w:after="0" w:line="109" w:lineRule="exact"/>
        <w:rPr>
          <w:sz w:val="20"/>
          <w:szCs w:val="20"/>
          <w:color w:val="auto"/>
        </w:rPr>
      </w:pPr>
    </w:p>
    <w:p>
      <w:pPr>
        <w:ind w:left="308" w:hanging="308"/>
        <w:spacing w:after="0"/>
        <w:tabs>
          <w:tab w:leader="none" w:pos="308" w:val="left"/>
        </w:tabs>
        <w:numPr>
          <w:ilvl w:val="0"/>
          <w:numId w:val="47"/>
        </w:numPr>
        <w:rPr>
          <w:rFonts w:ascii="Arial" w:cs="Arial" w:eastAsia="Arial" w:hAnsi="Arial"/>
          <w:sz w:val="11"/>
          <w:szCs w:val="11"/>
          <w:color w:val="auto"/>
          <w:vertAlign w:val="superscript"/>
        </w:rPr>
      </w:pPr>
      <w:r>
        <w:rPr>
          <w:rFonts w:ascii="Arial" w:cs="Arial" w:eastAsia="Arial" w:hAnsi="Arial"/>
          <w:sz w:val="8"/>
          <w:szCs w:val="8"/>
          <w:color w:val="auto"/>
        </w:rPr>
        <w:t>Scope, economics and timing of development and redevelopment projects can change materially from estimates provided.</w:t>
      </w:r>
    </w:p>
    <w:p>
      <w:pPr>
        <w:spacing w:after="0" w:line="26" w:lineRule="exact"/>
        <w:rPr>
          <w:rFonts w:ascii="Arial" w:cs="Arial" w:eastAsia="Arial" w:hAnsi="Arial"/>
          <w:sz w:val="11"/>
          <w:szCs w:val="11"/>
          <w:color w:val="auto"/>
          <w:vertAlign w:val="superscript"/>
        </w:rPr>
      </w:pPr>
    </w:p>
    <w:p>
      <w:pPr>
        <w:ind w:left="308" w:hanging="308"/>
        <w:spacing w:after="0" w:line="190" w:lineRule="auto"/>
        <w:tabs>
          <w:tab w:leader="none" w:pos="308" w:val="left"/>
        </w:tabs>
        <w:numPr>
          <w:ilvl w:val="0"/>
          <w:numId w:val="47"/>
        </w:numPr>
        <w:rPr>
          <w:rFonts w:ascii="Arial" w:cs="Arial" w:eastAsia="Arial" w:hAnsi="Arial"/>
          <w:sz w:val="9"/>
          <w:szCs w:val="9"/>
          <w:color w:val="auto"/>
          <w:vertAlign w:val="superscript"/>
        </w:rPr>
      </w:pPr>
      <w:r>
        <w:rPr>
          <w:rFonts w:ascii="Arial" w:cs="Arial" w:eastAsia="Arial" w:hAnsi="Arial"/>
          <w:sz w:val="7"/>
          <w:szCs w:val="7"/>
          <w:color w:val="auto"/>
        </w:rPr>
        <w:t>Ground-up development or redevelopment that is excluded from the Same Property NOI pool.</w:t>
      </w:r>
    </w:p>
    <w:p>
      <w:pPr>
        <w:spacing w:after="0" w:line="35"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7"/>
        </w:numPr>
        <w:rPr>
          <w:rFonts w:ascii="Arial" w:cs="Arial" w:eastAsia="Arial" w:hAnsi="Arial"/>
          <w:sz w:val="9"/>
          <w:szCs w:val="9"/>
          <w:color w:val="auto"/>
          <w:vertAlign w:val="superscript"/>
        </w:rPr>
      </w:pPr>
      <w:r>
        <w:rPr>
          <w:rFonts w:ascii="Arial" w:cs="Arial" w:eastAsia="Arial" w:hAnsi="Arial"/>
          <w:sz w:val="7"/>
          <w:szCs w:val="7"/>
          <w:color w:val="auto"/>
        </w:rPr>
        <w:t>Estimated costs represent Regency's pro-rata share: Sienna Grande Shops (75%); Oak Valley Village (75%); and Bloom on Third (35%)</w:t>
      </w:r>
    </w:p>
    <w:p>
      <w:pPr>
        <w:spacing w:after="0" w:line="26"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47"/>
        </w:numPr>
        <w:rPr>
          <w:rFonts w:ascii="Arial" w:cs="Arial" w:eastAsia="Arial" w:hAnsi="Arial"/>
          <w:sz w:val="9"/>
          <w:szCs w:val="9"/>
          <w:color w:val="auto"/>
          <w:vertAlign w:val="superscript"/>
        </w:rPr>
      </w:pPr>
      <w:r>
        <w:rPr>
          <w:rFonts w:ascii="Arial" w:cs="Arial" w:eastAsia="Arial" w:hAnsi="Arial"/>
          <w:sz w:val="7"/>
          <w:szCs w:val="7"/>
          <w:color w:val="auto"/>
        </w:rPr>
        <w:t>GLA and % Leased represents: Bloom on Third – fully redeveloped center (existing center is 73k SF and 100% leased)</w:t>
      </w:r>
    </w:p>
    <w:p>
      <w:pPr>
        <w:spacing w:after="0" w:line="134" w:lineRule="exact"/>
        <w:rPr>
          <w:rFonts w:ascii="Arial" w:cs="Arial" w:eastAsia="Arial" w:hAnsi="Arial"/>
          <w:sz w:val="9"/>
          <w:szCs w:val="9"/>
          <w:color w:val="auto"/>
          <w:vertAlign w:val="superscript"/>
        </w:rPr>
      </w:pPr>
    </w:p>
    <w:p>
      <w:pPr>
        <w:ind w:left="308"/>
        <w:spacing w:after="0"/>
        <w:rPr>
          <w:rFonts w:ascii="Arial" w:cs="Arial" w:eastAsia="Arial" w:hAnsi="Arial"/>
          <w:sz w:val="9"/>
          <w:szCs w:val="9"/>
          <w:color w:val="auto"/>
          <w:vertAlign w:val="superscript"/>
        </w:rPr>
      </w:pPr>
      <w:r>
        <w:rPr>
          <w:rFonts w:ascii="Arial" w:cs="Arial" w:eastAsia="Arial" w:hAnsi="Arial"/>
          <w:sz w:val="8"/>
          <w:szCs w:val="8"/>
          <w:color w:val="auto"/>
        </w:rPr>
        <w:t>Note: Regency’s Estimate of Net GAAP Project Costs, after additional interest and overhead capitalization, is $697M for Ground-up Developments and Redevelopments In-Process. Percent of costs incurred is 46% for Ground-up Developments and Redevelopments 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92075</wp:posOffset>
            </wp:positionV>
            <wp:extent cx="281305" cy="149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1305" cy="149225"/>
                    </a:xfrm>
                    <a:prstGeom prst="rect">
                      <a:avLst/>
                    </a:prstGeom>
                    <a:noFill/>
                  </pic:spPr>
                </pic:pic>
              </a:graphicData>
            </a:graphic>
          </wp:anchor>
        </w:drawing>
      </w:r>
    </w:p>
    <w:p>
      <w:pPr>
        <w:spacing w:after="0" w:line="241" w:lineRule="exact"/>
        <w:rPr>
          <w:sz w:val="20"/>
          <w:szCs w:val="20"/>
          <w:color w:val="auto"/>
        </w:rPr>
      </w:pPr>
    </w:p>
    <w:p>
      <w:pPr>
        <w:ind w:left="10208"/>
        <w:spacing w:after="0"/>
        <w:tabs>
          <w:tab w:leader="none" w:pos="11107" w:val="left"/>
        </w:tabs>
        <w:rPr>
          <w:sz w:val="20"/>
          <w:szCs w:val="20"/>
          <w:color w:val="auto"/>
        </w:rPr>
      </w:pPr>
      <w:r>
        <w:rPr>
          <w:rFonts w:ascii="Arial" w:cs="Arial" w:eastAsia="Arial" w:hAnsi="Arial"/>
          <w:sz w:val="7"/>
          <w:szCs w:val="7"/>
          <w:color w:val="404040"/>
        </w:rPr>
        <w:t>Supplemental Information</w:t>
      </w:r>
      <w:r>
        <w:rPr>
          <w:sz w:val="20"/>
          <w:szCs w:val="20"/>
          <w:color w:val="auto"/>
        </w:rPr>
        <w:tab/>
      </w: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720280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280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8980" w:type="dxa"/>
            <w:vAlign w:val="bottom"/>
          </w:tcPr>
          <w:p>
            <w:pPr>
              <w:jc w:val="center"/>
              <w:ind w:right="2280"/>
              <w:spacing w:after="0"/>
              <w:rPr>
                <w:sz w:val="20"/>
                <w:szCs w:val="20"/>
                <w:color w:val="auto"/>
              </w:rPr>
            </w:pPr>
            <w:r>
              <w:rPr>
                <w:rFonts w:ascii="Arial" w:cs="Arial" w:eastAsia="Arial" w:hAnsi="Arial"/>
                <w:sz w:val="12"/>
                <w:szCs w:val="12"/>
                <w:color w:val="auto"/>
                <w:highlight w:val="black"/>
                <w:w w:val="98"/>
              </w:rPr>
              <w:t xml:space="preserve">Summary </w:t>
            </w:r>
            <w:r>
              <w:rPr>
                <w:rFonts w:ascii="Arial" w:cs="Arial" w:eastAsia="Arial" w:hAnsi="Arial"/>
                <w:sz w:val="12"/>
                <w:szCs w:val="12"/>
                <w:color w:val="auto"/>
                <w:w w:val="98"/>
              </w:rPr>
              <w:t>of In-Process Developments and Redevelopments</w:t>
            </w:r>
          </w:p>
        </w:tc>
      </w:tr>
      <w:tr>
        <w:trPr>
          <w:trHeight w:val="145"/>
        </w:trPr>
        <w:tc>
          <w:tcPr>
            <w:tcW w:w="2320" w:type="dxa"/>
            <w:vAlign w:val="bottom"/>
          </w:tcPr>
          <w:p>
            <w:pPr>
              <w:spacing w:after="0"/>
              <w:rPr>
                <w:sz w:val="12"/>
                <w:szCs w:val="12"/>
                <w:color w:val="auto"/>
              </w:rPr>
            </w:pPr>
          </w:p>
        </w:tc>
        <w:tc>
          <w:tcPr>
            <w:tcW w:w="8980" w:type="dxa"/>
            <w:vAlign w:val="bottom"/>
          </w:tcPr>
          <w:p>
            <w:pPr>
              <w:jc w:val="center"/>
              <w:ind w:right="2300"/>
              <w:spacing w:after="0"/>
              <w:rPr>
                <w:sz w:val="20"/>
                <w:szCs w:val="20"/>
                <w:color w:val="auto"/>
              </w:rPr>
            </w:pPr>
            <w:r>
              <w:rPr>
                <w:rFonts w:ascii="Arial" w:cs="Arial" w:eastAsia="Arial" w:hAnsi="Arial"/>
                <w:sz w:val="12"/>
                <w:szCs w:val="12"/>
                <w:color w:val="auto"/>
              </w:rPr>
              <w:t>March 31, 2026</w:t>
            </w:r>
          </w:p>
        </w:tc>
      </w:tr>
      <w:tr>
        <w:trPr>
          <w:trHeight w:val="145"/>
        </w:trPr>
        <w:tc>
          <w:tcPr>
            <w:tcW w:w="2320" w:type="dxa"/>
            <w:vAlign w:val="bottom"/>
          </w:tcPr>
          <w:p>
            <w:pPr>
              <w:spacing w:after="0"/>
              <w:rPr>
                <w:sz w:val="12"/>
                <w:szCs w:val="12"/>
                <w:color w:val="auto"/>
              </w:rPr>
            </w:pPr>
          </w:p>
        </w:tc>
        <w:tc>
          <w:tcPr>
            <w:tcW w:w="8980" w:type="dxa"/>
            <w:vAlign w:val="bottom"/>
          </w:tcPr>
          <w:p>
            <w:pPr>
              <w:jc w:val="center"/>
              <w:ind w:right="2300"/>
              <w:spacing w:after="0"/>
              <w:rPr>
                <w:sz w:val="20"/>
                <w:szCs w:val="20"/>
                <w:color w:val="auto"/>
              </w:rPr>
            </w:pPr>
            <w:r>
              <w:rPr>
                <w:rFonts w:ascii="Arial" w:cs="Arial" w:eastAsia="Arial" w:hAnsi="Arial"/>
                <w:sz w:val="12"/>
                <w:szCs w:val="12"/>
                <w:color w:val="auto"/>
                <w:w w:val="99"/>
              </w:rPr>
              <w:t>(in thousands)</w:t>
            </w:r>
          </w:p>
        </w:tc>
      </w:tr>
      <w:tr>
        <w:trPr>
          <w:trHeight w:val="346"/>
        </w:trPr>
        <w:tc>
          <w:tcPr>
            <w:tcW w:w="232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r>
      <w:tr>
        <w:trPr>
          <w:trHeight w:val="133"/>
        </w:trPr>
        <w:tc>
          <w:tcPr>
            <w:tcW w:w="2320" w:type="dxa"/>
            <w:vAlign w:val="bottom"/>
            <w:tcBorders>
              <w:left w:val="single" w:sz="8" w:color="auto"/>
              <w:bottom w:val="single" w:sz="8" w:color="auto"/>
            </w:tcBorders>
          </w:tcPr>
          <w:p>
            <w:pPr>
              <w:spacing w:after="0"/>
              <w:rPr>
                <w:sz w:val="20"/>
                <w:szCs w:val="20"/>
                <w:color w:val="auto"/>
              </w:rPr>
            </w:pPr>
            <w:r>
              <w:rPr>
                <w:rFonts w:ascii="Arial" w:cs="Arial" w:eastAsia="Arial" w:hAnsi="Arial"/>
                <w:sz w:val="7"/>
                <w:szCs w:val="7"/>
                <w:color w:val="auto"/>
              </w:rPr>
              <w:t>In-Process Development and Redevelopment Descriptions</w:t>
            </w:r>
          </w:p>
        </w:tc>
        <w:tc>
          <w:tcPr>
            <w:tcW w:w="8980" w:type="dxa"/>
            <w:vAlign w:val="bottom"/>
            <w:tcBorders>
              <w:bottom w:val="single" w:sz="8" w:color="auto"/>
              <w:right w:val="single" w:sz="8" w:color="auto"/>
            </w:tcBorders>
          </w:tcPr>
          <w:p>
            <w:pPr>
              <w:ind w:left="8900"/>
              <w:spacing w:after="0"/>
              <w:rPr>
                <w:sz w:val="20"/>
                <w:szCs w:val="20"/>
                <w:color w:val="auto"/>
              </w:rPr>
            </w:pPr>
            <w:r>
              <w:rPr>
                <w:rFonts w:ascii="Arial" w:cs="Arial" w:eastAsia="Arial" w:hAnsi="Arial"/>
                <w:sz w:val="9"/>
                <w:szCs w:val="9"/>
                <w:color w:val="auto"/>
                <w:w w:val="78"/>
              </w:rPr>
              <w:t>0</w:t>
            </w:r>
          </w:p>
        </w:tc>
      </w:tr>
      <w:tr>
        <w:trPr>
          <w:trHeight w:val="134"/>
        </w:trPr>
        <w:tc>
          <w:tcPr>
            <w:tcW w:w="2320" w:type="dxa"/>
            <w:vAlign w:val="bottom"/>
            <w:tcBorders>
              <w:left w:val="single" w:sz="8" w:color="auto"/>
              <w:bottom w:val="single" w:sz="8" w:color="auto"/>
            </w:tcBorders>
            <w:shd w:val="clear" w:color="auto" w:fill="808080"/>
          </w:tcPr>
          <w:p>
            <w:pPr>
              <w:spacing w:after="0"/>
              <w:rPr>
                <w:sz w:val="20"/>
                <w:szCs w:val="20"/>
                <w:color w:val="auto"/>
              </w:rPr>
            </w:pPr>
            <w:r>
              <w:rPr>
                <w:rFonts w:ascii="Arial" w:cs="Arial" w:eastAsia="Arial" w:hAnsi="Arial"/>
                <w:sz w:val="7"/>
                <w:szCs w:val="7"/>
                <w:color w:val="auto"/>
              </w:rPr>
              <w:t>Ground-up Developments</w:t>
            </w:r>
          </w:p>
        </w:tc>
        <w:tc>
          <w:tcPr>
            <w:tcW w:w="8980" w:type="dxa"/>
            <w:vAlign w:val="bottom"/>
            <w:tcBorders>
              <w:bottom w:val="single" w:sz="8" w:color="auto"/>
              <w:right w:val="single" w:sz="8" w:color="auto"/>
            </w:tcBorders>
            <w:shd w:val="clear" w:color="auto" w:fill="808080"/>
          </w:tcPr>
          <w:p>
            <w:pPr>
              <w:ind w:left="8900"/>
              <w:spacing w:after="0"/>
              <w:rPr>
                <w:sz w:val="20"/>
                <w:szCs w:val="20"/>
                <w:color w:val="auto"/>
              </w:rPr>
            </w:pPr>
            <w:r>
              <w:rPr>
                <w:rFonts w:ascii="Arial" w:cs="Arial" w:eastAsia="Arial" w:hAnsi="Arial"/>
                <w:sz w:val="9"/>
                <w:szCs w:val="9"/>
                <w:color w:val="auto"/>
                <w:w w:val="78"/>
              </w:rPr>
              <w:t>0</w:t>
            </w:r>
          </w:p>
        </w:tc>
      </w:tr>
      <w:tr>
        <w:trPr>
          <w:trHeight w:val="105"/>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Sienna Grande Shops</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Phase 1 features approximately 30K SF of shop space and outparcels in a master-planned development outside of Houston, TX, ranked among the top-selling communities nationally.</w:t>
            </w:r>
          </w:p>
        </w:tc>
      </w:tr>
      <w:tr>
        <w:trPr>
          <w:trHeight w:val="30"/>
        </w:trPr>
        <w:tc>
          <w:tcPr>
            <w:tcW w:w="2320" w:type="dxa"/>
            <w:vAlign w:val="bottom"/>
            <w:tcBorders>
              <w:left w:val="single" w:sz="8" w:color="auto"/>
            </w:tcBorders>
          </w:tcPr>
          <w:p>
            <w:pPr>
              <w:spacing w:after="0"/>
              <w:rPr>
                <w:sz w:val="2"/>
                <w:szCs w:val="2"/>
                <w:color w:val="auto"/>
              </w:rPr>
            </w:pPr>
          </w:p>
        </w:tc>
        <w:tc>
          <w:tcPr>
            <w:tcW w:w="8980" w:type="dxa"/>
            <w:vAlign w:val="bottom"/>
            <w:tcBorders>
              <w:right w:val="single" w:sz="8" w:color="auto"/>
            </w:tcBorders>
          </w:tcPr>
          <w:p>
            <w:pPr>
              <w:spacing w:after="0"/>
              <w:rPr>
                <w:sz w:val="2"/>
                <w:szCs w:val="2"/>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The Shops at SunVet</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Located in Long Island, NY, the project will transform a vacant enclosed mall into a 170K SF open-air center featuring Whole Foods, junior anchors, shop space, and outparcels.</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The Village at Seven Pines</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239K SF center anchored by Publix, leading restaurants and retailers, and Class A office space that will serve as Regency’s new corporate headquarters.</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Ellis Village Center (South)</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Located in the Bay Area, 49K SF shopping center anchored by Sprouts and multiple shop buildings.</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Culver Commons</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13K SF retail center in extremely high barrier to entry West L.A. submarket.</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Lone Tree Village</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158K SF development in a high-growth corridor of Denver, CO, featuring a best-in-class grocer.</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Oak Valley Village</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Located east of L.A., the 230K SF ground-up development will feature Target and Sprouts.</w:t>
            </w:r>
          </w:p>
        </w:tc>
      </w:tr>
      <w:tr>
        <w:trPr>
          <w:trHeight w:val="66"/>
        </w:trPr>
        <w:tc>
          <w:tcPr>
            <w:tcW w:w="2320" w:type="dxa"/>
            <w:vAlign w:val="bottom"/>
            <w:tcBorders>
              <w:left w:val="single" w:sz="8" w:color="auto"/>
              <w:bottom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r>
      <w:tr>
        <w:trPr>
          <w:trHeight w:val="166"/>
        </w:trPr>
        <w:tc>
          <w:tcPr>
            <w:tcW w:w="2320" w:type="dxa"/>
            <w:vAlign w:val="bottom"/>
            <w:tcBorders>
              <w:left w:val="single" w:sz="8" w:color="auto"/>
              <w:bottom w:val="single" w:sz="8" w:color="808080"/>
            </w:tcBorders>
            <w:shd w:val="clear" w:color="auto" w:fill="808080"/>
          </w:tcPr>
          <w:p>
            <w:pPr>
              <w:spacing w:after="0"/>
              <w:rPr>
                <w:sz w:val="20"/>
                <w:szCs w:val="20"/>
                <w:color w:val="auto"/>
              </w:rPr>
            </w:pPr>
            <w:r>
              <w:rPr>
                <w:rFonts w:ascii="Arial" w:cs="Arial" w:eastAsia="Arial" w:hAnsi="Arial"/>
                <w:sz w:val="7"/>
                <w:szCs w:val="7"/>
                <w:color w:val="auto"/>
                <w:highlight w:val="white"/>
              </w:rPr>
              <w:t>Redevelopments</w:t>
            </w:r>
          </w:p>
        </w:tc>
        <w:tc>
          <w:tcPr>
            <w:tcW w:w="8980" w:type="dxa"/>
            <w:vAlign w:val="bottom"/>
            <w:tcBorders>
              <w:bottom w:val="single" w:sz="8" w:color="808080"/>
              <w:right w:val="single" w:sz="8" w:color="auto"/>
            </w:tcBorders>
            <w:shd w:val="clear" w:color="auto" w:fill="808080"/>
          </w:tcPr>
          <w:p>
            <w:pPr>
              <w:ind w:left="8900"/>
              <w:spacing w:after="0"/>
              <w:rPr>
                <w:sz w:val="20"/>
                <w:szCs w:val="20"/>
                <w:color w:val="auto"/>
              </w:rPr>
            </w:pPr>
            <w:r>
              <w:rPr>
                <w:rFonts w:ascii="Arial" w:cs="Arial" w:eastAsia="Arial" w:hAnsi="Arial"/>
                <w:sz w:val="9"/>
                <w:szCs w:val="9"/>
                <w:color w:val="auto"/>
                <w:w w:val="78"/>
              </w:rPr>
              <w:t>0</w:t>
            </w:r>
          </w:p>
        </w:tc>
      </w:tr>
      <w:tr>
        <w:trPr>
          <w:trHeight w:val="131"/>
        </w:trPr>
        <w:tc>
          <w:tcPr>
            <w:tcW w:w="2320" w:type="dxa"/>
            <w:vAlign w:val="bottom"/>
            <w:tcBorders>
              <w:top w:val="single" w:sz="8" w:color="auto"/>
              <w:left w:val="single" w:sz="8" w:color="auto"/>
            </w:tcBorders>
          </w:tcPr>
          <w:p>
            <w:pPr>
              <w:spacing w:after="0"/>
              <w:rPr>
                <w:sz w:val="20"/>
                <w:szCs w:val="20"/>
                <w:color w:val="auto"/>
              </w:rPr>
            </w:pPr>
            <w:r>
              <w:rPr>
                <w:rFonts w:ascii="Arial" w:cs="Arial" w:eastAsia="Arial" w:hAnsi="Arial"/>
                <w:sz w:val="7"/>
                <w:szCs w:val="7"/>
                <w:color w:val="auto"/>
              </w:rPr>
              <w:t>Bloom on Third</w:t>
            </w:r>
          </w:p>
        </w:tc>
        <w:tc>
          <w:tcPr>
            <w:tcW w:w="898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7"/>
                <w:szCs w:val="7"/>
                <w:color w:val="auto"/>
              </w:rPr>
              <w:t>Redevelopment in Los Angeles, CA, which includes new retail space and a ground lease for mid-rise luxury apartments constructed and operated by a leading multifamily developer.</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Serramonte Center - Phase 3</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Former J.C. Penney box and two exterior pads. The former J.C. Penney box will feature Jagalchi, a leading Asian grocer with locations in South Korea, China, and the US.</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West Chester Plaza</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Redevelopment includes a new 123K SF Kroger and multiple shop buildings. The project will be staggered to accommodate continuous operation of Kroger in its existing location.</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Willows Shopping Center</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Redevelopment will revitalize the existing shopping center and include extensive site reconfiguration, construction of a new 14K SF building, and enhanced façades.</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The Crossing Clarendon</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Reconfiguration of a two-level junior anchor box, with multiple leading retailers, plus façade enhancements and other site improvements.</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East Meadow Plaza - Phase 1</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Acquired in 2022 with the intention of redevelopment. Phase 1 includes various site improvements, complete facade renovation, and reconfigured space for leading retailers.</w:t>
            </w:r>
          </w:p>
        </w:tc>
      </w:tr>
      <w:tr>
        <w:trPr>
          <w:trHeight w:val="66"/>
        </w:trPr>
        <w:tc>
          <w:tcPr>
            <w:tcW w:w="2320" w:type="dxa"/>
            <w:vAlign w:val="bottom"/>
            <w:tcBorders>
              <w:left w:val="single" w:sz="8" w:color="auto"/>
            </w:tcBorders>
            <w:shd w:val="clear" w:color="auto" w:fill="D9D9D9"/>
          </w:tcPr>
          <w:p>
            <w:pPr>
              <w:spacing w:after="0"/>
              <w:rPr>
                <w:sz w:val="5"/>
                <w:szCs w:val="5"/>
                <w:color w:val="auto"/>
              </w:rPr>
            </w:pPr>
          </w:p>
        </w:tc>
        <w:tc>
          <w:tcPr>
            <w:tcW w:w="8980" w:type="dxa"/>
            <w:vAlign w:val="bottom"/>
            <w:tcBorders>
              <w:right w:val="single" w:sz="8" w:color="auto"/>
            </w:tcBorders>
            <w:shd w:val="clear" w:color="auto" w:fill="D9D9D9"/>
          </w:tcPr>
          <w:p>
            <w:pPr>
              <w:spacing w:after="0"/>
              <w:rPr>
                <w:sz w:val="5"/>
                <w:szCs w:val="5"/>
                <w:color w:val="auto"/>
              </w:rPr>
            </w:pPr>
          </w:p>
        </w:tc>
      </w:tr>
      <w:tr>
        <w:trPr>
          <w:trHeight w:val="142"/>
        </w:trPr>
        <w:tc>
          <w:tcPr>
            <w:tcW w:w="2320" w:type="dxa"/>
            <w:vAlign w:val="bottom"/>
            <w:tcBorders>
              <w:left w:val="single" w:sz="8" w:color="auto"/>
            </w:tcBorders>
          </w:tcPr>
          <w:p>
            <w:pPr>
              <w:spacing w:after="0"/>
              <w:rPr>
                <w:sz w:val="20"/>
                <w:szCs w:val="20"/>
                <w:color w:val="auto"/>
              </w:rPr>
            </w:pPr>
            <w:r>
              <w:rPr>
                <w:rFonts w:ascii="Arial" w:cs="Arial" w:eastAsia="Arial" w:hAnsi="Arial"/>
                <w:sz w:val="7"/>
                <w:szCs w:val="7"/>
                <w:color w:val="auto"/>
              </w:rPr>
              <w:t>East Meadow Plaza - Phase 2A</w:t>
            </w:r>
          </w:p>
        </w:tc>
        <w:tc>
          <w:tcPr>
            <w:tcW w:w="8980" w:type="dxa"/>
            <w:vAlign w:val="bottom"/>
            <w:tcBorders>
              <w:right w:val="single" w:sz="8" w:color="auto"/>
            </w:tcBorders>
          </w:tcPr>
          <w:p>
            <w:pPr>
              <w:ind w:left="480"/>
              <w:spacing w:after="0"/>
              <w:rPr>
                <w:sz w:val="20"/>
                <w:szCs w:val="20"/>
                <w:color w:val="auto"/>
              </w:rPr>
            </w:pPr>
            <w:r>
              <w:rPr>
                <w:rFonts w:ascii="Arial" w:cs="Arial" w:eastAsia="Arial" w:hAnsi="Arial"/>
                <w:sz w:val="7"/>
                <w:szCs w:val="7"/>
                <w:color w:val="auto"/>
              </w:rPr>
              <w:t>Phase 2A includes demolition of a vacant office building, plus the addition of multiple outparcel buildings and other site enhancements.</w:t>
            </w:r>
          </w:p>
        </w:tc>
      </w:tr>
      <w:tr>
        <w:trPr>
          <w:trHeight w:val="66"/>
        </w:trPr>
        <w:tc>
          <w:tcPr>
            <w:tcW w:w="2320" w:type="dxa"/>
            <w:vAlign w:val="bottom"/>
            <w:tcBorders>
              <w:left w:val="single" w:sz="8" w:color="auto"/>
            </w:tcBorders>
          </w:tcPr>
          <w:p>
            <w:pPr>
              <w:spacing w:after="0"/>
              <w:rPr>
                <w:sz w:val="5"/>
                <w:szCs w:val="5"/>
                <w:color w:val="auto"/>
              </w:rPr>
            </w:pPr>
          </w:p>
        </w:tc>
        <w:tc>
          <w:tcPr>
            <w:tcW w:w="8980" w:type="dxa"/>
            <w:vAlign w:val="bottom"/>
            <w:tcBorders>
              <w:right w:val="single" w:sz="8" w:color="auto"/>
            </w:tcBorders>
          </w:tcPr>
          <w:p>
            <w:pPr>
              <w:spacing w:after="0"/>
              <w:rPr>
                <w:sz w:val="5"/>
                <w:szCs w:val="5"/>
                <w:color w:val="auto"/>
              </w:rPr>
            </w:pPr>
          </w:p>
        </w:tc>
      </w:tr>
      <w:tr>
        <w:trPr>
          <w:trHeight w:val="142"/>
        </w:trPr>
        <w:tc>
          <w:tcPr>
            <w:tcW w:w="2320" w:type="dxa"/>
            <w:vAlign w:val="bottom"/>
            <w:tcBorders>
              <w:left w:val="single" w:sz="8" w:color="auto"/>
            </w:tcBorders>
            <w:shd w:val="clear" w:color="auto" w:fill="D9D9D9"/>
          </w:tcPr>
          <w:p>
            <w:pPr>
              <w:spacing w:after="0"/>
              <w:rPr>
                <w:sz w:val="20"/>
                <w:szCs w:val="20"/>
                <w:color w:val="auto"/>
              </w:rPr>
            </w:pPr>
            <w:r>
              <w:rPr>
                <w:rFonts w:ascii="Arial" w:cs="Arial" w:eastAsia="Arial" w:hAnsi="Arial"/>
                <w:sz w:val="7"/>
                <w:szCs w:val="7"/>
                <w:color w:val="auto"/>
              </w:rPr>
              <w:t>Crystal Brook Corner</w:t>
            </w:r>
          </w:p>
        </w:tc>
        <w:tc>
          <w:tcPr>
            <w:tcW w:w="8980" w:type="dxa"/>
            <w:vAlign w:val="bottom"/>
            <w:tcBorders>
              <w:right w:val="single" w:sz="8" w:color="auto"/>
            </w:tcBorders>
            <w:shd w:val="clear" w:color="auto" w:fill="D9D9D9"/>
          </w:tcPr>
          <w:p>
            <w:pPr>
              <w:ind w:left="480"/>
              <w:spacing w:after="0"/>
              <w:rPr>
                <w:sz w:val="20"/>
                <w:szCs w:val="20"/>
                <w:color w:val="auto"/>
              </w:rPr>
            </w:pPr>
            <w:r>
              <w:rPr>
                <w:rFonts w:ascii="Arial" w:cs="Arial" w:eastAsia="Arial" w:hAnsi="Arial"/>
                <w:sz w:val="7"/>
                <w:szCs w:val="7"/>
                <w:color w:val="auto"/>
              </w:rPr>
              <w:t>125K SF major redevelopment that will feature a new 36K SF Whole Foods, shop space, and multiple outparcels. The redevelopment will include new façades and extensive sitework.</w:t>
            </w:r>
          </w:p>
        </w:tc>
      </w:tr>
      <w:tr>
        <w:trPr>
          <w:trHeight w:val="66"/>
        </w:trPr>
        <w:tc>
          <w:tcPr>
            <w:tcW w:w="2320" w:type="dxa"/>
            <w:vAlign w:val="bottom"/>
            <w:tcBorders>
              <w:left w:val="single" w:sz="8" w:color="auto"/>
              <w:bottom w:val="single" w:sz="8" w:color="auto"/>
            </w:tcBorders>
            <w:shd w:val="clear" w:color="auto" w:fill="D9D9D9"/>
          </w:tcPr>
          <w:p>
            <w:pPr>
              <w:spacing w:after="0"/>
              <w:rPr>
                <w:sz w:val="5"/>
                <w:szCs w:val="5"/>
                <w:color w:val="auto"/>
              </w:rPr>
            </w:pPr>
          </w:p>
        </w:tc>
        <w:tc>
          <w:tcPr>
            <w:tcW w:w="8980" w:type="dxa"/>
            <w:vAlign w:val="bottom"/>
            <w:tcBorders>
              <w:bottom w:val="single" w:sz="8" w:color="auto"/>
              <w:right w:val="single" w:sz="8" w:color="auto"/>
            </w:tcBorders>
            <w:shd w:val="clear" w:color="auto" w:fill="D9D9D9"/>
          </w:tcPr>
          <w:p>
            <w:pPr>
              <w:spacing w:after="0"/>
              <w:rPr>
                <w:sz w:val="5"/>
                <w:szCs w:val="5"/>
                <w:color w:val="auto"/>
              </w:rPr>
            </w:pPr>
          </w:p>
        </w:tc>
      </w:tr>
      <w:tr>
        <w:trPr>
          <w:trHeight w:val="414"/>
        </w:trPr>
        <w:tc>
          <w:tcPr>
            <w:tcW w:w="2320" w:type="dxa"/>
            <w:vAlign w:val="bottom"/>
          </w:tcPr>
          <w:p>
            <w:pPr>
              <w:spacing w:after="0"/>
              <w:rPr>
                <w:sz w:val="24"/>
                <w:szCs w:val="24"/>
                <w:color w:val="auto"/>
              </w:rPr>
            </w:pPr>
          </w:p>
        </w:tc>
        <w:tc>
          <w:tcPr>
            <w:tcW w:w="8980" w:type="dxa"/>
            <w:vAlign w:val="bottom"/>
          </w:tcPr>
          <w:p>
            <w:pPr>
              <w:ind w:left="7880"/>
              <w:spacing w:after="0"/>
              <w:rPr>
                <w:sz w:val="20"/>
                <w:szCs w:val="20"/>
                <w:color w:val="auto"/>
              </w:rPr>
            </w:pPr>
            <w:r>
              <w:rPr>
                <w:rFonts w:ascii="Arial" w:cs="Arial" w:eastAsia="Arial" w:hAnsi="Arial"/>
                <w:sz w:val="7"/>
                <w:szCs w:val="7"/>
                <w:color w:val="404040"/>
              </w:rPr>
              <w:t xml:space="preserve">Supplemental Information   </w:t>
            </w:r>
            <w:r>
              <w:rPr>
                <w:rFonts w:ascii="Times New Roman" w:cs="Times New Roman" w:eastAsia="Times New Roman" w:hAnsi="Times New Roman"/>
                <w:sz w:val="12"/>
                <w:szCs w:val="12"/>
                <w:color w:val="000000"/>
              </w:rPr>
              <w:t>18</w:t>
            </w:r>
          </w:p>
        </w:tc>
      </w:tr>
      <w:tr>
        <w:trPr>
          <w:trHeight w:val="507"/>
        </w:trPr>
        <w:tc>
          <w:tcPr>
            <w:tcW w:w="232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3021330</wp:posOffset>
            </wp:positionH>
            <wp:positionV relativeFrom="paragraph">
              <wp:posOffset>-504825</wp:posOffset>
            </wp:positionV>
            <wp:extent cx="281305" cy="149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1305" cy="149225"/>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-2862580</wp:posOffset>
            </wp:positionV>
            <wp:extent cx="64135" cy="184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35" cy="184150"/>
                    </a:xfrm>
                    <a:prstGeom prst="rect">
                      <a:avLst/>
                    </a:prstGeom>
                    <a:noFill/>
                  </pic:spPr>
                </pic:pic>
              </a:graphicData>
            </a:graphic>
          </wp:anchor>
        </w:drawing>
        <w:drawing>
          <wp:anchor simplePos="0" relativeHeight="251657728" behindDoc="1" locked="0" layoutInCell="0" allowOverlap="1">
            <wp:simplePos x="0" y="0"/>
            <wp:positionH relativeFrom="column">
              <wp:posOffset>7110095</wp:posOffset>
            </wp:positionH>
            <wp:positionV relativeFrom="paragraph">
              <wp:posOffset>-1771650</wp:posOffset>
            </wp:positionV>
            <wp:extent cx="64135" cy="863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35" cy="8636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40" w:name="page41"/>
    <w:bookmarkEnd w:id="40"/>
    <w:p>
      <w:pPr>
        <w:jc w:val="center"/>
        <w:ind w:right="12"/>
        <w:spacing w:after="0"/>
        <w:rPr>
          <w:sz w:val="20"/>
          <w:szCs w:val="20"/>
          <w:color w:val="auto"/>
        </w:rPr>
      </w:pPr>
      <w:r>
        <w:rPr>
          <w:rFonts w:ascii="Arial" w:cs="Arial" w:eastAsia="Arial" w:hAnsi="Arial"/>
          <w:sz w:val="12"/>
          <w:szCs w:val="12"/>
          <w:color w:val="auto"/>
          <w:highlight w:val="black"/>
        </w:rPr>
        <w:t>Leasing Statistics</w:t>
      </w:r>
    </w:p>
    <w:p>
      <w:pPr>
        <w:spacing w:after="0" w:line="7"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(Retail Operating Properties Only)</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2"/>
        </w:trPr>
        <w:tc>
          <w:tcPr>
            <w:tcW w:w="11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Leasing Statistics - Comparable</w:t>
            </w:r>
          </w:p>
        </w:tc>
        <w:tc>
          <w:tcPr>
            <w:tcW w:w="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88"/>
        </w:trPr>
        <w:tc>
          <w:tcPr>
            <w:tcW w:w="1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20" w:type="dxa"/>
            <w:vAlign w:val="bottom"/>
          </w:tcPr>
          <w:p>
            <w:pPr>
              <w:jc w:val="center"/>
              <w:spacing w:after="0" w:line="88" w:lineRule="exact"/>
              <w:rPr>
                <w:sz w:val="20"/>
                <w:szCs w:val="20"/>
                <w:color w:val="auto"/>
              </w:rPr>
            </w:pPr>
            <w:r>
              <w:rPr>
                <w:rFonts w:ascii="Arial" w:cs="Arial" w:eastAsia="Arial" w:hAnsi="Arial"/>
                <w:sz w:val="8"/>
                <w:szCs w:val="8"/>
                <w:color w:val="auto"/>
                <w:highlight w:val="black"/>
                <w:w w:val="99"/>
              </w:rPr>
              <w:t>GLA</w:t>
            </w:r>
          </w:p>
        </w:tc>
        <w:tc>
          <w:tcPr>
            <w:tcW w:w="14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40" w:type="dxa"/>
            <w:vAlign w:val="bottom"/>
          </w:tcPr>
          <w:p>
            <w:pPr>
              <w:ind w:left="140"/>
              <w:spacing w:after="0" w:line="88" w:lineRule="exact"/>
              <w:rPr>
                <w:sz w:val="20"/>
                <w:szCs w:val="20"/>
                <w:color w:val="auto"/>
              </w:rPr>
            </w:pPr>
            <w:r>
              <w:rPr>
                <w:rFonts w:ascii="Arial" w:cs="Arial" w:eastAsia="Arial" w:hAnsi="Arial"/>
                <w:sz w:val="8"/>
                <w:szCs w:val="8"/>
                <w:color w:val="auto"/>
              </w:rPr>
              <w:t>Tenant Allowance &amp; Landlord Work</w:t>
            </w:r>
          </w:p>
        </w:tc>
      </w:tr>
      <w:tr>
        <w:trPr>
          <w:trHeight w:val="100"/>
        </w:trPr>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color w:val="auto"/>
                <w:highlight w:val="black"/>
              </w:rPr>
              <w:t>Total</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Leasing Transactions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(in 000s)</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highlight w:val="black"/>
              </w:rPr>
              <w:t>New Base Rent/Sq. Ft</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8"/>
                <w:szCs w:val="8"/>
                <w:color w:val="auto"/>
              </w:rPr>
              <w:t>Rent Spread % (Cash)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Rent Spread % (Straight-lined)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8"/>
                <w:szCs w:val="8"/>
                <w:color w:val="auto"/>
              </w:rPr>
              <w:t>Weighted Avg. Lease Term</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rPr>
              <w:t>/Sq. Ft.</w:t>
            </w:r>
          </w:p>
        </w:tc>
      </w:tr>
      <w:tr>
        <w:trPr>
          <w:trHeight w:val="88"/>
        </w:trPr>
        <w:tc>
          <w:tcPr>
            <w:tcW w:w="1520" w:type="dxa"/>
            <w:vAlign w:val="bottom"/>
            <w:gridSpan w:val="2"/>
          </w:tcPr>
          <w:p>
            <w:pPr>
              <w:spacing w:after="0" w:line="89" w:lineRule="exact"/>
              <w:rPr>
                <w:sz w:val="20"/>
                <w:szCs w:val="20"/>
                <w:color w:val="auto"/>
              </w:rPr>
            </w:pPr>
            <w:r>
              <w:rPr>
                <w:rFonts w:ascii="Arial" w:cs="Arial" w:eastAsia="Arial" w:hAnsi="Arial"/>
                <w:sz w:val="8"/>
                <w:szCs w:val="8"/>
                <w:color w:val="auto"/>
              </w:rPr>
              <w:t>1st Quarter 2026</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354</w:t>
            </w:r>
          </w:p>
        </w:tc>
        <w:tc>
          <w:tcPr>
            <w:tcW w:w="1020" w:type="dxa"/>
            <w:vAlign w:val="bottom"/>
          </w:tcPr>
          <w:p>
            <w:pPr>
              <w:jc w:val="center"/>
              <w:spacing w:after="0" w:line="89" w:lineRule="exact"/>
              <w:rPr>
                <w:sz w:val="20"/>
                <w:szCs w:val="20"/>
                <w:color w:val="auto"/>
              </w:rPr>
            </w:pPr>
            <w:r>
              <w:rPr>
                <w:rFonts w:ascii="Arial" w:cs="Arial" w:eastAsia="Arial" w:hAnsi="Arial"/>
                <w:sz w:val="8"/>
                <w:szCs w:val="8"/>
                <w:color w:val="auto"/>
                <w:w w:val="99"/>
              </w:rPr>
              <w:t>1,494</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$32.10</w:t>
            </w:r>
          </w:p>
        </w:tc>
        <w:tc>
          <w:tcPr>
            <w:tcW w:w="1380" w:type="dxa"/>
            <w:vAlign w:val="bottom"/>
          </w:tcPr>
          <w:p>
            <w:pPr>
              <w:jc w:val="center"/>
              <w:ind w:left="39"/>
              <w:spacing w:after="0" w:line="89" w:lineRule="exact"/>
              <w:rPr>
                <w:sz w:val="20"/>
                <w:szCs w:val="20"/>
                <w:color w:val="auto"/>
              </w:rPr>
            </w:pPr>
            <w:r>
              <w:rPr>
                <w:rFonts w:ascii="Arial" w:cs="Arial" w:eastAsia="Arial" w:hAnsi="Arial"/>
                <w:sz w:val="8"/>
                <w:szCs w:val="8"/>
                <w:color w:val="auto"/>
              </w:rPr>
              <w:t>12.1%</w:t>
            </w:r>
          </w:p>
        </w:tc>
        <w:tc>
          <w:tcPr>
            <w:tcW w:w="1560" w:type="dxa"/>
            <w:vAlign w:val="bottom"/>
          </w:tcPr>
          <w:p>
            <w:pPr>
              <w:jc w:val="center"/>
              <w:spacing w:after="0" w:line="89" w:lineRule="exact"/>
              <w:rPr>
                <w:sz w:val="20"/>
                <w:szCs w:val="20"/>
                <w:color w:val="auto"/>
              </w:rPr>
            </w:pPr>
            <w:r>
              <w:rPr>
                <w:rFonts w:ascii="Arial" w:cs="Arial" w:eastAsia="Arial" w:hAnsi="Arial"/>
                <w:sz w:val="8"/>
                <w:szCs w:val="8"/>
                <w:color w:val="auto"/>
              </w:rPr>
              <w:t>24.3%</w:t>
            </w:r>
          </w:p>
        </w:tc>
        <w:tc>
          <w:tcPr>
            <w:tcW w:w="1320" w:type="dxa"/>
            <w:vAlign w:val="bottom"/>
          </w:tcPr>
          <w:p>
            <w:pPr>
              <w:jc w:val="center"/>
              <w:spacing w:after="0" w:line="89" w:lineRule="exact"/>
              <w:rPr>
                <w:sz w:val="20"/>
                <w:szCs w:val="20"/>
                <w:color w:val="auto"/>
              </w:rPr>
            </w:pPr>
            <w:r>
              <w:rPr>
                <w:rFonts w:ascii="Arial" w:cs="Arial" w:eastAsia="Arial" w:hAnsi="Arial"/>
                <w:sz w:val="8"/>
                <w:szCs w:val="8"/>
                <w:color w:val="auto"/>
              </w:rPr>
              <w:t>6.3</w:t>
            </w:r>
          </w:p>
        </w:tc>
        <w:tc>
          <w:tcPr>
            <w:tcW w:w="1540" w:type="dxa"/>
            <w:vAlign w:val="bottom"/>
          </w:tcPr>
          <w:p>
            <w:pPr>
              <w:jc w:val="center"/>
              <w:ind w:left="39"/>
              <w:spacing w:after="0" w:line="89" w:lineRule="exact"/>
              <w:rPr>
                <w:sz w:val="20"/>
                <w:szCs w:val="20"/>
                <w:color w:val="auto"/>
              </w:rPr>
            </w:pPr>
            <w:r>
              <w:rPr>
                <w:rFonts w:ascii="Arial" w:cs="Arial" w:eastAsia="Arial" w:hAnsi="Arial"/>
                <w:sz w:val="8"/>
                <w:szCs w:val="8"/>
                <w:color w:val="auto"/>
              </w:rPr>
              <w:t>$9.41</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4th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377</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1,652</w:t>
            </w:r>
          </w:p>
        </w:tc>
        <w:tc>
          <w:tcPr>
            <w:tcW w:w="1480" w:type="dxa"/>
            <w:vAlign w:val="bottom"/>
          </w:tcPr>
          <w:p>
            <w:pPr>
              <w:jc w:val="center"/>
              <w:spacing w:after="0"/>
              <w:rPr>
                <w:sz w:val="20"/>
                <w:szCs w:val="20"/>
                <w:color w:val="auto"/>
              </w:rPr>
            </w:pPr>
            <w:r>
              <w:rPr>
                <w:rFonts w:ascii="Arial" w:cs="Arial" w:eastAsia="Arial" w:hAnsi="Arial"/>
                <w:sz w:val="8"/>
                <w:szCs w:val="8"/>
                <w:color w:val="auto"/>
              </w:rPr>
              <w:t>29.22</w:t>
            </w:r>
          </w:p>
        </w:tc>
        <w:tc>
          <w:tcPr>
            <w:tcW w:w="1380" w:type="dxa"/>
            <w:vAlign w:val="bottom"/>
          </w:tcPr>
          <w:p>
            <w:pPr>
              <w:jc w:val="center"/>
              <w:ind w:left="39"/>
              <w:spacing w:after="0"/>
              <w:rPr>
                <w:sz w:val="20"/>
                <w:szCs w:val="20"/>
                <w:color w:val="auto"/>
              </w:rPr>
            </w:pPr>
            <w:r>
              <w:rPr>
                <w:rFonts w:ascii="Arial" w:cs="Arial" w:eastAsia="Arial" w:hAnsi="Arial"/>
                <w:sz w:val="8"/>
                <w:szCs w:val="8"/>
                <w:color w:val="auto"/>
              </w:rPr>
              <w:t>12.0%</w:t>
            </w:r>
          </w:p>
        </w:tc>
        <w:tc>
          <w:tcPr>
            <w:tcW w:w="1560" w:type="dxa"/>
            <w:vAlign w:val="bottom"/>
          </w:tcPr>
          <w:p>
            <w:pPr>
              <w:jc w:val="center"/>
              <w:spacing w:after="0"/>
              <w:rPr>
                <w:sz w:val="20"/>
                <w:szCs w:val="20"/>
                <w:color w:val="auto"/>
              </w:rPr>
            </w:pPr>
            <w:r>
              <w:rPr>
                <w:rFonts w:ascii="Arial" w:cs="Arial" w:eastAsia="Arial" w:hAnsi="Arial"/>
                <w:sz w:val="8"/>
                <w:szCs w:val="8"/>
                <w:color w:val="auto"/>
              </w:rPr>
              <w:t>24.5%</w:t>
            </w:r>
          </w:p>
        </w:tc>
        <w:tc>
          <w:tcPr>
            <w:tcW w:w="1320" w:type="dxa"/>
            <w:vAlign w:val="bottom"/>
          </w:tcPr>
          <w:p>
            <w:pPr>
              <w:jc w:val="center"/>
              <w:spacing w:after="0"/>
              <w:rPr>
                <w:sz w:val="20"/>
                <w:szCs w:val="20"/>
                <w:color w:val="auto"/>
              </w:rPr>
            </w:pPr>
            <w:r>
              <w:rPr>
                <w:rFonts w:ascii="Arial" w:cs="Arial" w:eastAsia="Arial" w:hAnsi="Arial"/>
                <w:sz w:val="8"/>
                <w:szCs w:val="8"/>
                <w:color w:val="auto"/>
              </w:rPr>
              <w:t>6.8</w:t>
            </w:r>
          </w:p>
        </w:tc>
        <w:tc>
          <w:tcPr>
            <w:tcW w:w="1540" w:type="dxa"/>
            <w:vAlign w:val="bottom"/>
          </w:tcPr>
          <w:p>
            <w:pPr>
              <w:jc w:val="center"/>
              <w:ind w:left="59"/>
              <w:spacing w:after="0"/>
              <w:rPr>
                <w:sz w:val="20"/>
                <w:szCs w:val="20"/>
                <w:color w:val="auto"/>
              </w:rPr>
            </w:pPr>
            <w:r>
              <w:rPr>
                <w:rFonts w:ascii="Arial" w:cs="Arial" w:eastAsia="Arial" w:hAnsi="Arial"/>
                <w:sz w:val="8"/>
                <w:szCs w:val="8"/>
                <w:color w:val="auto"/>
              </w:rPr>
              <w:t>8.92</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3rd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366</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1,821</w:t>
            </w:r>
          </w:p>
        </w:tc>
        <w:tc>
          <w:tcPr>
            <w:tcW w:w="1480" w:type="dxa"/>
            <w:vAlign w:val="bottom"/>
          </w:tcPr>
          <w:p>
            <w:pPr>
              <w:jc w:val="center"/>
              <w:spacing w:after="0"/>
              <w:rPr>
                <w:sz w:val="20"/>
                <w:szCs w:val="20"/>
                <w:color w:val="auto"/>
              </w:rPr>
            </w:pPr>
            <w:r>
              <w:rPr>
                <w:rFonts w:ascii="Arial" w:cs="Arial" w:eastAsia="Arial" w:hAnsi="Arial"/>
                <w:sz w:val="8"/>
                <w:szCs w:val="8"/>
                <w:color w:val="auto"/>
              </w:rPr>
              <w:t>27.88</w:t>
            </w:r>
          </w:p>
        </w:tc>
        <w:tc>
          <w:tcPr>
            <w:tcW w:w="1380" w:type="dxa"/>
            <w:vAlign w:val="bottom"/>
          </w:tcPr>
          <w:p>
            <w:pPr>
              <w:jc w:val="center"/>
              <w:ind w:left="39"/>
              <w:spacing w:after="0"/>
              <w:rPr>
                <w:sz w:val="20"/>
                <w:szCs w:val="20"/>
                <w:color w:val="auto"/>
              </w:rPr>
            </w:pPr>
            <w:r>
              <w:rPr>
                <w:rFonts w:ascii="Arial" w:cs="Arial" w:eastAsia="Arial" w:hAnsi="Arial"/>
                <w:sz w:val="8"/>
                <w:szCs w:val="8"/>
                <w:color w:val="auto"/>
              </w:rPr>
              <w:t>12.8%</w:t>
            </w:r>
          </w:p>
        </w:tc>
        <w:tc>
          <w:tcPr>
            <w:tcW w:w="1560" w:type="dxa"/>
            <w:vAlign w:val="bottom"/>
          </w:tcPr>
          <w:p>
            <w:pPr>
              <w:jc w:val="center"/>
              <w:spacing w:after="0"/>
              <w:rPr>
                <w:sz w:val="20"/>
                <w:szCs w:val="20"/>
                <w:color w:val="auto"/>
              </w:rPr>
            </w:pPr>
            <w:r>
              <w:rPr>
                <w:rFonts w:ascii="Arial" w:cs="Arial" w:eastAsia="Arial" w:hAnsi="Arial"/>
                <w:sz w:val="8"/>
                <w:szCs w:val="8"/>
                <w:color w:val="auto"/>
              </w:rPr>
              <w:t>22.9%</w:t>
            </w:r>
          </w:p>
        </w:tc>
        <w:tc>
          <w:tcPr>
            <w:tcW w:w="1320" w:type="dxa"/>
            <w:vAlign w:val="bottom"/>
          </w:tcPr>
          <w:p>
            <w:pPr>
              <w:jc w:val="center"/>
              <w:spacing w:after="0"/>
              <w:rPr>
                <w:sz w:val="20"/>
                <w:szCs w:val="20"/>
                <w:color w:val="auto"/>
              </w:rPr>
            </w:pPr>
            <w:r>
              <w:rPr>
                <w:rFonts w:ascii="Arial" w:cs="Arial" w:eastAsia="Arial" w:hAnsi="Arial"/>
                <w:sz w:val="8"/>
                <w:szCs w:val="8"/>
                <w:color w:val="auto"/>
              </w:rPr>
              <w:t>6.6</w:t>
            </w:r>
          </w:p>
        </w:tc>
        <w:tc>
          <w:tcPr>
            <w:tcW w:w="1540" w:type="dxa"/>
            <w:vAlign w:val="bottom"/>
          </w:tcPr>
          <w:p>
            <w:pPr>
              <w:jc w:val="center"/>
              <w:ind w:left="59"/>
              <w:spacing w:after="0"/>
              <w:rPr>
                <w:sz w:val="20"/>
                <w:szCs w:val="20"/>
                <w:color w:val="auto"/>
              </w:rPr>
            </w:pPr>
            <w:r>
              <w:rPr>
                <w:rFonts w:ascii="Arial" w:cs="Arial" w:eastAsia="Arial" w:hAnsi="Arial"/>
                <w:sz w:val="8"/>
                <w:szCs w:val="8"/>
                <w:color w:val="auto"/>
              </w:rPr>
              <w:t>6.29</w:t>
            </w:r>
          </w:p>
        </w:tc>
      </w:tr>
      <w:tr>
        <w:trPr>
          <w:trHeight w:val="100"/>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rPr>
              <w:t>2nd Quarter 2025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1,915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26.29</w:t>
            </w:r>
          </w:p>
        </w:tc>
        <w:tc>
          <w:tcPr>
            <w:tcW w:w="138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10.0%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19.3%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5.9</w:t>
            </w:r>
          </w:p>
        </w:tc>
        <w:tc>
          <w:tcPr>
            <w:tcW w:w="1540" w:type="dxa"/>
            <w:vAlign w:val="bottom"/>
            <w:tcBorders>
              <w:bottom w:val="single" w:sz="8" w:color="auto"/>
            </w:tcBorders>
          </w:tcPr>
          <w:p>
            <w:pPr>
              <w:jc w:val="center"/>
              <w:ind w:left="59"/>
              <w:spacing w:after="0"/>
              <w:rPr>
                <w:sz w:val="20"/>
                <w:szCs w:val="20"/>
                <w:color w:val="auto"/>
              </w:rPr>
            </w:pPr>
            <w:r>
              <w:rPr>
                <w:rFonts w:ascii="Arial" w:cs="Arial" w:eastAsia="Arial" w:hAnsi="Arial"/>
                <w:sz w:val="8"/>
                <w:szCs w:val="8"/>
                <w:color w:val="auto"/>
              </w:rPr>
              <w:t>7.21</w:t>
            </w:r>
          </w:p>
        </w:tc>
      </w:tr>
      <w:tr>
        <w:trPr>
          <w:trHeight w:val="96"/>
        </w:trPr>
        <w:tc>
          <w:tcPr>
            <w:tcW w:w="1520" w:type="dxa"/>
            <w:vAlign w:val="bottom"/>
            <w:tcBorders>
              <w:bottom w:val="single" w:sz="8" w:color="auto"/>
            </w:tcBorders>
            <w:gridSpan w:val="2"/>
          </w:tcPr>
          <w:p>
            <w:pPr>
              <w:spacing w:after="0" w:line="89" w:lineRule="exact"/>
              <w:rPr>
                <w:sz w:val="20"/>
                <w:szCs w:val="20"/>
                <w:color w:val="auto"/>
              </w:rPr>
            </w:pPr>
            <w:r>
              <w:rPr>
                <w:rFonts w:ascii="Arial" w:cs="Arial" w:eastAsia="Arial" w:hAnsi="Arial"/>
                <w:sz w:val="8"/>
                <w:szCs w:val="8"/>
                <w:color w:val="auto"/>
              </w:rPr>
              <w:t>Total - 12 months</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1,519</w:t>
            </w:r>
          </w:p>
        </w:tc>
        <w:tc>
          <w:tcPr>
            <w:tcW w:w="10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w w:val="99"/>
              </w:rPr>
              <w:t>6,881</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$28.71</w:t>
            </w:r>
          </w:p>
        </w:tc>
        <w:tc>
          <w:tcPr>
            <w:tcW w:w="138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11.7%</w:t>
            </w:r>
          </w:p>
        </w:tc>
        <w:tc>
          <w:tcPr>
            <w:tcW w:w="156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22.7%</w:t>
            </w:r>
          </w:p>
        </w:tc>
        <w:tc>
          <w:tcPr>
            <w:tcW w:w="13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6.4</w:t>
            </w:r>
          </w:p>
        </w:tc>
        <w:tc>
          <w:tcPr>
            <w:tcW w:w="154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$7.87</w:t>
            </w:r>
          </w:p>
        </w:tc>
      </w:tr>
      <w:tr>
        <w:trPr>
          <w:trHeight w:val="262"/>
        </w:trPr>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8"/>
                <w:szCs w:val="8"/>
                <w:color w:val="auto"/>
                <w:highlight w:val="black"/>
                <w:w w:val="99"/>
              </w:rPr>
              <w:t>GLA</w:t>
            </w:r>
          </w:p>
        </w:tc>
        <w:tc>
          <w:tcPr>
            <w:tcW w:w="1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ind w:left="140"/>
              <w:spacing w:after="0"/>
              <w:rPr>
                <w:sz w:val="20"/>
                <w:szCs w:val="20"/>
                <w:color w:val="auto"/>
              </w:rPr>
            </w:pPr>
            <w:r>
              <w:rPr>
                <w:rFonts w:ascii="Arial" w:cs="Arial" w:eastAsia="Arial" w:hAnsi="Arial"/>
                <w:sz w:val="8"/>
                <w:szCs w:val="8"/>
                <w:color w:val="auto"/>
              </w:rPr>
              <w:t>Tenant Allowance &amp; Landlord Work</w:t>
            </w:r>
          </w:p>
        </w:tc>
      </w:tr>
      <w:tr>
        <w:trPr>
          <w:trHeight w:val="100"/>
        </w:trPr>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color w:val="auto"/>
                <w:highlight w:val="black"/>
                <w:w w:val="99"/>
              </w:rPr>
              <w:t>New Leases</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Leasing Transactions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(in 000s)</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highlight w:val="black"/>
              </w:rPr>
              <w:t>New Base Rent/Sq. Ft</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8"/>
                <w:szCs w:val="8"/>
                <w:color w:val="auto"/>
              </w:rPr>
              <w:t>Rent Spread % (Cash)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Rent Spread % (Straight-lined)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8"/>
                <w:szCs w:val="8"/>
                <w:color w:val="auto"/>
              </w:rPr>
              <w:t>Weighted Avg. Lease Term</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rPr>
              <w:t>/Sq. Ft.</w:t>
            </w:r>
          </w:p>
        </w:tc>
      </w:tr>
      <w:tr>
        <w:trPr>
          <w:trHeight w:val="88"/>
        </w:trPr>
        <w:tc>
          <w:tcPr>
            <w:tcW w:w="1520" w:type="dxa"/>
            <w:vAlign w:val="bottom"/>
            <w:gridSpan w:val="2"/>
          </w:tcPr>
          <w:p>
            <w:pPr>
              <w:spacing w:after="0" w:line="89" w:lineRule="exact"/>
              <w:rPr>
                <w:sz w:val="20"/>
                <w:szCs w:val="20"/>
                <w:color w:val="auto"/>
              </w:rPr>
            </w:pPr>
            <w:r>
              <w:rPr>
                <w:rFonts w:ascii="Arial" w:cs="Arial" w:eastAsia="Arial" w:hAnsi="Arial"/>
                <w:sz w:val="8"/>
                <w:szCs w:val="8"/>
                <w:color w:val="auto"/>
              </w:rPr>
              <w:t>1st Quarter 2026</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82</w:t>
            </w:r>
          </w:p>
        </w:tc>
        <w:tc>
          <w:tcPr>
            <w:tcW w:w="1020" w:type="dxa"/>
            <w:vAlign w:val="bottom"/>
          </w:tcPr>
          <w:p>
            <w:pPr>
              <w:jc w:val="center"/>
              <w:spacing w:after="0" w:line="89" w:lineRule="exact"/>
              <w:rPr>
                <w:sz w:val="20"/>
                <w:szCs w:val="20"/>
                <w:color w:val="auto"/>
              </w:rPr>
            </w:pPr>
            <w:r>
              <w:rPr>
                <w:rFonts w:ascii="Arial" w:cs="Arial" w:eastAsia="Arial" w:hAnsi="Arial"/>
                <w:sz w:val="8"/>
                <w:szCs w:val="8"/>
                <w:color w:val="auto"/>
              </w:rPr>
              <w:t>261</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$38.54</w:t>
            </w:r>
          </w:p>
        </w:tc>
        <w:tc>
          <w:tcPr>
            <w:tcW w:w="1380" w:type="dxa"/>
            <w:vAlign w:val="bottom"/>
          </w:tcPr>
          <w:p>
            <w:pPr>
              <w:jc w:val="center"/>
              <w:ind w:left="39"/>
              <w:spacing w:after="0" w:line="89" w:lineRule="exact"/>
              <w:rPr>
                <w:sz w:val="20"/>
                <w:szCs w:val="20"/>
                <w:color w:val="auto"/>
              </w:rPr>
            </w:pPr>
            <w:r>
              <w:rPr>
                <w:rFonts w:ascii="Arial" w:cs="Arial" w:eastAsia="Arial" w:hAnsi="Arial"/>
                <w:sz w:val="8"/>
                <w:szCs w:val="8"/>
                <w:color w:val="auto"/>
              </w:rPr>
              <w:t>26.6%</w:t>
            </w:r>
          </w:p>
        </w:tc>
        <w:tc>
          <w:tcPr>
            <w:tcW w:w="1560" w:type="dxa"/>
            <w:vAlign w:val="bottom"/>
          </w:tcPr>
          <w:p>
            <w:pPr>
              <w:jc w:val="center"/>
              <w:spacing w:after="0" w:line="89" w:lineRule="exact"/>
              <w:rPr>
                <w:sz w:val="20"/>
                <w:szCs w:val="20"/>
                <w:color w:val="auto"/>
              </w:rPr>
            </w:pPr>
            <w:r>
              <w:rPr>
                <w:rFonts w:ascii="Arial" w:cs="Arial" w:eastAsia="Arial" w:hAnsi="Arial"/>
                <w:sz w:val="8"/>
                <w:szCs w:val="8"/>
                <w:color w:val="auto"/>
              </w:rPr>
              <w:t>43.1%</w:t>
            </w:r>
          </w:p>
        </w:tc>
        <w:tc>
          <w:tcPr>
            <w:tcW w:w="1320" w:type="dxa"/>
            <w:vAlign w:val="bottom"/>
          </w:tcPr>
          <w:p>
            <w:pPr>
              <w:jc w:val="center"/>
              <w:spacing w:after="0" w:line="89" w:lineRule="exact"/>
              <w:rPr>
                <w:sz w:val="20"/>
                <w:szCs w:val="20"/>
                <w:color w:val="auto"/>
              </w:rPr>
            </w:pPr>
            <w:r>
              <w:rPr>
                <w:rFonts w:ascii="Arial" w:cs="Arial" w:eastAsia="Arial" w:hAnsi="Arial"/>
                <w:sz w:val="8"/>
                <w:szCs w:val="8"/>
                <w:color w:val="auto"/>
              </w:rPr>
              <w:t>11.3</w:t>
            </w:r>
          </w:p>
        </w:tc>
        <w:tc>
          <w:tcPr>
            <w:tcW w:w="1540" w:type="dxa"/>
            <w:vAlign w:val="bottom"/>
          </w:tcPr>
          <w:p>
            <w:pPr>
              <w:jc w:val="center"/>
              <w:ind w:left="39"/>
              <w:spacing w:after="0" w:line="89" w:lineRule="exact"/>
              <w:rPr>
                <w:sz w:val="20"/>
                <w:szCs w:val="20"/>
                <w:color w:val="auto"/>
              </w:rPr>
            </w:pPr>
            <w:r>
              <w:rPr>
                <w:rFonts w:ascii="Arial" w:cs="Arial" w:eastAsia="Arial" w:hAnsi="Arial"/>
                <w:sz w:val="8"/>
                <w:szCs w:val="8"/>
                <w:color w:val="auto"/>
              </w:rPr>
              <w:t>$46.07</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4th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106</w:t>
            </w:r>
          </w:p>
        </w:tc>
        <w:tc>
          <w:tcPr>
            <w:tcW w:w="1020" w:type="dxa"/>
            <w:vAlign w:val="bottom"/>
          </w:tcPr>
          <w:p>
            <w:pPr>
              <w:jc w:val="center"/>
              <w:spacing w:after="0"/>
              <w:rPr>
                <w:sz w:val="20"/>
                <w:szCs w:val="20"/>
                <w:color w:val="auto"/>
              </w:rPr>
            </w:pPr>
            <w:r>
              <w:rPr>
                <w:rFonts w:ascii="Arial" w:cs="Arial" w:eastAsia="Arial" w:hAnsi="Arial"/>
                <w:sz w:val="8"/>
                <w:szCs w:val="8"/>
                <w:color w:val="auto"/>
              </w:rPr>
              <w:t>366</w:t>
            </w:r>
          </w:p>
        </w:tc>
        <w:tc>
          <w:tcPr>
            <w:tcW w:w="1480" w:type="dxa"/>
            <w:vAlign w:val="bottom"/>
          </w:tcPr>
          <w:p>
            <w:pPr>
              <w:jc w:val="center"/>
              <w:spacing w:after="0"/>
              <w:rPr>
                <w:sz w:val="20"/>
                <w:szCs w:val="20"/>
                <w:color w:val="auto"/>
              </w:rPr>
            </w:pPr>
            <w:r>
              <w:rPr>
                <w:rFonts w:ascii="Arial" w:cs="Arial" w:eastAsia="Arial" w:hAnsi="Arial"/>
                <w:sz w:val="8"/>
                <w:szCs w:val="8"/>
                <w:color w:val="auto"/>
              </w:rPr>
              <w:t>37.21</w:t>
            </w:r>
          </w:p>
        </w:tc>
        <w:tc>
          <w:tcPr>
            <w:tcW w:w="1380" w:type="dxa"/>
            <w:vAlign w:val="bottom"/>
          </w:tcPr>
          <w:p>
            <w:pPr>
              <w:jc w:val="center"/>
              <w:ind w:left="39"/>
              <w:spacing w:after="0"/>
              <w:rPr>
                <w:sz w:val="20"/>
                <w:szCs w:val="20"/>
                <w:color w:val="auto"/>
              </w:rPr>
            </w:pPr>
            <w:r>
              <w:rPr>
                <w:rFonts w:ascii="Arial" w:cs="Arial" w:eastAsia="Arial" w:hAnsi="Arial"/>
                <w:sz w:val="8"/>
                <w:szCs w:val="8"/>
                <w:color w:val="auto"/>
              </w:rPr>
              <w:t>10.2%</w:t>
            </w:r>
          </w:p>
        </w:tc>
        <w:tc>
          <w:tcPr>
            <w:tcW w:w="1560" w:type="dxa"/>
            <w:vAlign w:val="bottom"/>
          </w:tcPr>
          <w:p>
            <w:pPr>
              <w:jc w:val="center"/>
              <w:spacing w:after="0"/>
              <w:rPr>
                <w:sz w:val="20"/>
                <w:szCs w:val="20"/>
                <w:color w:val="auto"/>
              </w:rPr>
            </w:pPr>
            <w:r>
              <w:rPr>
                <w:rFonts w:ascii="Arial" w:cs="Arial" w:eastAsia="Arial" w:hAnsi="Arial"/>
                <w:sz w:val="8"/>
                <w:szCs w:val="8"/>
                <w:color w:val="auto"/>
              </w:rPr>
              <w:t>24.6%</w:t>
            </w:r>
          </w:p>
        </w:tc>
        <w:tc>
          <w:tcPr>
            <w:tcW w:w="1320" w:type="dxa"/>
            <w:vAlign w:val="bottom"/>
          </w:tcPr>
          <w:p>
            <w:pPr>
              <w:jc w:val="center"/>
              <w:spacing w:after="0"/>
              <w:rPr>
                <w:sz w:val="20"/>
                <w:szCs w:val="20"/>
                <w:color w:val="auto"/>
              </w:rPr>
            </w:pPr>
            <w:r>
              <w:rPr>
                <w:rFonts w:ascii="Arial" w:cs="Arial" w:eastAsia="Arial" w:hAnsi="Arial"/>
                <w:sz w:val="8"/>
                <w:szCs w:val="8"/>
                <w:color w:val="auto"/>
              </w:rPr>
              <w:t>8.9</w:t>
            </w:r>
          </w:p>
        </w:tc>
        <w:tc>
          <w:tcPr>
            <w:tcW w:w="1540" w:type="dxa"/>
            <w:vAlign w:val="bottom"/>
          </w:tcPr>
          <w:p>
            <w:pPr>
              <w:jc w:val="center"/>
              <w:ind w:left="39"/>
              <w:spacing w:after="0"/>
              <w:rPr>
                <w:sz w:val="20"/>
                <w:szCs w:val="20"/>
                <w:color w:val="auto"/>
              </w:rPr>
            </w:pPr>
            <w:r>
              <w:rPr>
                <w:rFonts w:ascii="Arial" w:cs="Arial" w:eastAsia="Arial" w:hAnsi="Arial"/>
                <w:sz w:val="8"/>
                <w:szCs w:val="8"/>
                <w:color w:val="auto"/>
              </w:rPr>
              <w:t>39.99</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3rd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92</w:t>
            </w:r>
          </w:p>
        </w:tc>
        <w:tc>
          <w:tcPr>
            <w:tcW w:w="1020" w:type="dxa"/>
            <w:vAlign w:val="bottom"/>
          </w:tcPr>
          <w:p>
            <w:pPr>
              <w:jc w:val="center"/>
              <w:spacing w:after="0"/>
              <w:rPr>
                <w:sz w:val="20"/>
                <w:szCs w:val="20"/>
                <w:color w:val="auto"/>
              </w:rPr>
            </w:pPr>
            <w:r>
              <w:rPr>
                <w:rFonts w:ascii="Arial" w:cs="Arial" w:eastAsia="Arial" w:hAnsi="Arial"/>
                <w:sz w:val="8"/>
                <w:szCs w:val="8"/>
                <w:color w:val="auto"/>
              </w:rPr>
              <w:t>339</w:t>
            </w:r>
          </w:p>
        </w:tc>
        <w:tc>
          <w:tcPr>
            <w:tcW w:w="1480" w:type="dxa"/>
            <w:vAlign w:val="bottom"/>
          </w:tcPr>
          <w:p>
            <w:pPr>
              <w:jc w:val="center"/>
              <w:spacing w:after="0"/>
              <w:rPr>
                <w:sz w:val="20"/>
                <w:szCs w:val="20"/>
                <w:color w:val="auto"/>
              </w:rPr>
            </w:pPr>
            <w:r>
              <w:rPr>
                <w:rFonts w:ascii="Arial" w:cs="Arial" w:eastAsia="Arial" w:hAnsi="Arial"/>
                <w:sz w:val="8"/>
                <w:szCs w:val="8"/>
                <w:color w:val="auto"/>
              </w:rPr>
              <w:t>32.80</w:t>
            </w:r>
          </w:p>
        </w:tc>
        <w:tc>
          <w:tcPr>
            <w:tcW w:w="1380" w:type="dxa"/>
            <w:vAlign w:val="bottom"/>
          </w:tcPr>
          <w:p>
            <w:pPr>
              <w:jc w:val="center"/>
              <w:ind w:left="39"/>
              <w:spacing w:after="0"/>
              <w:rPr>
                <w:sz w:val="20"/>
                <w:szCs w:val="20"/>
                <w:color w:val="auto"/>
              </w:rPr>
            </w:pPr>
            <w:r>
              <w:rPr>
                <w:rFonts w:ascii="Arial" w:cs="Arial" w:eastAsia="Arial" w:hAnsi="Arial"/>
                <w:sz w:val="8"/>
                <w:szCs w:val="8"/>
                <w:color w:val="auto"/>
              </w:rPr>
              <w:t>28.3%</w:t>
            </w:r>
          </w:p>
        </w:tc>
        <w:tc>
          <w:tcPr>
            <w:tcW w:w="1560" w:type="dxa"/>
            <w:vAlign w:val="bottom"/>
          </w:tcPr>
          <w:p>
            <w:pPr>
              <w:jc w:val="center"/>
              <w:spacing w:after="0"/>
              <w:rPr>
                <w:sz w:val="20"/>
                <w:szCs w:val="20"/>
                <w:color w:val="auto"/>
              </w:rPr>
            </w:pPr>
            <w:r>
              <w:rPr>
                <w:rFonts w:ascii="Arial" w:cs="Arial" w:eastAsia="Arial" w:hAnsi="Arial"/>
                <w:sz w:val="8"/>
                <w:szCs w:val="8"/>
                <w:color w:val="auto"/>
              </w:rPr>
              <w:t>41.9%</w:t>
            </w:r>
          </w:p>
        </w:tc>
        <w:tc>
          <w:tcPr>
            <w:tcW w:w="1320" w:type="dxa"/>
            <w:vAlign w:val="bottom"/>
          </w:tcPr>
          <w:p>
            <w:pPr>
              <w:jc w:val="center"/>
              <w:spacing w:after="0"/>
              <w:rPr>
                <w:sz w:val="20"/>
                <w:szCs w:val="20"/>
                <w:color w:val="auto"/>
              </w:rPr>
            </w:pPr>
            <w:r>
              <w:rPr>
                <w:rFonts w:ascii="Arial" w:cs="Arial" w:eastAsia="Arial" w:hAnsi="Arial"/>
                <w:sz w:val="8"/>
                <w:szCs w:val="8"/>
                <w:color w:val="auto"/>
              </w:rPr>
              <w:t>10.7</w:t>
            </w:r>
          </w:p>
        </w:tc>
        <w:tc>
          <w:tcPr>
            <w:tcW w:w="1540" w:type="dxa"/>
            <w:vAlign w:val="bottom"/>
          </w:tcPr>
          <w:p>
            <w:pPr>
              <w:jc w:val="center"/>
              <w:ind w:left="39"/>
              <w:spacing w:after="0"/>
              <w:rPr>
                <w:sz w:val="20"/>
                <w:szCs w:val="20"/>
                <w:color w:val="auto"/>
              </w:rPr>
            </w:pPr>
            <w:r>
              <w:rPr>
                <w:rFonts w:ascii="Arial" w:cs="Arial" w:eastAsia="Arial" w:hAnsi="Arial"/>
                <w:sz w:val="8"/>
                <w:szCs w:val="8"/>
                <w:color w:val="auto"/>
              </w:rPr>
              <w:t>29.73</w:t>
            </w:r>
          </w:p>
        </w:tc>
      </w:tr>
      <w:tr>
        <w:trPr>
          <w:trHeight w:val="100"/>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rPr>
              <w:t>2nd Quarter 2025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102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307</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36.73</w:t>
            </w:r>
          </w:p>
        </w:tc>
        <w:tc>
          <w:tcPr>
            <w:tcW w:w="138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14.4%</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27.7%</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9.9</w:t>
            </w:r>
          </w:p>
        </w:tc>
        <w:tc>
          <w:tcPr>
            <w:tcW w:w="154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46.36</w:t>
            </w:r>
          </w:p>
        </w:tc>
      </w:tr>
      <w:tr>
        <w:trPr>
          <w:trHeight w:val="96"/>
        </w:trPr>
        <w:tc>
          <w:tcPr>
            <w:tcW w:w="1520" w:type="dxa"/>
            <w:vAlign w:val="bottom"/>
            <w:tcBorders>
              <w:bottom w:val="single" w:sz="8" w:color="auto"/>
            </w:tcBorders>
            <w:gridSpan w:val="2"/>
          </w:tcPr>
          <w:p>
            <w:pPr>
              <w:spacing w:after="0" w:line="89" w:lineRule="exact"/>
              <w:rPr>
                <w:sz w:val="20"/>
                <w:szCs w:val="20"/>
                <w:color w:val="auto"/>
              </w:rPr>
            </w:pPr>
            <w:r>
              <w:rPr>
                <w:rFonts w:ascii="Arial" w:cs="Arial" w:eastAsia="Arial" w:hAnsi="Arial"/>
                <w:sz w:val="8"/>
                <w:szCs w:val="8"/>
                <w:color w:val="auto"/>
              </w:rPr>
              <w:t>Total - 12 months</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382</w:t>
            </w:r>
          </w:p>
        </w:tc>
        <w:tc>
          <w:tcPr>
            <w:tcW w:w="10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w w:val="99"/>
              </w:rPr>
              <w:t>1,273</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$36.24</w:t>
            </w:r>
          </w:p>
        </w:tc>
        <w:tc>
          <w:tcPr>
            <w:tcW w:w="138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18.9%</w:t>
            </w:r>
          </w:p>
        </w:tc>
        <w:tc>
          <w:tcPr>
            <w:tcW w:w="156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33.3%</w:t>
            </w:r>
          </w:p>
        </w:tc>
        <w:tc>
          <w:tcPr>
            <w:tcW w:w="13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10.1</w:t>
            </w:r>
          </w:p>
        </w:tc>
        <w:tc>
          <w:tcPr>
            <w:tcW w:w="154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$40.06</w:t>
            </w:r>
          </w:p>
        </w:tc>
      </w:tr>
      <w:tr>
        <w:trPr>
          <w:trHeight w:val="262"/>
        </w:trPr>
        <w:tc>
          <w:tcPr>
            <w:tcW w:w="1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8"/>
                <w:szCs w:val="8"/>
                <w:color w:val="auto"/>
                <w:highlight w:val="black"/>
                <w:w w:val="99"/>
              </w:rPr>
              <w:t>GLA</w:t>
            </w:r>
          </w:p>
        </w:tc>
        <w:tc>
          <w:tcPr>
            <w:tcW w:w="14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ind w:left="140"/>
              <w:spacing w:after="0"/>
              <w:rPr>
                <w:sz w:val="20"/>
                <w:szCs w:val="20"/>
                <w:color w:val="auto"/>
              </w:rPr>
            </w:pPr>
            <w:r>
              <w:rPr>
                <w:rFonts w:ascii="Arial" w:cs="Arial" w:eastAsia="Arial" w:hAnsi="Arial"/>
                <w:sz w:val="8"/>
                <w:szCs w:val="8"/>
                <w:color w:val="auto"/>
              </w:rPr>
              <w:t>Tenant Allowance &amp; Landlord Work</w:t>
            </w:r>
          </w:p>
        </w:tc>
      </w:tr>
      <w:tr>
        <w:trPr>
          <w:trHeight w:val="100"/>
        </w:trPr>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8"/>
                <w:szCs w:val="8"/>
                <w:color w:val="auto"/>
                <w:highlight w:val="black"/>
              </w:rPr>
              <w:t>Renewals</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8"/>
                <w:szCs w:val="8"/>
                <w:color w:val="auto"/>
              </w:rPr>
              <w:t>Leasing Transactions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(in 000s)</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highlight w:val="black"/>
              </w:rPr>
              <w:t>New Base Rent/Sq. Ft</w:t>
            </w: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8"/>
                <w:szCs w:val="8"/>
                <w:color w:val="auto"/>
              </w:rPr>
              <w:t>Rent Spread % (Cash)</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Rent Spread % (Straight-lined)</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8"/>
                <w:szCs w:val="8"/>
                <w:color w:val="auto"/>
              </w:rPr>
              <w:t>Weighted Avg. Lease Term</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rPr>
              <w:t>/Sq. Ft.</w:t>
            </w:r>
          </w:p>
        </w:tc>
      </w:tr>
      <w:tr>
        <w:trPr>
          <w:trHeight w:val="88"/>
        </w:trPr>
        <w:tc>
          <w:tcPr>
            <w:tcW w:w="1520" w:type="dxa"/>
            <w:vAlign w:val="bottom"/>
            <w:gridSpan w:val="2"/>
          </w:tcPr>
          <w:p>
            <w:pPr>
              <w:spacing w:after="0" w:line="89" w:lineRule="exact"/>
              <w:rPr>
                <w:sz w:val="20"/>
                <w:szCs w:val="20"/>
                <w:color w:val="auto"/>
              </w:rPr>
            </w:pPr>
            <w:r>
              <w:rPr>
                <w:rFonts w:ascii="Arial" w:cs="Arial" w:eastAsia="Arial" w:hAnsi="Arial"/>
                <w:sz w:val="8"/>
                <w:szCs w:val="8"/>
                <w:color w:val="auto"/>
              </w:rPr>
              <w:t>1st Quarter 2026</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272</w:t>
            </w:r>
          </w:p>
        </w:tc>
        <w:tc>
          <w:tcPr>
            <w:tcW w:w="1020" w:type="dxa"/>
            <w:vAlign w:val="bottom"/>
          </w:tcPr>
          <w:p>
            <w:pPr>
              <w:jc w:val="center"/>
              <w:spacing w:after="0" w:line="89" w:lineRule="exact"/>
              <w:rPr>
                <w:sz w:val="20"/>
                <w:szCs w:val="20"/>
                <w:color w:val="auto"/>
              </w:rPr>
            </w:pPr>
            <w:r>
              <w:rPr>
                <w:rFonts w:ascii="Arial" w:cs="Arial" w:eastAsia="Arial" w:hAnsi="Arial"/>
                <w:sz w:val="8"/>
                <w:szCs w:val="8"/>
                <w:color w:val="auto"/>
                <w:w w:val="99"/>
              </w:rPr>
              <w:t>1,233</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$30.69</w:t>
            </w:r>
          </w:p>
        </w:tc>
        <w:tc>
          <w:tcPr>
            <w:tcW w:w="1380" w:type="dxa"/>
            <w:vAlign w:val="bottom"/>
          </w:tcPr>
          <w:p>
            <w:pPr>
              <w:jc w:val="center"/>
              <w:ind w:left="19"/>
              <w:spacing w:after="0" w:line="89" w:lineRule="exact"/>
              <w:rPr>
                <w:sz w:val="20"/>
                <w:szCs w:val="20"/>
                <w:color w:val="auto"/>
              </w:rPr>
            </w:pPr>
            <w:r>
              <w:rPr>
                <w:rFonts w:ascii="Arial" w:cs="Arial" w:eastAsia="Arial" w:hAnsi="Arial"/>
                <w:sz w:val="8"/>
                <w:szCs w:val="8"/>
                <w:color w:val="auto"/>
              </w:rPr>
              <w:t>8.6%</w:t>
            </w:r>
          </w:p>
        </w:tc>
        <w:tc>
          <w:tcPr>
            <w:tcW w:w="1560" w:type="dxa"/>
            <w:vAlign w:val="bottom"/>
          </w:tcPr>
          <w:p>
            <w:pPr>
              <w:jc w:val="center"/>
              <w:spacing w:after="0" w:line="89" w:lineRule="exact"/>
              <w:rPr>
                <w:sz w:val="20"/>
                <w:szCs w:val="20"/>
                <w:color w:val="auto"/>
              </w:rPr>
            </w:pPr>
            <w:r>
              <w:rPr>
                <w:rFonts w:ascii="Arial" w:cs="Arial" w:eastAsia="Arial" w:hAnsi="Arial"/>
                <w:sz w:val="8"/>
                <w:szCs w:val="8"/>
                <w:color w:val="auto"/>
              </w:rPr>
              <w:t>19.7%</w:t>
            </w:r>
          </w:p>
        </w:tc>
        <w:tc>
          <w:tcPr>
            <w:tcW w:w="1320" w:type="dxa"/>
            <w:vAlign w:val="bottom"/>
          </w:tcPr>
          <w:p>
            <w:pPr>
              <w:jc w:val="center"/>
              <w:spacing w:after="0" w:line="89" w:lineRule="exact"/>
              <w:rPr>
                <w:sz w:val="20"/>
                <w:szCs w:val="20"/>
                <w:color w:val="auto"/>
              </w:rPr>
            </w:pPr>
            <w:r>
              <w:rPr>
                <w:rFonts w:ascii="Arial" w:cs="Arial" w:eastAsia="Arial" w:hAnsi="Arial"/>
                <w:sz w:val="8"/>
                <w:szCs w:val="8"/>
                <w:color w:val="auto"/>
              </w:rPr>
              <w:t>5.2</w:t>
            </w:r>
          </w:p>
        </w:tc>
        <w:tc>
          <w:tcPr>
            <w:tcW w:w="1540" w:type="dxa"/>
            <w:vAlign w:val="bottom"/>
          </w:tcPr>
          <w:p>
            <w:pPr>
              <w:jc w:val="center"/>
              <w:ind w:left="39"/>
              <w:spacing w:after="0" w:line="89" w:lineRule="exact"/>
              <w:rPr>
                <w:sz w:val="20"/>
                <w:szCs w:val="20"/>
                <w:color w:val="auto"/>
              </w:rPr>
            </w:pPr>
            <w:r>
              <w:rPr>
                <w:rFonts w:ascii="Arial" w:cs="Arial" w:eastAsia="Arial" w:hAnsi="Arial"/>
                <w:sz w:val="8"/>
                <w:szCs w:val="8"/>
                <w:color w:val="auto"/>
              </w:rPr>
              <w:t>$1.41</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4th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271</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1,286</w:t>
            </w:r>
          </w:p>
        </w:tc>
        <w:tc>
          <w:tcPr>
            <w:tcW w:w="1480" w:type="dxa"/>
            <w:vAlign w:val="bottom"/>
          </w:tcPr>
          <w:p>
            <w:pPr>
              <w:jc w:val="center"/>
              <w:spacing w:after="0"/>
              <w:rPr>
                <w:sz w:val="20"/>
                <w:szCs w:val="20"/>
                <w:color w:val="auto"/>
              </w:rPr>
            </w:pPr>
            <w:r>
              <w:rPr>
                <w:rFonts w:ascii="Arial" w:cs="Arial" w:eastAsia="Arial" w:hAnsi="Arial"/>
                <w:sz w:val="8"/>
                <w:szCs w:val="8"/>
                <w:color w:val="auto"/>
              </w:rPr>
              <w:t>27.08</w:t>
            </w:r>
          </w:p>
        </w:tc>
        <w:tc>
          <w:tcPr>
            <w:tcW w:w="1380" w:type="dxa"/>
            <w:vAlign w:val="bottom"/>
          </w:tcPr>
          <w:p>
            <w:pPr>
              <w:jc w:val="center"/>
              <w:ind w:left="39"/>
              <w:spacing w:after="0"/>
              <w:rPr>
                <w:sz w:val="20"/>
                <w:szCs w:val="20"/>
                <w:color w:val="auto"/>
              </w:rPr>
            </w:pPr>
            <w:r>
              <w:rPr>
                <w:rFonts w:ascii="Arial" w:cs="Arial" w:eastAsia="Arial" w:hAnsi="Arial"/>
                <w:sz w:val="8"/>
                <w:szCs w:val="8"/>
                <w:color w:val="auto"/>
              </w:rPr>
              <w:t>12.6%</w:t>
            </w:r>
          </w:p>
        </w:tc>
        <w:tc>
          <w:tcPr>
            <w:tcW w:w="1560" w:type="dxa"/>
            <w:vAlign w:val="bottom"/>
          </w:tcPr>
          <w:p>
            <w:pPr>
              <w:jc w:val="center"/>
              <w:spacing w:after="0"/>
              <w:rPr>
                <w:sz w:val="20"/>
                <w:szCs w:val="20"/>
                <w:color w:val="auto"/>
              </w:rPr>
            </w:pPr>
            <w:r>
              <w:rPr>
                <w:rFonts w:ascii="Arial" w:cs="Arial" w:eastAsia="Arial" w:hAnsi="Arial"/>
                <w:sz w:val="8"/>
                <w:szCs w:val="8"/>
                <w:color w:val="auto"/>
              </w:rPr>
              <w:t>24.5%</w:t>
            </w:r>
          </w:p>
        </w:tc>
        <w:tc>
          <w:tcPr>
            <w:tcW w:w="1320" w:type="dxa"/>
            <w:vAlign w:val="bottom"/>
          </w:tcPr>
          <w:p>
            <w:pPr>
              <w:jc w:val="center"/>
              <w:spacing w:after="0"/>
              <w:rPr>
                <w:sz w:val="20"/>
                <w:szCs w:val="20"/>
                <w:color w:val="auto"/>
              </w:rPr>
            </w:pPr>
            <w:r>
              <w:rPr>
                <w:rFonts w:ascii="Arial" w:cs="Arial" w:eastAsia="Arial" w:hAnsi="Arial"/>
                <w:sz w:val="8"/>
                <w:szCs w:val="8"/>
                <w:color w:val="auto"/>
              </w:rPr>
              <w:t>6.2</w:t>
            </w:r>
          </w:p>
        </w:tc>
        <w:tc>
          <w:tcPr>
            <w:tcW w:w="1540" w:type="dxa"/>
            <w:vAlign w:val="bottom"/>
          </w:tcPr>
          <w:p>
            <w:pPr>
              <w:jc w:val="center"/>
              <w:ind w:left="59"/>
              <w:spacing w:after="0"/>
              <w:rPr>
                <w:sz w:val="20"/>
                <w:szCs w:val="20"/>
                <w:color w:val="auto"/>
              </w:rPr>
            </w:pPr>
            <w:r>
              <w:rPr>
                <w:rFonts w:ascii="Arial" w:cs="Arial" w:eastAsia="Arial" w:hAnsi="Arial"/>
                <w:sz w:val="8"/>
                <w:szCs w:val="8"/>
                <w:color w:val="auto"/>
              </w:rPr>
              <w:t>0.59</w:t>
            </w:r>
          </w:p>
        </w:tc>
      </w:tr>
      <w:tr>
        <w:trPr>
          <w:trHeight w:val="99"/>
        </w:trPr>
        <w:tc>
          <w:tcPr>
            <w:tcW w:w="1520" w:type="dxa"/>
            <w:vAlign w:val="bottom"/>
            <w:gridSpan w:val="2"/>
          </w:tcPr>
          <w:p>
            <w:pPr>
              <w:spacing w:after="0"/>
              <w:rPr>
                <w:sz w:val="20"/>
                <w:szCs w:val="20"/>
                <w:color w:val="auto"/>
              </w:rPr>
            </w:pPr>
            <w:r>
              <w:rPr>
                <w:rFonts w:ascii="Arial" w:cs="Arial" w:eastAsia="Arial" w:hAnsi="Arial"/>
                <w:sz w:val="8"/>
                <w:szCs w:val="8"/>
                <w:color w:val="auto"/>
              </w:rPr>
              <w:t>3rd Quarter 2025</w:t>
            </w:r>
          </w:p>
        </w:tc>
        <w:tc>
          <w:tcPr>
            <w:tcW w:w="1480" w:type="dxa"/>
            <w:vAlign w:val="bottom"/>
          </w:tcPr>
          <w:p>
            <w:pPr>
              <w:jc w:val="center"/>
              <w:spacing w:after="0"/>
              <w:rPr>
                <w:sz w:val="20"/>
                <w:szCs w:val="20"/>
                <w:color w:val="auto"/>
              </w:rPr>
            </w:pPr>
            <w:r>
              <w:rPr>
                <w:rFonts w:ascii="Arial" w:cs="Arial" w:eastAsia="Arial" w:hAnsi="Arial"/>
                <w:sz w:val="8"/>
                <w:szCs w:val="8"/>
                <w:color w:val="auto"/>
              </w:rPr>
              <w:t>274</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1,481</w:t>
            </w:r>
          </w:p>
        </w:tc>
        <w:tc>
          <w:tcPr>
            <w:tcW w:w="1480" w:type="dxa"/>
            <w:vAlign w:val="bottom"/>
          </w:tcPr>
          <w:p>
            <w:pPr>
              <w:jc w:val="center"/>
              <w:spacing w:after="0"/>
              <w:rPr>
                <w:sz w:val="20"/>
                <w:szCs w:val="20"/>
                <w:color w:val="auto"/>
              </w:rPr>
            </w:pPr>
            <w:r>
              <w:rPr>
                <w:rFonts w:ascii="Arial" w:cs="Arial" w:eastAsia="Arial" w:hAnsi="Arial"/>
                <w:sz w:val="8"/>
                <w:szCs w:val="8"/>
                <w:color w:val="auto"/>
              </w:rPr>
              <w:t>26.80</w:t>
            </w:r>
          </w:p>
        </w:tc>
        <w:tc>
          <w:tcPr>
            <w:tcW w:w="1380" w:type="dxa"/>
            <w:vAlign w:val="bottom"/>
          </w:tcPr>
          <w:p>
            <w:pPr>
              <w:jc w:val="center"/>
              <w:ind w:left="19"/>
              <w:spacing w:after="0"/>
              <w:rPr>
                <w:sz w:val="20"/>
                <w:szCs w:val="20"/>
                <w:color w:val="auto"/>
              </w:rPr>
            </w:pPr>
            <w:r>
              <w:rPr>
                <w:rFonts w:ascii="Arial" w:cs="Arial" w:eastAsia="Arial" w:hAnsi="Arial"/>
                <w:sz w:val="8"/>
                <w:szCs w:val="8"/>
                <w:color w:val="auto"/>
              </w:rPr>
              <w:t>9.3%</w:t>
            </w:r>
          </w:p>
        </w:tc>
        <w:tc>
          <w:tcPr>
            <w:tcW w:w="1560" w:type="dxa"/>
            <w:vAlign w:val="bottom"/>
          </w:tcPr>
          <w:p>
            <w:pPr>
              <w:jc w:val="center"/>
              <w:spacing w:after="0"/>
              <w:rPr>
                <w:sz w:val="20"/>
                <w:szCs w:val="20"/>
                <w:color w:val="auto"/>
              </w:rPr>
            </w:pPr>
            <w:r>
              <w:rPr>
                <w:rFonts w:ascii="Arial" w:cs="Arial" w:eastAsia="Arial" w:hAnsi="Arial"/>
                <w:sz w:val="8"/>
                <w:szCs w:val="8"/>
                <w:color w:val="auto"/>
              </w:rPr>
              <w:t>18.3%</w:t>
            </w:r>
          </w:p>
        </w:tc>
        <w:tc>
          <w:tcPr>
            <w:tcW w:w="1320" w:type="dxa"/>
            <w:vAlign w:val="bottom"/>
          </w:tcPr>
          <w:p>
            <w:pPr>
              <w:jc w:val="center"/>
              <w:spacing w:after="0"/>
              <w:rPr>
                <w:sz w:val="20"/>
                <w:szCs w:val="20"/>
                <w:color w:val="auto"/>
              </w:rPr>
            </w:pPr>
            <w:r>
              <w:rPr>
                <w:rFonts w:ascii="Arial" w:cs="Arial" w:eastAsia="Arial" w:hAnsi="Arial"/>
                <w:sz w:val="8"/>
                <w:szCs w:val="8"/>
                <w:color w:val="auto"/>
              </w:rPr>
              <w:t>5.7</w:t>
            </w:r>
          </w:p>
        </w:tc>
        <w:tc>
          <w:tcPr>
            <w:tcW w:w="1540" w:type="dxa"/>
            <w:vAlign w:val="bottom"/>
          </w:tcPr>
          <w:p>
            <w:pPr>
              <w:jc w:val="center"/>
              <w:ind w:left="59"/>
              <w:spacing w:after="0"/>
              <w:rPr>
                <w:sz w:val="20"/>
                <w:szCs w:val="20"/>
                <w:color w:val="auto"/>
              </w:rPr>
            </w:pPr>
            <w:r>
              <w:rPr>
                <w:rFonts w:ascii="Arial" w:cs="Arial" w:eastAsia="Arial" w:hAnsi="Arial"/>
                <w:sz w:val="8"/>
                <w:szCs w:val="8"/>
                <w:color w:val="auto"/>
              </w:rPr>
              <w:t>1.13</w:t>
            </w:r>
          </w:p>
        </w:tc>
      </w:tr>
      <w:tr>
        <w:trPr>
          <w:trHeight w:val="100"/>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rPr>
              <w:t>2nd Quarter 2025</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320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1,608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24.54</w:t>
            </w:r>
          </w:p>
        </w:tc>
        <w:tc>
          <w:tcPr>
            <w:tcW w:w="1380" w:type="dxa"/>
            <w:vAlign w:val="bottom"/>
            <w:tcBorders>
              <w:bottom w:val="single" w:sz="8" w:color="auto"/>
            </w:tcBorders>
          </w:tcPr>
          <w:p>
            <w:pPr>
              <w:jc w:val="center"/>
              <w:ind w:left="19"/>
              <w:spacing w:after="0"/>
              <w:rPr>
                <w:sz w:val="20"/>
                <w:szCs w:val="20"/>
                <w:color w:val="auto"/>
              </w:rPr>
            </w:pPr>
            <w:r>
              <w:rPr>
                <w:rFonts w:ascii="Arial" w:cs="Arial" w:eastAsia="Arial" w:hAnsi="Arial"/>
                <w:sz w:val="8"/>
                <w:szCs w:val="8"/>
                <w:color w:val="auto"/>
              </w:rPr>
              <w:t>8.9%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17.2%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5.3</w:t>
            </w:r>
          </w:p>
        </w:tc>
        <w:tc>
          <w:tcPr>
            <w:tcW w:w="1540" w:type="dxa"/>
            <w:vAlign w:val="bottom"/>
            <w:tcBorders>
              <w:bottom w:val="single" w:sz="8" w:color="auto"/>
            </w:tcBorders>
          </w:tcPr>
          <w:p>
            <w:pPr>
              <w:jc w:val="center"/>
              <w:ind w:left="59"/>
              <w:spacing w:after="0"/>
              <w:rPr>
                <w:sz w:val="20"/>
                <w:szCs w:val="20"/>
                <w:color w:val="auto"/>
              </w:rPr>
            </w:pPr>
            <w:r>
              <w:rPr>
                <w:rFonts w:ascii="Arial" w:cs="Arial" w:eastAsia="Arial" w:hAnsi="Arial"/>
                <w:sz w:val="8"/>
                <w:szCs w:val="8"/>
                <w:color w:val="auto"/>
              </w:rPr>
              <w:t>0.64</w:t>
            </w:r>
          </w:p>
        </w:tc>
      </w:tr>
      <w:tr>
        <w:trPr>
          <w:trHeight w:val="96"/>
        </w:trPr>
        <w:tc>
          <w:tcPr>
            <w:tcW w:w="1520" w:type="dxa"/>
            <w:vAlign w:val="bottom"/>
            <w:tcBorders>
              <w:bottom w:val="single" w:sz="8" w:color="auto"/>
            </w:tcBorders>
            <w:gridSpan w:val="2"/>
          </w:tcPr>
          <w:p>
            <w:pPr>
              <w:spacing w:after="0" w:line="89" w:lineRule="exact"/>
              <w:rPr>
                <w:sz w:val="20"/>
                <w:szCs w:val="20"/>
                <w:color w:val="auto"/>
              </w:rPr>
            </w:pPr>
            <w:r>
              <w:rPr>
                <w:rFonts w:ascii="Arial" w:cs="Arial" w:eastAsia="Arial" w:hAnsi="Arial"/>
                <w:sz w:val="8"/>
                <w:szCs w:val="8"/>
                <w:color w:val="auto"/>
              </w:rPr>
              <w:t>Total - 12 months</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1,137</w:t>
            </w:r>
          </w:p>
        </w:tc>
        <w:tc>
          <w:tcPr>
            <w:tcW w:w="10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w w:val="99"/>
              </w:rPr>
              <w:t>5,608</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$27.08</w:t>
            </w:r>
          </w:p>
        </w:tc>
        <w:tc>
          <w:tcPr>
            <w:tcW w:w="1380" w:type="dxa"/>
            <w:vAlign w:val="bottom"/>
            <w:tcBorders>
              <w:bottom w:val="single" w:sz="8" w:color="auto"/>
            </w:tcBorders>
          </w:tcPr>
          <w:p>
            <w:pPr>
              <w:jc w:val="center"/>
              <w:ind w:left="19"/>
              <w:spacing w:after="0" w:line="89" w:lineRule="exact"/>
              <w:rPr>
                <w:sz w:val="20"/>
                <w:szCs w:val="20"/>
                <w:color w:val="auto"/>
              </w:rPr>
            </w:pPr>
            <w:r>
              <w:rPr>
                <w:rFonts w:ascii="Arial" w:cs="Arial" w:eastAsia="Arial" w:hAnsi="Arial"/>
                <w:sz w:val="8"/>
                <w:szCs w:val="8"/>
                <w:color w:val="auto"/>
              </w:rPr>
              <w:t>9.8%</w:t>
            </w:r>
          </w:p>
        </w:tc>
        <w:tc>
          <w:tcPr>
            <w:tcW w:w="156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19.8%</w:t>
            </w:r>
          </w:p>
        </w:tc>
        <w:tc>
          <w:tcPr>
            <w:tcW w:w="13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5.6</w:t>
            </w:r>
          </w:p>
        </w:tc>
        <w:tc>
          <w:tcPr>
            <w:tcW w:w="154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-1559560</wp:posOffset>
            </wp:positionV>
            <wp:extent cx="233680" cy="793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3680" cy="79375"/>
                    </a:xfrm>
                    <a:prstGeom prst="rect">
                      <a:avLst/>
                    </a:prstGeom>
                    <a:noFill/>
                  </pic:spPr>
                </pic:pic>
              </a:graphicData>
            </a:graphic>
          </wp:anchor>
        </w:drawing>
        <w:drawing>
          <wp:anchor simplePos="0" relativeHeight="251657728" behindDoc="1" locked="0" layoutInCell="0" allowOverlap="1">
            <wp:simplePos x="0" y="0"/>
            <wp:positionH relativeFrom="column">
              <wp:posOffset>6616700</wp:posOffset>
            </wp:positionH>
            <wp:positionV relativeFrom="paragraph">
              <wp:posOffset>-1559560</wp:posOffset>
            </wp:positionV>
            <wp:extent cx="198755" cy="793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8755" cy="7937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-985520</wp:posOffset>
            </wp:positionV>
            <wp:extent cx="233680" cy="79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3680" cy="79375"/>
                    </a:xfrm>
                    <a:prstGeom prst="rect">
                      <a:avLst/>
                    </a:prstGeom>
                    <a:noFill/>
                  </pic:spPr>
                </pic:pic>
              </a:graphicData>
            </a:graphic>
          </wp:anchor>
        </w:drawing>
        <w:drawing>
          <wp:anchor simplePos="0" relativeHeight="251657728" behindDoc="1" locked="0" layoutInCell="0" allowOverlap="1">
            <wp:simplePos x="0" y="0"/>
            <wp:positionH relativeFrom="column">
              <wp:posOffset>6616700</wp:posOffset>
            </wp:positionH>
            <wp:positionV relativeFrom="paragraph">
              <wp:posOffset>-985520</wp:posOffset>
            </wp:positionV>
            <wp:extent cx="198755" cy="79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8755" cy="79375"/>
                    </a:xfrm>
                    <a:prstGeom prst="rect">
                      <a:avLst/>
                    </a:prstGeom>
                    <a:noFill/>
                  </pic:spPr>
                </pic:pic>
              </a:graphicData>
            </a:graphic>
          </wp:anchor>
        </w:drawing>
        <w:drawing>
          <wp:anchor simplePos="0" relativeHeight="251657728" behindDoc="1" locked="0" layoutInCell="0" allowOverlap="1">
            <wp:simplePos x="0" y="0"/>
            <wp:positionH relativeFrom="column">
              <wp:posOffset>2123440</wp:posOffset>
            </wp:positionH>
            <wp:positionV relativeFrom="paragraph">
              <wp:posOffset>-410845</wp:posOffset>
            </wp:positionV>
            <wp:extent cx="233680" cy="793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3680" cy="79375"/>
                    </a:xfrm>
                    <a:prstGeom prst="rect">
                      <a:avLst/>
                    </a:prstGeom>
                    <a:noFill/>
                  </pic:spPr>
                </pic:pic>
              </a:graphicData>
            </a:graphic>
          </wp:anchor>
        </w:drawing>
        <w:drawing>
          <wp:anchor simplePos="0" relativeHeight="251657728" behindDoc="1" locked="0" layoutInCell="0" allowOverlap="1">
            <wp:simplePos x="0" y="0"/>
            <wp:positionH relativeFrom="column">
              <wp:posOffset>6616700</wp:posOffset>
            </wp:positionH>
            <wp:positionV relativeFrom="paragraph">
              <wp:posOffset>-410845</wp:posOffset>
            </wp:positionV>
            <wp:extent cx="198755" cy="793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8755" cy="79375"/>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1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8"/>
                <w:szCs w:val="8"/>
                <w:color w:val="auto"/>
              </w:rPr>
              <w:t>Leasing Statistics - Comparable and Non-comparable</w:t>
            </w: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88"/>
        </w:trPr>
        <w:tc>
          <w:tcPr>
            <w:tcW w:w="1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jc w:val="center"/>
              <w:spacing w:after="0" w:line="88" w:lineRule="exact"/>
              <w:rPr>
                <w:sz w:val="20"/>
                <w:szCs w:val="20"/>
                <w:color w:val="auto"/>
              </w:rPr>
            </w:pPr>
            <w:r>
              <w:rPr>
                <w:rFonts w:ascii="Arial" w:cs="Arial" w:eastAsia="Arial" w:hAnsi="Arial"/>
                <w:sz w:val="8"/>
                <w:szCs w:val="8"/>
                <w:color w:val="auto"/>
                <w:highlight w:val="black"/>
                <w:w w:val="99"/>
              </w:rPr>
              <w:t>GLA</w:t>
            </w:r>
          </w:p>
        </w:tc>
        <w:tc>
          <w:tcPr>
            <w:tcW w:w="1480" w:type="dxa"/>
            <w:vAlign w:val="bottom"/>
          </w:tcPr>
          <w:p>
            <w:pPr>
              <w:spacing w:after="0"/>
              <w:rPr>
                <w:sz w:val="7"/>
                <w:szCs w:val="7"/>
                <w:color w:val="auto"/>
              </w:rPr>
            </w:pPr>
          </w:p>
        </w:tc>
      </w:tr>
      <w:tr>
        <w:trPr>
          <w:trHeight w:val="100"/>
        </w:trPr>
        <w:tc>
          <w:tcPr>
            <w:tcW w:w="136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highlight w:val="black"/>
              </w:rPr>
              <w:t>Total</w:t>
            </w:r>
          </w:p>
        </w:tc>
        <w:tc>
          <w:tcPr>
            <w:tcW w:w="1640" w:type="dxa"/>
            <w:vAlign w:val="bottom"/>
            <w:tcBorders>
              <w:bottom w:val="single" w:sz="8" w:color="auto"/>
            </w:tcBorders>
            <w:gridSpan w:val="2"/>
          </w:tcPr>
          <w:p>
            <w:pPr>
              <w:ind w:left="520"/>
              <w:spacing w:after="0"/>
              <w:rPr>
                <w:sz w:val="20"/>
                <w:szCs w:val="20"/>
                <w:color w:val="auto"/>
              </w:rPr>
            </w:pPr>
            <w:r>
              <w:rPr>
                <w:rFonts w:ascii="Arial" w:cs="Arial" w:eastAsia="Arial" w:hAnsi="Arial"/>
                <w:sz w:val="8"/>
                <w:szCs w:val="8"/>
                <w:color w:val="auto"/>
              </w:rPr>
              <w:t>Leasing Transactions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(in 000s)</w:t>
            </w: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8"/>
                <w:szCs w:val="8"/>
                <w:color w:val="auto"/>
                <w:highlight w:val="black"/>
              </w:rPr>
              <w:t>New Base Rent/Sq. Ft</w:t>
            </w:r>
          </w:p>
        </w:tc>
      </w:tr>
      <w:tr>
        <w:trPr>
          <w:trHeight w:val="88"/>
        </w:trPr>
        <w:tc>
          <w:tcPr>
            <w:tcW w:w="1360" w:type="dxa"/>
            <w:vAlign w:val="bottom"/>
          </w:tcPr>
          <w:p>
            <w:pPr>
              <w:spacing w:after="0" w:line="89" w:lineRule="exact"/>
              <w:rPr>
                <w:sz w:val="20"/>
                <w:szCs w:val="20"/>
                <w:color w:val="auto"/>
              </w:rPr>
            </w:pPr>
            <w:r>
              <w:rPr>
                <w:rFonts w:ascii="Arial" w:cs="Arial" w:eastAsia="Arial" w:hAnsi="Arial"/>
                <w:sz w:val="8"/>
                <w:szCs w:val="8"/>
                <w:color w:val="auto"/>
              </w:rPr>
              <w:t>1st Quarter 2026</w:t>
            </w:r>
          </w:p>
        </w:tc>
        <w:tc>
          <w:tcPr>
            <w:tcW w:w="1640" w:type="dxa"/>
            <w:vAlign w:val="bottom"/>
            <w:gridSpan w:val="2"/>
          </w:tcPr>
          <w:p>
            <w:pPr>
              <w:jc w:val="center"/>
              <w:ind w:left="139"/>
              <w:spacing w:after="0" w:line="89" w:lineRule="exact"/>
              <w:rPr>
                <w:sz w:val="20"/>
                <w:szCs w:val="20"/>
                <w:color w:val="auto"/>
              </w:rPr>
            </w:pPr>
            <w:r>
              <w:rPr>
                <w:rFonts w:ascii="Arial" w:cs="Arial" w:eastAsia="Arial" w:hAnsi="Arial"/>
                <w:sz w:val="8"/>
                <w:szCs w:val="8"/>
                <w:color w:val="auto"/>
              </w:rPr>
              <w:t>433</w:t>
            </w:r>
          </w:p>
        </w:tc>
        <w:tc>
          <w:tcPr>
            <w:tcW w:w="1020" w:type="dxa"/>
            <w:vAlign w:val="bottom"/>
          </w:tcPr>
          <w:p>
            <w:pPr>
              <w:jc w:val="center"/>
              <w:spacing w:after="0" w:line="89" w:lineRule="exact"/>
              <w:rPr>
                <w:sz w:val="20"/>
                <w:szCs w:val="20"/>
                <w:color w:val="auto"/>
              </w:rPr>
            </w:pPr>
            <w:r>
              <w:rPr>
                <w:rFonts w:ascii="Arial" w:cs="Arial" w:eastAsia="Arial" w:hAnsi="Arial"/>
                <w:sz w:val="8"/>
                <w:szCs w:val="8"/>
                <w:color w:val="auto"/>
                <w:w w:val="99"/>
              </w:rPr>
              <w:t>1,788</w:t>
            </w:r>
          </w:p>
        </w:tc>
        <w:tc>
          <w:tcPr>
            <w:tcW w:w="1480" w:type="dxa"/>
            <w:vAlign w:val="bottom"/>
          </w:tcPr>
          <w:p>
            <w:pPr>
              <w:jc w:val="center"/>
              <w:spacing w:after="0" w:line="89" w:lineRule="exact"/>
              <w:rPr>
                <w:sz w:val="20"/>
                <w:szCs w:val="20"/>
                <w:color w:val="auto"/>
              </w:rPr>
            </w:pPr>
            <w:r>
              <w:rPr>
                <w:rFonts w:ascii="Arial" w:cs="Arial" w:eastAsia="Arial" w:hAnsi="Arial"/>
                <w:sz w:val="8"/>
                <w:szCs w:val="8"/>
                <w:color w:val="auto"/>
              </w:rPr>
              <w:t>$31.22</w:t>
            </w:r>
          </w:p>
        </w:tc>
      </w:tr>
      <w:tr>
        <w:trPr>
          <w:trHeight w:val="99"/>
        </w:trPr>
        <w:tc>
          <w:tcPr>
            <w:tcW w:w="1360" w:type="dxa"/>
            <w:vAlign w:val="bottom"/>
          </w:tcPr>
          <w:p>
            <w:pPr>
              <w:spacing w:after="0"/>
              <w:rPr>
                <w:sz w:val="20"/>
                <w:szCs w:val="20"/>
                <w:color w:val="auto"/>
              </w:rPr>
            </w:pPr>
            <w:r>
              <w:rPr>
                <w:rFonts w:ascii="Arial" w:cs="Arial" w:eastAsia="Arial" w:hAnsi="Arial"/>
                <w:sz w:val="8"/>
                <w:szCs w:val="8"/>
                <w:color w:val="auto"/>
              </w:rPr>
              <w:t>4th Quarter 2025</w:t>
            </w:r>
          </w:p>
        </w:tc>
        <w:tc>
          <w:tcPr>
            <w:tcW w:w="1640" w:type="dxa"/>
            <w:vAlign w:val="bottom"/>
            <w:gridSpan w:val="2"/>
          </w:tcPr>
          <w:p>
            <w:pPr>
              <w:jc w:val="center"/>
              <w:ind w:left="139"/>
              <w:spacing w:after="0"/>
              <w:rPr>
                <w:sz w:val="20"/>
                <w:szCs w:val="20"/>
                <w:color w:val="auto"/>
              </w:rPr>
            </w:pPr>
            <w:r>
              <w:rPr>
                <w:rFonts w:ascii="Arial" w:cs="Arial" w:eastAsia="Arial" w:hAnsi="Arial"/>
                <w:sz w:val="8"/>
                <w:szCs w:val="8"/>
                <w:color w:val="auto"/>
              </w:rPr>
              <w:t>448</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1,959</w:t>
            </w:r>
          </w:p>
        </w:tc>
        <w:tc>
          <w:tcPr>
            <w:tcW w:w="1480" w:type="dxa"/>
            <w:vAlign w:val="bottom"/>
          </w:tcPr>
          <w:p>
            <w:pPr>
              <w:jc w:val="center"/>
              <w:spacing w:after="0"/>
              <w:rPr>
                <w:sz w:val="20"/>
                <w:szCs w:val="20"/>
                <w:color w:val="auto"/>
              </w:rPr>
            </w:pPr>
            <w:r>
              <w:rPr>
                <w:rFonts w:ascii="Arial" w:cs="Arial" w:eastAsia="Arial" w:hAnsi="Arial"/>
                <w:sz w:val="8"/>
                <w:szCs w:val="8"/>
                <w:color w:val="auto"/>
              </w:rPr>
              <w:t>29.84</w:t>
            </w:r>
          </w:p>
        </w:tc>
      </w:tr>
      <w:tr>
        <w:trPr>
          <w:trHeight w:val="99"/>
        </w:trPr>
        <w:tc>
          <w:tcPr>
            <w:tcW w:w="1360" w:type="dxa"/>
            <w:vAlign w:val="bottom"/>
          </w:tcPr>
          <w:p>
            <w:pPr>
              <w:spacing w:after="0"/>
              <w:rPr>
                <w:sz w:val="20"/>
                <w:szCs w:val="20"/>
                <w:color w:val="auto"/>
              </w:rPr>
            </w:pPr>
            <w:r>
              <w:rPr>
                <w:rFonts w:ascii="Arial" w:cs="Arial" w:eastAsia="Arial" w:hAnsi="Arial"/>
                <w:sz w:val="8"/>
                <w:szCs w:val="8"/>
                <w:color w:val="auto"/>
              </w:rPr>
              <w:t>3rd Quarter 2025</w:t>
            </w:r>
          </w:p>
        </w:tc>
        <w:tc>
          <w:tcPr>
            <w:tcW w:w="1640" w:type="dxa"/>
            <w:vAlign w:val="bottom"/>
            <w:gridSpan w:val="2"/>
          </w:tcPr>
          <w:p>
            <w:pPr>
              <w:jc w:val="center"/>
              <w:ind w:left="139"/>
              <w:spacing w:after="0"/>
              <w:rPr>
                <w:sz w:val="20"/>
                <w:szCs w:val="20"/>
                <w:color w:val="auto"/>
              </w:rPr>
            </w:pPr>
            <w:r>
              <w:rPr>
                <w:rFonts w:ascii="Arial" w:cs="Arial" w:eastAsia="Arial" w:hAnsi="Arial"/>
                <w:sz w:val="8"/>
                <w:szCs w:val="8"/>
                <w:color w:val="auto"/>
              </w:rPr>
              <w:t>452</w:t>
            </w:r>
          </w:p>
        </w:tc>
        <w:tc>
          <w:tcPr>
            <w:tcW w:w="1020" w:type="dxa"/>
            <w:vAlign w:val="bottom"/>
          </w:tcPr>
          <w:p>
            <w:pPr>
              <w:jc w:val="center"/>
              <w:spacing w:after="0"/>
              <w:rPr>
                <w:sz w:val="20"/>
                <w:szCs w:val="20"/>
                <w:color w:val="auto"/>
              </w:rPr>
            </w:pPr>
            <w:r>
              <w:rPr>
                <w:rFonts w:ascii="Arial" w:cs="Arial" w:eastAsia="Arial" w:hAnsi="Arial"/>
                <w:sz w:val="8"/>
                <w:szCs w:val="8"/>
                <w:color w:val="auto"/>
                <w:w w:val="99"/>
              </w:rPr>
              <w:t>2,265</w:t>
            </w:r>
          </w:p>
        </w:tc>
        <w:tc>
          <w:tcPr>
            <w:tcW w:w="1480" w:type="dxa"/>
            <w:vAlign w:val="bottom"/>
          </w:tcPr>
          <w:p>
            <w:pPr>
              <w:jc w:val="center"/>
              <w:spacing w:after="0"/>
              <w:rPr>
                <w:sz w:val="20"/>
                <w:szCs w:val="20"/>
                <w:color w:val="auto"/>
              </w:rPr>
            </w:pPr>
            <w:r>
              <w:rPr>
                <w:rFonts w:ascii="Arial" w:cs="Arial" w:eastAsia="Arial" w:hAnsi="Arial"/>
                <w:sz w:val="8"/>
                <w:szCs w:val="8"/>
                <w:color w:val="auto"/>
              </w:rPr>
              <w:t>25.92</w:t>
            </w:r>
          </w:p>
        </w:tc>
      </w:tr>
      <w:tr>
        <w:trPr>
          <w:trHeight w:val="100"/>
        </w:trPr>
        <w:tc>
          <w:tcPr>
            <w:tcW w:w="13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2nd Quarter 2025</w:t>
            </w:r>
          </w:p>
        </w:tc>
        <w:tc>
          <w:tcPr>
            <w:tcW w:w="16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8"/>
                <w:szCs w:val="8"/>
                <w:color w:val="auto"/>
              </w:rPr>
              <w:t>491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2,098</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27.28</w:t>
            </w:r>
          </w:p>
        </w:tc>
      </w:tr>
      <w:tr>
        <w:trPr>
          <w:trHeight w:val="96"/>
        </w:trPr>
        <w:tc>
          <w:tcPr>
            <w:tcW w:w="1360" w:type="dxa"/>
            <w:vAlign w:val="bottom"/>
            <w:tcBorders>
              <w:bottom w:val="single" w:sz="8" w:color="auto"/>
            </w:tcBorders>
          </w:tcPr>
          <w:p>
            <w:pPr>
              <w:spacing w:after="0" w:line="89" w:lineRule="exact"/>
              <w:rPr>
                <w:sz w:val="20"/>
                <w:szCs w:val="20"/>
                <w:color w:val="auto"/>
              </w:rPr>
            </w:pPr>
            <w:r>
              <w:rPr>
                <w:rFonts w:ascii="Arial" w:cs="Arial" w:eastAsia="Arial" w:hAnsi="Arial"/>
                <w:sz w:val="8"/>
                <w:szCs w:val="8"/>
                <w:color w:val="auto"/>
              </w:rPr>
              <w:t>Total - 12 months</w:t>
            </w:r>
          </w:p>
        </w:tc>
        <w:tc>
          <w:tcPr>
            <w:tcW w:w="1640" w:type="dxa"/>
            <w:vAlign w:val="bottom"/>
            <w:tcBorders>
              <w:bottom w:val="single" w:sz="8" w:color="auto"/>
            </w:tcBorders>
            <w:gridSpan w:val="2"/>
          </w:tcPr>
          <w:p>
            <w:pPr>
              <w:jc w:val="center"/>
              <w:ind w:left="139"/>
              <w:spacing w:after="0" w:line="89" w:lineRule="exact"/>
              <w:rPr>
                <w:sz w:val="20"/>
                <w:szCs w:val="20"/>
                <w:color w:val="auto"/>
              </w:rPr>
            </w:pPr>
            <w:r>
              <w:rPr>
                <w:rFonts w:ascii="Arial" w:cs="Arial" w:eastAsia="Arial" w:hAnsi="Arial"/>
                <w:sz w:val="8"/>
                <w:szCs w:val="8"/>
                <w:color w:val="auto"/>
              </w:rPr>
              <w:t>1,824</w:t>
            </w:r>
          </w:p>
        </w:tc>
        <w:tc>
          <w:tcPr>
            <w:tcW w:w="102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w w:val="99"/>
              </w:rPr>
              <w:t>8,110</w:t>
            </w:r>
          </w:p>
        </w:tc>
        <w:tc>
          <w:tcPr>
            <w:tcW w:w="1480" w:type="dxa"/>
            <w:vAlign w:val="bottom"/>
            <w:tcBorders>
              <w:bottom w:val="single" w:sz="8" w:color="auto"/>
            </w:tcBorders>
          </w:tcPr>
          <w:p>
            <w:pPr>
              <w:jc w:val="center"/>
              <w:spacing w:after="0" w:line="89" w:lineRule="exact"/>
              <w:rPr>
                <w:sz w:val="20"/>
                <w:szCs w:val="20"/>
                <w:color w:val="auto"/>
              </w:rPr>
            </w:pPr>
            <w:r>
              <w:rPr>
                <w:rFonts w:ascii="Arial" w:cs="Arial" w:eastAsia="Arial" w:hAnsi="Arial"/>
                <w:sz w:val="8"/>
                <w:szCs w:val="8"/>
                <w:color w:val="auto"/>
              </w:rPr>
              <w:t>$28.42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-410845</wp:posOffset>
            </wp:positionV>
            <wp:extent cx="233680" cy="793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3680" cy="793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1360" w:type="dxa"/>
            <w:vAlign w:val="bottom"/>
          </w:tcPr>
          <w:p>
            <w:pPr>
              <w:spacing w:after="0"/>
              <w:rPr>
                <w:sz w:val="7"/>
                <w:szCs w:val="7"/>
                <w:color w:val="auto"/>
              </w:rPr>
            </w:pPr>
          </w:p>
        </w:tc>
        <w:tc>
          <w:tcPr>
            <w:tcW w:w="1540" w:type="dxa"/>
            <w:vAlign w:val="bottom"/>
          </w:tcPr>
          <w:p>
            <w:pPr>
              <w:ind w:left="140"/>
              <w:spacing w:after="0"/>
              <w:rPr>
                <w:sz w:val="20"/>
                <w:szCs w:val="20"/>
                <w:color w:val="auto"/>
              </w:rPr>
            </w:pPr>
            <w:r>
              <w:rPr>
                <w:rFonts w:ascii="Arial" w:cs="Arial" w:eastAsia="Arial" w:hAnsi="Arial"/>
                <w:sz w:val="8"/>
                <w:szCs w:val="8"/>
                <w:color w:val="auto"/>
              </w:rPr>
              <w:t>Tenant Allowance &amp; Landlord Work</w:t>
            </w:r>
          </w:p>
        </w:tc>
      </w:tr>
      <w:tr>
        <w:trPr>
          <w:trHeight w:val="100"/>
        </w:trPr>
        <w:tc>
          <w:tcPr>
            <w:tcW w:w="136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Weighted Avg. Lease Term</w:t>
            </w:r>
          </w:p>
        </w:tc>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8"/>
                <w:szCs w:val="8"/>
                <w:color w:val="auto"/>
              </w:rPr>
              <w:t>/Sq. Ft.</w:t>
            </w:r>
          </w:p>
        </w:tc>
      </w:tr>
      <w:tr>
        <w:trPr>
          <w:trHeight w:val="88"/>
        </w:trPr>
        <w:tc>
          <w:tcPr>
            <w:tcW w:w="1360" w:type="dxa"/>
            <w:vAlign w:val="bottom"/>
          </w:tcPr>
          <w:p>
            <w:pPr>
              <w:jc w:val="center"/>
              <w:ind w:left="39"/>
              <w:spacing w:after="0" w:line="89" w:lineRule="exact"/>
              <w:rPr>
                <w:sz w:val="20"/>
                <w:szCs w:val="20"/>
                <w:color w:val="auto"/>
              </w:rPr>
            </w:pPr>
            <w:r>
              <w:rPr>
                <w:rFonts w:ascii="Arial" w:cs="Arial" w:eastAsia="Arial" w:hAnsi="Arial"/>
                <w:sz w:val="8"/>
                <w:szCs w:val="8"/>
                <w:color w:val="auto"/>
              </w:rPr>
              <w:t>7.0</w:t>
            </w:r>
          </w:p>
        </w:tc>
        <w:tc>
          <w:tcPr>
            <w:tcW w:w="1540" w:type="dxa"/>
            <w:vAlign w:val="bottom"/>
          </w:tcPr>
          <w:p>
            <w:pPr>
              <w:jc w:val="center"/>
              <w:ind w:left="39"/>
              <w:spacing w:after="0" w:line="89" w:lineRule="exact"/>
              <w:rPr>
                <w:sz w:val="20"/>
                <w:szCs w:val="20"/>
                <w:color w:val="auto"/>
              </w:rPr>
            </w:pPr>
            <w:r>
              <w:rPr>
                <w:rFonts w:ascii="Arial" w:cs="Arial" w:eastAsia="Arial" w:hAnsi="Arial"/>
                <w:sz w:val="8"/>
                <w:szCs w:val="8"/>
                <w:color w:val="auto"/>
              </w:rPr>
              <w:t>$17.90</w:t>
            </w:r>
          </w:p>
        </w:tc>
      </w:tr>
      <w:tr>
        <w:trPr>
          <w:trHeight w:val="99"/>
        </w:trPr>
        <w:tc>
          <w:tcPr>
            <w:tcW w:w="1360" w:type="dxa"/>
            <w:vAlign w:val="bottom"/>
          </w:tcPr>
          <w:p>
            <w:pPr>
              <w:jc w:val="center"/>
              <w:ind w:left="39"/>
              <w:spacing w:after="0"/>
              <w:rPr>
                <w:sz w:val="20"/>
                <w:szCs w:val="20"/>
                <w:color w:val="auto"/>
              </w:rPr>
            </w:pPr>
            <w:r>
              <w:rPr>
                <w:rFonts w:ascii="Arial" w:cs="Arial" w:eastAsia="Arial" w:hAnsi="Arial"/>
                <w:sz w:val="8"/>
                <w:szCs w:val="8"/>
                <w:color w:val="auto"/>
              </w:rPr>
              <w:t>7.2</w:t>
            </w:r>
          </w:p>
        </w:tc>
        <w:tc>
          <w:tcPr>
            <w:tcW w:w="1540" w:type="dxa"/>
            <w:vAlign w:val="bottom"/>
          </w:tcPr>
          <w:p>
            <w:pPr>
              <w:jc w:val="center"/>
              <w:ind w:left="39"/>
              <w:spacing w:after="0"/>
              <w:rPr>
                <w:sz w:val="20"/>
                <w:szCs w:val="20"/>
                <w:color w:val="auto"/>
              </w:rPr>
            </w:pPr>
            <w:r>
              <w:rPr>
                <w:rFonts w:ascii="Arial" w:cs="Arial" w:eastAsia="Arial" w:hAnsi="Arial"/>
                <w:sz w:val="8"/>
                <w:szCs w:val="8"/>
                <w:color w:val="auto"/>
              </w:rPr>
              <w:t>16.79</w:t>
            </w:r>
          </w:p>
        </w:tc>
      </w:tr>
      <w:tr>
        <w:trPr>
          <w:trHeight w:val="99"/>
        </w:trPr>
        <w:tc>
          <w:tcPr>
            <w:tcW w:w="1360" w:type="dxa"/>
            <w:vAlign w:val="bottom"/>
          </w:tcPr>
          <w:p>
            <w:pPr>
              <w:jc w:val="center"/>
              <w:ind w:left="39"/>
              <w:spacing w:after="0"/>
              <w:rPr>
                <w:sz w:val="20"/>
                <w:szCs w:val="20"/>
                <w:color w:val="auto"/>
              </w:rPr>
            </w:pPr>
            <w:r>
              <w:rPr>
                <w:rFonts w:ascii="Arial" w:cs="Arial" w:eastAsia="Arial" w:hAnsi="Arial"/>
                <w:sz w:val="8"/>
                <w:szCs w:val="8"/>
                <w:color w:val="auto"/>
              </w:rPr>
              <w:t>7.5</w:t>
            </w:r>
          </w:p>
        </w:tc>
        <w:tc>
          <w:tcPr>
            <w:tcW w:w="1540" w:type="dxa"/>
            <w:vAlign w:val="bottom"/>
          </w:tcPr>
          <w:p>
            <w:pPr>
              <w:jc w:val="center"/>
              <w:ind w:left="59"/>
              <w:spacing w:after="0"/>
              <w:rPr>
                <w:sz w:val="20"/>
                <w:szCs w:val="20"/>
                <w:color w:val="auto"/>
              </w:rPr>
            </w:pPr>
            <w:r>
              <w:rPr>
                <w:rFonts w:ascii="Arial" w:cs="Arial" w:eastAsia="Arial" w:hAnsi="Arial"/>
                <w:sz w:val="8"/>
                <w:szCs w:val="8"/>
                <w:color w:val="auto"/>
              </w:rPr>
              <w:t>8.35</w:t>
            </w:r>
          </w:p>
        </w:tc>
      </w:tr>
      <w:tr>
        <w:trPr>
          <w:trHeight w:val="100"/>
        </w:trPr>
        <w:tc>
          <w:tcPr>
            <w:tcW w:w="136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5.8</w:t>
            </w:r>
          </w:p>
        </w:tc>
        <w:tc>
          <w:tcPr>
            <w:tcW w:w="1540" w:type="dxa"/>
            <w:vAlign w:val="bottom"/>
            <w:tcBorders>
              <w:bottom w:val="single" w:sz="8" w:color="auto"/>
            </w:tcBorders>
          </w:tcPr>
          <w:p>
            <w:pPr>
              <w:jc w:val="center"/>
              <w:ind w:left="39"/>
              <w:spacing w:after="0"/>
              <w:rPr>
                <w:sz w:val="20"/>
                <w:szCs w:val="20"/>
                <w:color w:val="auto"/>
              </w:rPr>
            </w:pPr>
            <w:r>
              <w:rPr>
                <w:rFonts w:ascii="Arial" w:cs="Arial" w:eastAsia="Arial" w:hAnsi="Arial"/>
                <w:sz w:val="8"/>
                <w:szCs w:val="8"/>
                <w:color w:val="auto"/>
              </w:rPr>
              <w:t>10.27</w:t>
            </w:r>
          </w:p>
        </w:tc>
      </w:tr>
      <w:tr>
        <w:trPr>
          <w:trHeight w:val="96"/>
        </w:trPr>
        <w:tc>
          <w:tcPr>
            <w:tcW w:w="136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6.9</w:t>
            </w:r>
          </w:p>
        </w:tc>
        <w:tc>
          <w:tcPr>
            <w:tcW w:w="1540" w:type="dxa"/>
            <w:vAlign w:val="bottom"/>
            <w:tcBorders>
              <w:bottom w:val="single" w:sz="8" w:color="auto"/>
            </w:tcBorders>
          </w:tcPr>
          <w:p>
            <w:pPr>
              <w:jc w:val="center"/>
              <w:ind w:left="39"/>
              <w:spacing w:after="0" w:line="89" w:lineRule="exact"/>
              <w:rPr>
                <w:sz w:val="20"/>
                <w:szCs w:val="20"/>
                <w:color w:val="auto"/>
              </w:rPr>
            </w:pPr>
            <w:r>
              <w:rPr>
                <w:rFonts w:ascii="Arial" w:cs="Arial" w:eastAsia="Arial" w:hAnsi="Arial"/>
                <w:sz w:val="8"/>
                <w:szCs w:val="8"/>
                <w:color w:val="auto"/>
              </w:rPr>
              <w:t>$13.05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-410845</wp:posOffset>
            </wp:positionV>
            <wp:extent cx="198755" cy="793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98755" cy="793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8" w:space="720"/>
            <w:col w:w="2900"/>
          </w:cols>
          <w:pgMar w:left="292" w:top="732" w:right="299" w:bottom="1440" w:gutter="0" w:footer="0" w:header="0"/>
          <w:type w:val="continuous"/>
        </w:sectPr>
      </w:pPr>
    </w:p>
    <w:p>
      <w:pPr>
        <w:spacing w:after="0" w:line="87" w:lineRule="exact"/>
        <w:rPr>
          <w:sz w:val="20"/>
          <w:szCs w:val="20"/>
          <w:color w:val="auto"/>
        </w:rPr>
      </w:pPr>
    </w:p>
    <w:p>
      <w:pPr>
        <w:ind w:left="8"/>
        <w:spacing w:after="0"/>
        <w:rPr>
          <w:sz w:val="20"/>
          <w:szCs w:val="20"/>
          <w:color w:val="auto"/>
        </w:rPr>
      </w:pPr>
      <w:r>
        <w:rPr>
          <w:rFonts w:ascii="Arial" w:cs="Arial" w:eastAsia="Arial" w:hAnsi="Arial"/>
          <w:sz w:val="9"/>
          <w:szCs w:val="9"/>
          <w:color w:val="auto"/>
          <w:highlight w:val="black"/>
        </w:rPr>
        <w:t>Notes:</w:t>
      </w:r>
    </w:p>
    <w:p>
      <w:pPr>
        <w:ind w:left="288" w:hanging="288"/>
        <w:spacing w:after="0" w:line="222"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Represents Regency's consolidated and pro-rata share of real estate partnerships. Number of leasing transactions and GLA leased reported at 100%; All other statistics reported at pro-rata share.</w:t>
      </w:r>
    </w:p>
    <w:p>
      <w:pPr>
        <w:spacing w:after="0" w:line="28" w:lineRule="exact"/>
        <w:rPr>
          <w:rFonts w:ascii="Times New Roman" w:cs="Times New Roman" w:eastAsia="Times New Roman" w:hAnsi="Times New Roman"/>
          <w:sz w:val="10"/>
          <w:szCs w:val="10"/>
          <w:color w:val="auto"/>
        </w:rPr>
      </w:pPr>
    </w:p>
    <w:p>
      <w:pPr>
        <w:ind w:left="288" w:hanging="288"/>
        <w:spacing w:after="0" w:line="224"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All amounts reported at execution.</w:t>
      </w:r>
    </w:p>
    <w:p>
      <w:pPr>
        <w:spacing w:after="0" w:line="28" w:lineRule="exact"/>
        <w:rPr>
          <w:rFonts w:ascii="Times New Roman" w:cs="Times New Roman" w:eastAsia="Times New Roman" w:hAnsi="Times New Roman"/>
          <w:sz w:val="10"/>
          <w:szCs w:val="10"/>
          <w:color w:val="auto"/>
        </w:rPr>
      </w:pPr>
    </w:p>
    <w:p>
      <w:pPr>
        <w:ind w:left="288" w:hanging="288"/>
        <w:spacing w:after="0" w:line="205"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Rent Spreads are calculated on a comparable-space, cash basis for new and renewal leases executed and include all leasing transactions, including spaces vacant &gt; 12 months.</w:t>
      </w:r>
    </w:p>
    <w:p>
      <w:pPr>
        <w:spacing w:after="0" w:line="28" w:lineRule="exact"/>
        <w:rPr>
          <w:rFonts w:ascii="Times New Roman" w:cs="Times New Roman" w:eastAsia="Times New Roman" w:hAnsi="Times New Roman"/>
          <w:sz w:val="10"/>
          <w:szCs w:val="10"/>
          <w:color w:val="auto"/>
        </w:rPr>
      </w:pPr>
    </w:p>
    <w:p>
      <w:pPr>
        <w:ind w:left="288" w:hanging="288"/>
        <w:spacing w:after="0" w:line="205"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Rent Spreads % (Cash) represent the percentage change between the initial 12 months of rent of the executed lease and the last contractual rent as of the move out date of the prior lease.</w:t>
      </w:r>
    </w:p>
    <w:p>
      <w:pPr>
        <w:spacing w:after="0" w:line="28" w:lineRule="exact"/>
        <w:rPr>
          <w:rFonts w:ascii="Times New Roman" w:cs="Times New Roman" w:eastAsia="Times New Roman" w:hAnsi="Times New Roman"/>
          <w:sz w:val="10"/>
          <w:szCs w:val="10"/>
          <w:color w:val="auto"/>
        </w:rPr>
      </w:pPr>
    </w:p>
    <w:p>
      <w:pPr>
        <w:ind w:left="288" w:hanging="288"/>
        <w:spacing w:after="0" w:line="224"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Rent Spreads % (Straight-lined) represent the percentage change between the average rent over the duration of the executed lease and the average rent over the duration of the prior lease.</w:t>
      </w:r>
    </w:p>
    <w:p>
      <w:pPr>
        <w:spacing w:after="0" w:line="28" w:lineRule="exact"/>
        <w:rPr>
          <w:rFonts w:ascii="Times New Roman" w:cs="Times New Roman" w:eastAsia="Times New Roman" w:hAnsi="Times New Roman"/>
          <w:sz w:val="10"/>
          <w:szCs w:val="10"/>
          <w:color w:val="auto"/>
        </w:rPr>
      </w:pPr>
    </w:p>
    <w:p>
      <w:pPr>
        <w:ind w:left="288" w:hanging="288"/>
        <w:spacing w:after="0" w:line="205" w:lineRule="auto"/>
        <w:tabs>
          <w:tab w:leader="none" w:pos="288" w:val="left"/>
        </w:tabs>
        <w:numPr>
          <w:ilvl w:val="0"/>
          <w:numId w:val="48"/>
        </w:numPr>
        <w:rPr>
          <w:rFonts w:ascii="Times New Roman" w:cs="Times New Roman" w:eastAsia="Times New Roman" w:hAnsi="Times New Roman"/>
          <w:sz w:val="10"/>
          <w:szCs w:val="10"/>
          <w:color w:val="auto"/>
        </w:rPr>
      </w:pPr>
      <w:r>
        <w:rPr>
          <w:rFonts w:ascii="Arial" w:cs="Arial" w:eastAsia="Arial" w:hAnsi="Arial"/>
          <w:sz w:val="9"/>
          <w:szCs w:val="9"/>
          <w:color w:val="auto"/>
        </w:rPr>
        <w:t>Tenant Allowance &amp; Landlord Work includes costs for landlord work required to return space to a baseline condition, as well as tenant allowances and improvements as it relates to a specific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11430</wp:posOffset>
            </wp:positionV>
            <wp:extent cx="287020" cy="154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type w:val="continuous"/>
        </w:sectPr>
      </w:pPr>
    </w:p>
    <w:bookmarkStart w:id="41" w:name="page42"/>
    <w:bookmarkEnd w:id="41"/>
    <w:p>
      <w:pPr>
        <w:jc w:val="center"/>
        <w:ind w:right="-7"/>
        <w:spacing w:after="0"/>
        <w:rPr>
          <w:sz w:val="20"/>
          <w:szCs w:val="20"/>
          <w:color w:val="auto"/>
        </w:rPr>
      </w:pPr>
      <w:r>
        <w:rPr>
          <w:rFonts w:ascii="Arial" w:cs="Arial" w:eastAsia="Arial" w:hAnsi="Arial"/>
          <w:sz w:val="12"/>
          <w:szCs w:val="12"/>
          <w:color w:val="auto"/>
        </w:rPr>
        <w:t>New Lease Net Effective Rent and Leases Signed Not Yet Commenced</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(Retail Operating Properties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81915</wp:posOffset>
            </wp:positionV>
            <wp:extent cx="76200" cy="666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131" w:lineRule="exact"/>
        <w:rPr>
          <w:sz w:val="20"/>
          <w:szCs w:val="20"/>
          <w:color w:val="auto"/>
        </w:rPr>
      </w:pPr>
    </w:p>
    <w:p>
      <w:pPr>
        <w:ind w:left="8"/>
        <w:spacing w:after="0"/>
        <w:rPr>
          <w:sz w:val="20"/>
          <w:szCs w:val="20"/>
          <w:color w:val="auto"/>
        </w:rPr>
      </w:pPr>
      <w:r>
        <w:rPr>
          <w:rFonts w:ascii="Arial" w:cs="Arial" w:eastAsia="Arial" w:hAnsi="Arial"/>
          <w:sz w:val="9"/>
          <w:szCs w:val="9"/>
          <w:color w:val="auto"/>
        </w:rPr>
        <w:t xml:space="preserve">New Lease Net Effective Rent </w:t>
      </w:r>
      <w:r>
        <w:rPr>
          <w:rFonts w:ascii="Arial" w:cs="Arial" w:eastAsia="Arial" w:hAnsi="Arial"/>
          <w:sz w:val="12"/>
          <w:szCs w:val="1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9819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98195" cy="5715"/>
                    </a:xfrm>
                    <a:prstGeom prst="rect">
                      <a:avLst/>
                    </a:prstGeom>
                    <a:noFill/>
                  </pic:spPr>
                </pic:pic>
              </a:graphicData>
            </a:graphic>
          </wp:anchor>
        </w:drawing>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3460" w:type="dxa"/>
            <w:vAlign w:val="bottom"/>
          </w:tcPr>
          <w:p>
            <w:pPr>
              <w:spacing w:after="0"/>
              <w:rPr>
                <w:sz w:val="8"/>
                <w:szCs w:val="8"/>
                <w:color w:val="auto"/>
              </w:rPr>
            </w:pPr>
          </w:p>
        </w:tc>
        <w:tc>
          <w:tcPr>
            <w:tcW w:w="1340" w:type="dxa"/>
            <w:vAlign w:val="bottom"/>
            <w:gridSpan w:val="2"/>
          </w:tcPr>
          <w:p>
            <w:pPr>
              <w:ind w:left="160"/>
              <w:spacing w:after="0"/>
              <w:rPr>
                <w:sz w:val="20"/>
                <w:szCs w:val="20"/>
                <w:color w:val="auto"/>
              </w:rPr>
            </w:pPr>
            <w:r>
              <w:rPr>
                <w:rFonts w:ascii="Arial" w:cs="Arial" w:eastAsia="Arial" w:hAnsi="Arial"/>
                <w:sz w:val="8"/>
                <w:szCs w:val="8"/>
                <w:color w:val="auto"/>
                <w:highlight w:val="black"/>
              </w:rPr>
              <w:t>Trailing Twelve Months</w:t>
            </w: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40" w:type="dxa"/>
            <w:vAlign w:val="bottom"/>
          </w:tcPr>
          <w:p>
            <w:pPr>
              <w:jc w:val="right"/>
              <w:ind w:right="639"/>
              <w:spacing w:after="0"/>
              <w:rPr>
                <w:sz w:val="20"/>
                <w:szCs w:val="20"/>
                <w:color w:val="auto"/>
              </w:rPr>
            </w:pPr>
            <w:r>
              <w:rPr>
                <w:rFonts w:ascii="Arial" w:cs="Arial" w:eastAsia="Arial" w:hAnsi="Arial"/>
                <w:sz w:val="8"/>
                <w:szCs w:val="8"/>
                <w:color w:val="auto"/>
                <w:highlight w:val="black"/>
              </w:rPr>
              <w:t>Three Months Ended</w:t>
            </w: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88"/>
        </w:trPr>
        <w:tc>
          <w:tcPr>
            <w:tcW w:w="3460" w:type="dxa"/>
            <w:vAlign w:val="bottom"/>
          </w:tcPr>
          <w:p>
            <w:pPr>
              <w:spacing w:after="0"/>
              <w:rPr>
                <w:sz w:val="7"/>
                <w:szCs w:val="7"/>
                <w:color w:val="auto"/>
              </w:rPr>
            </w:pPr>
          </w:p>
        </w:tc>
        <w:tc>
          <w:tcPr>
            <w:tcW w:w="1180" w:type="dxa"/>
            <w:vAlign w:val="bottom"/>
            <w:tcBorders>
              <w:top w:val="single" w:sz="8" w:color="auto"/>
              <w:bottom w:val="single" w:sz="8" w:color="auto"/>
            </w:tcBorders>
          </w:tcPr>
          <w:p>
            <w:pPr>
              <w:jc w:val="right"/>
              <w:spacing w:after="0" w:line="89" w:lineRule="exact"/>
              <w:rPr>
                <w:sz w:val="20"/>
                <w:szCs w:val="20"/>
                <w:color w:val="auto"/>
              </w:rPr>
            </w:pPr>
            <w:r>
              <w:rPr>
                <w:rFonts w:ascii="Arial" w:cs="Arial" w:eastAsia="Arial" w:hAnsi="Arial"/>
                <w:sz w:val="8"/>
                <w:szCs w:val="8"/>
                <w:color w:val="auto"/>
                <w:highlight w:val="black"/>
              </w:rPr>
              <w:t>3/31/2026</w:t>
            </w:r>
          </w:p>
        </w:tc>
        <w:tc>
          <w:tcPr>
            <w:tcW w:w="160" w:type="dxa"/>
            <w:vAlign w:val="bottom"/>
          </w:tcPr>
          <w:p>
            <w:pPr>
              <w:spacing w:after="0"/>
              <w:rPr>
                <w:sz w:val="7"/>
                <w:szCs w:val="7"/>
                <w:color w:val="auto"/>
              </w:rPr>
            </w:pPr>
          </w:p>
        </w:tc>
        <w:tc>
          <w:tcPr>
            <w:tcW w:w="1640" w:type="dxa"/>
            <w:vAlign w:val="bottom"/>
            <w:tcBorders>
              <w:top w:val="single" w:sz="8" w:color="auto"/>
              <w:bottom w:val="single" w:sz="8" w:color="auto"/>
            </w:tcBorders>
          </w:tcPr>
          <w:p>
            <w:pPr>
              <w:jc w:val="right"/>
              <w:ind w:right="419"/>
              <w:spacing w:after="0" w:line="89" w:lineRule="exact"/>
              <w:rPr>
                <w:sz w:val="20"/>
                <w:szCs w:val="20"/>
                <w:color w:val="auto"/>
              </w:rPr>
            </w:pPr>
            <w:r>
              <w:rPr>
                <w:rFonts w:ascii="Arial" w:cs="Arial" w:eastAsia="Arial" w:hAnsi="Arial"/>
                <w:sz w:val="8"/>
                <w:szCs w:val="8"/>
                <w:color w:val="auto"/>
                <w:highlight w:val="black"/>
              </w:rPr>
              <w:t>3/31/2026</w:t>
            </w:r>
          </w:p>
        </w:tc>
        <w:tc>
          <w:tcPr>
            <w:tcW w:w="1040" w:type="dxa"/>
            <w:vAlign w:val="bottom"/>
            <w:tcBorders>
              <w:top w:val="single" w:sz="8" w:color="auto"/>
              <w:bottom w:val="single" w:sz="8" w:color="auto"/>
            </w:tcBorders>
          </w:tcPr>
          <w:p>
            <w:pPr>
              <w:jc w:val="right"/>
              <w:ind w:right="119"/>
              <w:spacing w:after="0" w:line="89" w:lineRule="exact"/>
              <w:rPr>
                <w:sz w:val="20"/>
                <w:szCs w:val="20"/>
                <w:color w:val="auto"/>
              </w:rPr>
            </w:pPr>
            <w:r>
              <w:rPr>
                <w:rFonts w:ascii="Arial" w:cs="Arial" w:eastAsia="Arial" w:hAnsi="Arial"/>
                <w:sz w:val="8"/>
                <w:szCs w:val="8"/>
                <w:color w:val="auto"/>
                <w:highlight w:val="black"/>
              </w:rPr>
              <w:t>12/31/2025</w:t>
            </w:r>
          </w:p>
        </w:tc>
        <w:tc>
          <w:tcPr>
            <w:tcW w:w="1640" w:type="dxa"/>
            <w:vAlign w:val="bottom"/>
            <w:tcBorders>
              <w:top w:val="single" w:sz="8" w:color="auto"/>
              <w:bottom w:val="single" w:sz="8" w:color="auto"/>
            </w:tcBorders>
          </w:tcPr>
          <w:p>
            <w:pPr>
              <w:jc w:val="right"/>
              <w:ind w:right="419"/>
              <w:spacing w:after="0" w:line="89" w:lineRule="exact"/>
              <w:rPr>
                <w:sz w:val="20"/>
                <w:szCs w:val="20"/>
                <w:color w:val="auto"/>
              </w:rPr>
            </w:pPr>
            <w:r>
              <w:rPr>
                <w:rFonts w:ascii="Arial" w:cs="Arial" w:eastAsia="Arial" w:hAnsi="Arial"/>
                <w:sz w:val="8"/>
                <w:szCs w:val="8"/>
                <w:color w:val="auto"/>
                <w:highlight w:val="black"/>
              </w:rPr>
              <w:t>9/30/2025</w:t>
            </w:r>
          </w:p>
        </w:tc>
        <w:tc>
          <w:tcPr>
            <w:tcW w:w="1320" w:type="dxa"/>
            <w:vAlign w:val="bottom"/>
            <w:tcBorders>
              <w:top w:val="single" w:sz="8" w:color="auto"/>
              <w:bottom w:val="single" w:sz="8" w:color="auto"/>
            </w:tcBorders>
          </w:tcPr>
          <w:p>
            <w:pPr>
              <w:jc w:val="right"/>
              <w:ind w:right="419"/>
              <w:spacing w:after="0" w:line="89" w:lineRule="exact"/>
              <w:rPr>
                <w:sz w:val="20"/>
                <w:szCs w:val="20"/>
                <w:color w:val="auto"/>
              </w:rPr>
            </w:pPr>
            <w:r>
              <w:rPr>
                <w:rFonts w:ascii="Arial" w:cs="Arial" w:eastAsia="Arial" w:hAnsi="Arial"/>
                <w:sz w:val="8"/>
                <w:szCs w:val="8"/>
                <w:color w:val="auto"/>
                <w:highlight w:val="black"/>
              </w:rPr>
              <w:t>6/30/2025</w:t>
            </w:r>
          </w:p>
        </w:tc>
        <w:tc>
          <w:tcPr>
            <w:tcW w:w="860" w:type="dxa"/>
            <w:vAlign w:val="bottom"/>
            <w:tcBorders>
              <w:top w:val="single" w:sz="8" w:color="auto"/>
              <w:bottom w:val="single" w:sz="8" w:color="auto"/>
            </w:tcBorders>
          </w:tcPr>
          <w:p>
            <w:pPr>
              <w:jc w:val="right"/>
              <w:spacing w:after="0" w:line="89" w:lineRule="exact"/>
              <w:rPr>
                <w:sz w:val="20"/>
                <w:szCs w:val="20"/>
                <w:color w:val="auto"/>
              </w:rPr>
            </w:pPr>
            <w:r>
              <w:rPr>
                <w:rFonts w:ascii="Arial" w:cs="Arial" w:eastAsia="Arial" w:hAnsi="Arial"/>
                <w:sz w:val="8"/>
                <w:szCs w:val="8"/>
                <w:color w:val="auto"/>
                <w:highlight w:val="black"/>
              </w:rPr>
              <w:t>3/31/2025</w:t>
            </w:r>
          </w:p>
        </w:tc>
      </w:tr>
      <w:tr>
        <w:trPr>
          <w:trHeight w:val="89"/>
        </w:trPr>
        <w:tc>
          <w:tcPr>
            <w:tcW w:w="3460" w:type="dxa"/>
            <w:vAlign w:val="bottom"/>
          </w:tcPr>
          <w:p>
            <w:pPr>
              <w:spacing w:after="0" w:line="89" w:lineRule="exact"/>
              <w:rPr>
                <w:sz w:val="20"/>
                <w:szCs w:val="20"/>
                <w:color w:val="auto"/>
              </w:rPr>
            </w:pPr>
            <w:r>
              <w:rPr>
                <w:rFonts w:ascii="Arial" w:cs="Arial" w:eastAsia="Arial" w:hAnsi="Arial"/>
                <w:sz w:val="8"/>
                <w:szCs w:val="8"/>
                <w:color w:val="auto"/>
              </w:rPr>
              <w:t>New Leases weighted avg. over lease term:</w:t>
            </w: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99"/>
        </w:trPr>
        <w:tc>
          <w:tcPr>
            <w:tcW w:w="3460" w:type="dxa"/>
            <w:vAlign w:val="bottom"/>
          </w:tcPr>
          <w:p>
            <w:pPr>
              <w:ind w:left="60"/>
              <w:spacing w:after="0"/>
              <w:rPr>
                <w:sz w:val="20"/>
                <w:szCs w:val="20"/>
                <w:color w:val="auto"/>
              </w:rPr>
            </w:pPr>
            <w:r>
              <w:rPr>
                <w:rFonts w:ascii="Arial" w:cs="Arial" w:eastAsia="Arial" w:hAnsi="Arial"/>
                <w:sz w:val="8"/>
                <w:szCs w:val="8"/>
                <w:color w:val="auto"/>
              </w:rPr>
              <w:t>Base rent</w:t>
            </w:r>
          </w:p>
        </w:tc>
        <w:tc>
          <w:tcPr>
            <w:tcW w:w="1180" w:type="dxa"/>
            <w:vAlign w:val="bottom"/>
          </w:tcPr>
          <w:p>
            <w:pPr>
              <w:jc w:val="right"/>
              <w:spacing w:after="0"/>
              <w:rPr>
                <w:sz w:val="20"/>
                <w:szCs w:val="20"/>
                <w:color w:val="auto"/>
              </w:rPr>
            </w:pPr>
            <w:r>
              <w:rPr>
                <w:rFonts w:ascii="Arial" w:cs="Arial" w:eastAsia="Arial" w:hAnsi="Arial"/>
                <w:sz w:val="8"/>
                <w:szCs w:val="8"/>
                <w:color w:val="auto"/>
              </w:rPr>
              <w:t>$36.79</w:t>
            </w:r>
          </w:p>
        </w:tc>
        <w:tc>
          <w:tcPr>
            <w:tcW w:w="160" w:type="dxa"/>
            <w:vAlign w:val="bottom"/>
          </w:tcPr>
          <w:p>
            <w:pPr>
              <w:spacing w:after="0"/>
              <w:rPr>
                <w:sz w:val="17"/>
                <w:szCs w:val="17"/>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$36.48</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$40.50</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$30.29</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$42.01</w:t>
            </w:r>
          </w:p>
        </w:tc>
        <w:tc>
          <w:tcPr>
            <w:tcW w:w="860" w:type="dxa"/>
            <w:vAlign w:val="bottom"/>
          </w:tcPr>
          <w:p>
            <w:pPr>
              <w:jc w:val="right"/>
              <w:spacing w:after="0"/>
              <w:rPr>
                <w:sz w:val="20"/>
                <w:szCs w:val="20"/>
                <w:color w:val="auto"/>
              </w:rPr>
            </w:pPr>
            <w:r>
              <w:rPr>
                <w:rFonts w:ascii="Arial" w:cs="Arial" w:eastAsia="Arial" w:hAnsi="Arial"/>
                <w:sz w:val="8"/>
                <w:szCs w:val="8"/>
                <w:color w:val="auto"/>
              </w:rPr>
              <w:t>$38.91</w:t>
            </w:r>
          </w:p>
        </w:tc>
      </w:tr>
      <w:tr>
        <w:trPr>
          <w:trHeight w:val="240"/>
        </w:trPr>
        <w:tc>
          <w:tcPr>
            <w:tcW w:w="3460" w:type="dxa"/>
            <w:vAlign w:val="bottom"/>
          </w:tcPr>
          <w:p>
            <w:pPr>
              <w:ind w:left="60"/>
              <w:spacing w:after="0"/>
              <w:rPr>
                <w:sz w:val="20"/>
                <w:szCs w:val="20"/>
                <w:color w:val="auto"/>
              </w:rPr>
            </w:pPr>
            <w:r>
              <w:rPr>
                <w:rFonts w:ascii="Arial" w:cs="Arial" w:eastAsia="Arial" w:hAnsi="Arial"/>
                <w:sz w:val="8"/>
                <w:szCs w:val="8"/>
                <w:color w:val="auto"/>
              </w:rPr>
              <w:t xml:space="preserve">Tenant allowance and landlord work </w:t>
            </w:r>
            <w:r>
              <w:rPr>
                <w:rFonts w:ascii="Arial" w:cs="Arial" w:eastAsia="Arial" w:hAnsi="Arial"/>
                <w:sz w:val="11"/>
                <w:szCs w:val="11"/>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8"/>
                <w:szCs w:val="8"/>
                <w:color w:val="auto"/>
              </w:rPr>
              <w:t>(5.12)</w:t>
            </w:r>
          </w:p>
        </w:tc>
        <w:tc>
          <w:tcPr>
            <w:tcW w:w="160" w:type="dxa"/>
            <w:vAlign w:val="bottom"/>
          </w:tcPr>
          <w:p>
            <w:pPr>
              <w:spacing w:after="0"/>
              <w:rPr>
                <w:sz w:val="20"/>
                <w:szCs w:val="20"/>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(5.49)</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(6.14)</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(3.25)</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(6.00)</w:t>
            </w:r>
          </w:p>
        </w:tc>
        <w:tc>
          <w:tcPr>
            <w:tcW w:w="860" w:type="dxa"/>
            <w:vAlign w:val="bottom"/>
          </w:tcPr>
          <w:p>
            <w:pPr>
              <w:jc w:val="right"/>
              <w:spacing w:after="0"/>
              <w:rPr>
                <w:sz w:val="20"/>
                <w:szCs w:val="20"/>
                <w:color w:val="auto"/>
              </w:rPr>
            </w:pPr>
            <w:r>
              <w:rPr>
                <w:rFonts w:ascii="Arial" w:cs="Arial" w:eastAsia="Arial" w:hAnsi="Arial"/>
                <w:sz w:val="8"/>
                <w:szCs w:val="8"/>
                <w:color w:val="auto"/>
              </w:rPr>
              <w:t>(5.57)</w:t>
            </w:r>
          </w:p>
        </w:tc>
      </w:tr>
      <w:tr>
        <w:trPr>
          <w:trHeight w:val="158"/>
        </w:trPr>
        <w:tc>
          <w:tcPr>
            <w:tcW w:w="3460" w:type="dxa"/>
            <w:vAlign w:val="bottom"/>
          </w:tcPr>
          <w:p>
            <w:pPr>
              <w:ind w:left="60"/>
              <w:spacing w:after="0"/>
              <w:rPr>
                <w:sz w:val="20"/>
                <w:szCs w:val="20"/>
                <w:color w:val="auto"/>
              </w:rPr>
            </w:pPr>
            <w:r>
              <w:rPr>
                <w:rFonts w:ascii="Arial" w:cs="Arial" w:eastAsia="Arial" w:hAnsi="Arial"/>
                <w:sz w:val="8"/>
                <w:szCs w:val="8"/>
                <w:color w:val="auto"/>
              </w:rPr>
              <w:t>Third party leasing commissions</w:t>
            </w:r>
          </w:p>
        </w:tc>
        <w:tc>
          <w:tcPr>
            <w:tcW w:w="1180" w:type="dxa"/>
            <w:vAlign w:val="bottom"/>
          </w:tcPr>
          <w:p>
            <w:pPr>
              <w:jc w:val="right"/>
              <w:spacing w:after="0"/>
              <w:rPr>
                <w:sz w:val="20"/>
                <w:szCs w:val="20"/>
                <w:color w:val="auto"/>
              </w:rPr>
            </w:pPr>
            <w:r>
              <w:rPr>
                <w:rFonts w:ascii="Arial" w:cs="Arial" w:eastAsia="Arial" w:hAnsi="Arial"/>
                <w:sz w:val="8"/>
                <w:szCs w:val="8"/>
                <w:color w:val="auto"/>
              </w:rPr>
              <w:t>(1.13)</w:t>
            </w:r>
          </w:p>
        </w:tc>
        <w:tc>
          <w:tcPr>
            <w:tcW w:w="160" w:type="dxa"/>
            <w:vAlign w:val="bottom"/>
          </w:tcPr>
          <w:p>
            <w:pPr>
              <w:spacing w:after="0"/>
              <w:rPr>
                <w:sz w:val="13"/>
                <w:szCs w:val="13"/>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(1.11)</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(1.30)</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(0.82)</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(1.40)</w:t>
            </w:r>
          </w:p>
        </w:tc>
        <w:tc>
          <w:tcPr>
            <w:tcW w:w="860" w:type="dxa"/>
            <w:vAlign w:val="bottom"/>
          </w:tcPr>
          <w:p>
            <w:pPr>
              <w:jc w:val="right"/>
              <w:spacing w:after="0"/>
              <w:rPr>
                <w:sz w:val="20"/>
                <w:szCs w:val="20"/>
                <w:color w:val="auto"/>
              </w:rPr>
            </w:pPr>
            <w:r>
              <w:rPr>
                <w:rFonts w:ascii="Arial" w:cs="Arial" w:eastAsia="Arial" w:hAnsi="Arial"/>
                <w:sz w:val="8"/>
                <w:szCs w:val="8"/>
                <w:color w:val="auto"/>
              </w:rPr>
              <w:t>(1.44)</w:t>
            </w:r>
          </w:p>
        </w:tc>
      </w:tr>
      <w:tr>
        <w:trPr>
          <w:trHeight w:val="100"/>
        </w:trPr>
        <w:tc>
          <w:tcPr>
            <w:tcW w:w="34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96"/>
        </w:trPr>
        <w:tc>
          <w:tcPr>
            <w:tcW w:w="3460" w:type="dxa"/>
            <w:vAlign w:val="bottom"/>
          </w:tcPr>
          <w:p>
            <w:pPr>
              <w:spacing w:after="0" w:line="88" w:lineRule="exact"/>
              <w:rPr>
                <w:sz w:val="20"/>
                <w:szCs w:val="20"/>
                <w:color w:val="auto"/>
              </w:rPr>
            </w:pPr>
            <w:r>
              <w:rPr>
                <w:rFonts w:ascii="Arial" w:cs="Arial" w:eastAsia="Arial" w:hAnsi="Arial"/>
                <w:sz w:val="8"/>
                <w:szCs w:val="8"/>
                <w:color w:val="auto"/>
                <w:highlight w:val="black"/>
              </w:rPr>
              <w:t>Net Effective Rent</w:t>
            </w:r>
          </w:p>
        </w:tc>
        <w:tc>
          <w:tcPr>
            <w:tcW w:w="11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highlight w:val="black"/>
              </w:rPr>
              <w:t>$30.55</w:t>
            </w:r>
          </w:p>
        </w:tc>
        <w:tc>
          <w:tcPr>
            <w:tcW w:w="160" w:type="dxa"/>
            <w:vAlign w:val="bottom"/>
          </w:tcPr>
          <w:p>
            <w:pPr>
              <w:spacing w:after="0"/>
              <w:rPr>
                <w:sz w:val="8"/>
                <w:szCs w:val="8"/>
                <w:color w:val="auto"/>
              </w:rPr>
            </w:pPr>
          </w:p>
        </w:tc>
        <w:tc>
          <w:tcPr>
            <w:tcW w:w="1640" w:type="dxa"/>
            <w:vAlign w:val="bottom"/>
            <w:tcBorders>
              <w:bottom w:val="single" w:sz="8" w:color="auto"/>
            </w:tcBorders>
          </w:tcPr>
          <w:p>
            <w:pPr>
              <w:jc w:val="right"/>
              <w:ind w:right="419"/>
              <w:spacing w:after="0" w:line="88" w:lineRule="exact"/>
              <w:rPr>
                <w:sz w:val="20"/>
                <w:szCs w:val="20"/>
                <w:color w:val="auto"/>
              </w:rPr>
            </w:pPr>
            <w:r>
              <w:rPr>
                <w:rFonts w:ascii="Arial" w:cs="Arial" w:eastAsia="Arial" w:hAnsi="Arial"/>
                <w:sz w:val="8"/>
                <w:szCs w:val="8"/>
                <w:color w:val="auto"/>
                <w:highlight w:val="black"/>
              </w:rPr>
              <w:t>$29.87</w:t>
            </w:r>
          </w:p>
        </w:tc>
        <w:tc>
          <w:tcPr>
            <w:tcW w:w="1040" w:type="dxa"/>
            <w:vAlign w:val="bottom"/>
            <w:tcBorders>
              <w:bottom w:val="single" w:sz="8" w:color="auto"/>
            </w:tcBorders>
          </w:tcPr>
          <w:p>
            <w:pPr>
              <w:jc w:val="right"/>
              <w:ind w:right="119"/>
              <w:spacing w:after="0" w:line="88" w:lineRule="exact"/>
              <w:rPr>
                <w:sz w:val="20"/>
                <w:szCs w:val="20"/>
                <w:color w:val="auto"/>
              </w:rPr>
            </w:pPr>
            <w:r>
              <w:rPr>
                <w:rFonts w:ascii="Arial" w:cs="Arial" w:eastAsia="Arial" w:hAnsi="Arial"/>
                <w:sz w:val="8"/>
                <w:szCs w:val="8"/>
                <w:color w:val="auto"/>
                <w:highlight w:val="black"/>
              </w:rPr>
              <w:t>$33.06</w:t>
            </w:r>
          </w:p>
        </w:tc>
        <w:tc>
          <w:tcPr>
            <w:tcW w:w="1640" w:type="dxa"/>
            <w:vAlign w:val="bottom"/>
            <w:tcBorders>
              <w:bottom w:val="single" w:sz="8" w:color="auto"/>
            </w:tcBorders>
          </w:tcPr>
          <w:p>
            <w:pPr>
              <w:jc w:val="right"/>
              <w:ind w:right="419"/>
              <w:spacing w:after="0" w:line="88" w:lineRule="exact"/>
              <w:rPr>
                <w:sz w:val="20"/>
                <w:szCs w:val="20"/>
                <w:color w:val="auto"/>
              </w:rPr>
            </w:pPr>
            <w:r>
              <w:rPr>
                <w:rFonts w:ascii="Arial" w:cs="Arial" w:eastAsia="Arial" w:hAnsi="Arial"/>
                <w:sz w:val="8"/>
                <w:szCs w:val="8"/>
                <w:color w:val="auto"/>
                <w:highlight w:val="black"/>
              </w:rPr>
              <w:t>$26.22</w:t>
            </w:r>
          </w:p>
        </w:tc>
        <w:tc>
          <w:tcPr>
            <w:tcW w:w="1320" w:type="dxa"/>
            <w:vAlign w:val="bottom"/>
            <w:tcBorders>
              <w:bottom w:val="single" w:sz="8" w:color="auto"/>
            </w:tcBorders>
          </w:tcPr>
          <w:p>
            <w:pPr>
              <w:jc w:val="right"/>
              <w:ind w:right="419"/>
              <w:spacing w:after="0" w:line="88" w:lineRule="exact"/>
              <w:rPr>
                <w:sz w:val="20"/>
                <w:szCs w:val="20"/>
                <w:color w:val="auto"/>
              </w:rPr>
            </w:pPr>
            <w:r>
              <w:rPr>
                <w:rFonts w:ascii="Arial" w:cs="Arial" w:eastAsia="Arial" w:hAnsi="Arial"/>
                <w:sz w:val="8"/>
                <w:szCs w:val="8"/>
                <w:color w:val="auto"/>
                <w:highlight w:val="black"/>
              </w:rPr>
              <w:t>$34.62</w:t>
            </w:r>
          </w:p>
        </w:tc>
        <w:tc>
          <w:tcPr>
            <w:tcW w:w="8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8"/>
                <w:szCs w:val="8"/>
                <w:color w:val="auto"/>
                <w:highlight w:val="black"/>
              </w:rPr>
              <w:t>$31.90</w:t>
            </w:r>
          </w:p>
        </w:tc>
      </w:tr>
      <w:tr>
        <w:trPr>
          <w:trHeight w:val="298"/>
        </w:trPr>
        <w:tc>
          <w:tcPr>
            <w:tcW w:w="3460" w:type="dxa"/>
            <w:vAlign w:val="bottom"/>
          </w:tcPr>
          <w:p>
            <w:pPr>
              <w:spacing w:after="0"/>
              <w:rPr>
                <w:sz w:val="20"/>
                <w:szCs w:val="20"/>
                <w:color w:val="auto"/>
              </w:rPr>
            </w:pPr>
            <w:r>
              <w:rPr>
                <w:rFonts w:ascii="Arial" w:cs="Arial" w:eastAsia="Arial" w:hAnsi="Arial"/>
                <w:sz w:val="8"/>
                <w:szCs w:val="8"/>
                <w:color w:val="auto"/>
              </w:rPr>
              <w:t>Net effective rent/base rent</w:t>
            </w:r>
          </w:p>
        </w:tc>
        <w:tc>
          <w:tcPr>
            <w:tcW w:w="1180" w:type="dxa"/>
            <w:vAlign w:val="bottom"/>
          </w:tcPr>
          <w:p>
            <w:pPr>
              <w:jc w:val="right"/>
              <w:spacing w:after="0"/>
              <w:rPr>
                <w:sz w:val="20"/>
                <w:szCs w:val="20"/>
                <w:color w:val="auto"/>
              </w:rPr>
            </w:pPr>
            <w:r>
              <w:rPr>
                <w:rFonts w:ascii="Arial" w:cs="Arial" w:eastAsia="Arial" w:hAnsi="Arial"/>
                <w:sz w:val="8"/>
                <w:szCs w:val="8"/>
                <w:color w:val="auto"/>
                <w:highlight w:val="black"/>
              </w:rPr>
              <w:t>83%</w:t>
            </w:r>
          </w:p>
        </w:tc>
        <w:tc>
          <w:tcPr>
            <w:tcW w:w="160" w:type="dxa"/>
            <w:vAlign w:val="bottom"/>
          </w:tcPr>
          <w:p>
            <w:pPr>
              <w:spacing w:after="0"/>
              <w:rPr>
                <w:sz w:val="24"/>
                <w:szCs w:val="24"/>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highlight w:val="black"/>
              </w:rPr>
              <w:t>82%</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highlight w:val="black"/>
              </w:rPr>
              <w:t>82%</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highlight w:val="black"/>
              </w:rPr>
              <w:t>87%</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highlight w:val="black"/>
              </w:rPr>
              <w:t>82%</w:t>
            </w:r>
          </w:p>
        </w:tc>
        <w:tc>
          <w:tcPr>
            <w:tcW w:w="860" w:type="dxa"/>
            <w:vAlign w:val="bottom"/>
          </w:tcPr>
          <w:p>
            <w:pPr>
              <w:jc w:val="right"/>
              <w:spacing w:after="0"/>
              <w:rPr>
                <w:sz w:val="20"/>
                <w:szCs w:val="20"/>
                <w:color w:val="auto"/>
              </w:rPr>
            </w:pPr>
            <w:r>
              <w:rPr>
                <w:rFonts w:ascii="Arial" w:cs="Arial" w:eastAsia="Arial" w:hAnsi="Arial"/>
                <w:sz w:val="8"/>
                <w:szCs w:val="8"/>
                <w:color w:val="auto"/>
                <w:highlight w:val="black"/>
              </w:rPr>
              <w:t>82%</w:t>
            </w:r>
          </w:p>
        </w:tc>
      </w:tr>
      <w:tr>
        <w:trPr>
          <w:trHeight w:val="199"/>
        </w:trPr>
        <w:tc>
          <w:tcPr>
            <w:tcW w:w="3460" w:type="dxa"/>
            <w:vAlign w:val="bottom"/>
          </w:tcPr>
          <w:p>
            <w:pPr>
              <w:spacing w:after="0"/>
              <w:rPr>
                <w:sz w:val="20"/>
                <w:szCs w:val="20"/>
                <w:color w:val="auto"/>
              </w:rPr>
            </w:pPr>
            <w:r>
              <w:rPr>
                <w:rFonts w:ascii="Arial" w:cs="Arial" w:eastAsia="Arial" w:hAnsi="Arial"/>
                <w:sz w:val="8"/>
                <w:szCs w:val="8"/>
                <w:color w:val="auto"/>
              </w:rPr>
              <w:t>Weighted avg. lease term (years)</w:t>
            </w:r>
          </w:p>
        </w:tc>
        <w:tc>
          <w:tcPr>
            <w:tcW w:w="1180" w:type="dxa"/>
            <w:vAlign w:val="bottom"/>
          </w:tcPr>
          <w:p>
            <w:pPr>
              <w:jc w:val="right"/>
              <w:spacing w:after="0"/>
              <w:rPr>
                <w:sz w:val="20"/>
                <w:szCs w:val="20"/>
                <w:color w:val="auto"/>
              </w:rPr>
            </w:pPr>
            <w:r>
              <w:rPr>
                <w:rFonts w:ascii="Arial" w:cs="Arial" w:eastAsia="Arial" w:hAnsi="Arial"/>
                <w:sz w:val="8"/>
                <w:szCs w:val="8"/>
                <w:color w:val="auto"/>
              </w:rPr>
              <w:t>10.9</w:t>
            </w:r>
          </w:p>
        </w:tc>
        <w:tc>
          <w:tcPr>
            <w:tcW w:w="160" w:type="dxa"/>
            <w:vAlign w:val="bottom"/>
          </w:tcPr>
          <w:p>
            <w:pPr>
              <w:spacing w:after="0"/>
              <w:rPr>
                <w:sz w:val="17"/>
                <w:szCs w:val="17"/>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11.3</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9.6</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12.8</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9.5</w:t>
            </w:r>
          </w:p>
        </w:tc>
        <w:tc>
          <w:tcPr>
            <w:tcW w:w="860" w:type="dxa"/>
            <w:vAlign w:val="bottom"/>
          </w:tcPr>
          <w:p>
            <w:pPr>
              <w:jc w:val="right"/>
              <w:spacing w:after="0"/>
              <w:rPr>
                <w:sz w:val="20"/>
                <w:szCs w:val="20"/>
                <w:color w:val="auto"/>
              </w:rPr>
            </w:pPr>
            <w:r>
              <w:rPr>
                <w:rFonts w:ascii="Arial" w:cs="Arial" w:eastAsia="Arial" w:hAnsi="Arial"/>
                <w:sz w:val="8"/>
                <w:szCs w:val="8"/>
                <w:color w:val="auto"/>
              </w:rPr>
              <w:t>8.4</w:t>
            </w:r>
          </w:p>
        </w:tc>
      </w:tr>
      <w:tr>
        <w:trPr>
          <w:trHeight w:val="298"/>
        </w:trPr>
        <w:tc>
          <w:tcPr>
            <w:tcW w:w="3460" w:type="dxa"/>
            <w:vAlign w:val="bottom"/>
          </w:tcPr>
          <w:p>
            <w:pPr>
              <w:spacing w:after="0"/>
              <w:rPr>
                <w:sz w:val="20"/>
                <w:szCs w:val="20"/>
                <w:color w:val="auto"/>
              </w:rPr>
            </w:pPr>
            <w:r>
              <w:rPr>
                <w:rFonts w:ascii="Arial" w:cs="Arial" w:eastAsia="Arial" w:hAnsi="Arial"/>
                <w:sz w:val="8"/>
                <w:szCs w:val="8"/>
                <w:color w:val="auto"/>
              </w:rPr>
              <w:t>Percent of New Leases by Anchor &amp; Shop</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9"/>
        </w:trPr>
        <w:tc>
          <w:tcPr>
            <w:tcW w:w="3460" w:type="dxa"/>
            <w:vAlign w:val="bottom"/>
          </w:tcPr>
          <w:p>
            <w:pPr>
              <w:ind w:left="60"/>
              <w:spacing w:after="0"/>
              <w:rPr>
                <w:sz w:val="20"/>
                <w:szCs w:val="20"/>
                <w:color w:val="auto"/>
              </w:rPr>
            </w:pPr>
            <w:r>
              <w:rPr>
                <w:rFonts w:ascii="Arial" w:cs="Arial" w:eastAsia="Arial" w:hAnsi="Arial"/>
                <w:sz w:val="8"/>
                <w:szCs w:val="8"/>
                <w:color w:val="auto"/>
              </w:rPr>
              <w:t>Anchor</w:t>
            </w:r>
          </w:p>
        </w:tc>
        <w:tc>
          <w:tcPr>
            <w:tcW w:w="1180" w:type="dxa"/>
            <w:vAlign w:val="bottom"/>
          </w:tcPr>
          <w:p>
            <w:pPr>
              <w:jc w:val="right"/>
              <w:spacing w:after="0"/>
              <w:rPr>
                <w:sz w:val="20"/>
                <w:szCs w:val="20"/>
                <w:color w:val="auto"/>
              </w:rPr>
            </w:pPr>
            <w:r>
              <w:rPr>
                <w:rFonts w:ascii="Arial" w:cs="Arial" w:eastAsia="Arial" w:hAnsi="Arial"/>
                <w:sz w:val="8"/>
                <w:szCs w:val="8"/>
                <w:color w:val="auto"/>
              </w:rPr>
              <w:t>45%</w:t>
            </w:r>
          </w:p>
        </w:tc>
        <w:tc>
          <w:tcPr>
            <w:tcW w:w="160" w:type="dxa"/>
            <w:vAlign w:val="bottom"/>
          </w:tcPr>
          <w:p>
            <w:pPr>
              <w:spacing w:after="0"/>
              <w:rPr>
                <w:sz w:val="17"/>
                <w:szCs w:val="17"/>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46%</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44%</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56%</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27%</w:t>
            </w:r>
          </w:p>
        </w:tc>
        <w:tc>
          <w:tcPr>
            <w:tcW w:w="860" w:type="dxa"/>
            <w:vAlign w:val="bottom"/>
          </w:tcPr>
          <w:p>
            <w:pPr>
              <w:jc w:val="right"/>
              <w:spacing w:after="0"/>
              <w:rPr>
                <w:sz w:val="20"/>
                <w:szCs w:val="20"/>
                <w:color w:val="auto"/>
              </w:rPr>
            </w:pPr>
            <w:r>
              <w:rPr>
                <w:rFonts w:ascii="Arial" w:cs="Arial" w:eastAsia="Arial" w:hAnsi="Arial"/>
                <w:sz w:val="8"/>
                <w:szCs w:val="8"/>
                <w:color w:val="auto"/>
              </w:rPr>
              <w:t>28%</w:t>
            </w:r>
          </w:p>
        </w:tc>
      </w:tr>
      <w:tr>
        <w:trPr>
          <w:trHeight w:val="199"/>
        </w:trPr>
        <w:tc>
          <w:tcPr>
            <w:tcW w:w="3460" w:type="dxa"/>
            <w:vAlign w:val="bottom"/>
          </w:tcPr>
          <w:p>
            <w:pPr>
              <w:ind w:left="60"/>
              <w:spacing w:after="0"/>
              <w:rPr>
                <w:sz w:val="20"/>
                <w:szCs w:val="20"/>
                <w:color w:val="auto"/>
              </w:rPr>
            </w:pPr>
            <w:r>
              <w:rPr>
                <w:rFonts w:ascii="Arial" w:cs="Arial" w:eastAsia="Arial" w:hAnsi="Arial"/>
                <w:sz w:val="8"/>
                <w:szCs w:val="8"/>
                <w:color w:val="auto"/>
              </w:rPr>
              <w:t>Shop</w:t>
            </w:r>
          </w:p>
        </w:tc>
        <w:tc>
          <w:tcPr>
            <w:tcW w:w="1180" w:type="dxa"/>
            <w:vAlign w:val="bottom"/>
          </w:tcPr>
          <w:p>
            <w:pPr>
              <w:jc w:val="right"/>
              <w:spacing w:after="0"/>
              <w:rPr>
                <w:sz w:val="20"/>
                <w:szCs w:val="20"/>
                <w:color w:val="auto"/>
              </w:rPr>
            </w:pPr>
            <w:r>
              <w:rPr>
                <w:rFonts w:ascii="Arial" w:cs="Arial" w:eastAsia="Arial" w:hAnsi="Arial"/>
                <w:sz w:val="8"/>
                <w:szCs w:val="8"/>
                <w:color w:val="auto"/>
              </w:rPr>
              <w:t>55%</w:t>
            </w:r>
          </w:p>
        </w:tc>
        <w:tc>
          <w:tcPr>
            <w:tcW w:w="160" w:type="dxa"/>
            <w:vAlign w:val="bottom"/>
          </w:tcPr>
          <w:p>
            <w:pPr>
              <w:spacing w:after="0"/>
              <w:rPr>
                <w:sz w:val="17"/>
                <w:szCs w:val="17"/>
                <w:color w:val="auto"/>
              </w:rPr>
            </w:pP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54%</w:t>
            </w:r>
          </w:p>
        </w:tc>
        <w:tc>
          <w:tcPr>
            <w:tcW w:w="1040" w:type="dxa"/>
            <w:vAlign w:val="bottom"/>
          </w:tcPr>
          <w:p>
            <w:pPr>
              <w:jc w:val="right"/>
              <w:ind w:right="119"/>
              <w:spacing w:after="0"/>
              <w:rPr>
                <w:sz w:val="20"/>
                <w:szCs w:val="20"/>
                <w:color w:val="auto"/>
              </w:rPr>
            </w:pPr>
            <w:r>
              <w:rPr>
                <w:rFonts w:ascii="Arial" w:cs="Arial" w:eastAsia="Arial" w:hAnsi="Arial"/>
                <w:sz w:val="8"/>
                <w:szCs w:val="8"/>
                <w:color w:val="auto"/>
              </w:rPr>
              <w:t>56%</w:t>
            </w:r>
          </w:p>
        </w:tc>
        <w:tc>
          <w:tcPr>
            <w:tcW w:w="1640" w:type="dxa"/>
            <w:vAlign w:val="bottom"/>
          </w:tcPr>
          <w:p>
            <w:pPr>
              <w:jc w:val="right"/>
              <w:ind w:right="419"/>
              <w:spacing w:after="0"/>
              <w:rPr>
                <w:sz w:val="20"/>
                <w:szCs w:val="20"/>
                <w:color w:val="auto"/>
              </w:rPr>
            </w:pPr>
            <w:r>
              <w:rPr>
                <w:rFonts w:ascii="Arial" w:cs="Arial" w:eastAsia="Arial" w:hAnsi="Arial"/>
                <w:sz w:val="8"/>
                <w:szCs w:val="8"/>
                <w:color w:val="auto"/>
              </w:rPr>
              <w:t>44%</w:t>
            </w:r>
          </w:p>
        </w:tc>
        <w:tc>
          <w:tcPr>
            <w:tcW w:w="1320" w:type="dxa"/>
            <w:vAlign w:val="bottom"/>
          </w:tcPr>
          <w:p>
            <w:pPr>
              <w:jc w:val="right"/>
              <w:ind w:right="419"/>
              <w:spacing w:after="0"/>
              <w:rPr>
                <w:sz w:val="20"/>
                <w:szCs w:val="20"/>
                <w:color w:val="auto"/>
              </w:rPr>
            </w:pPr>
            <w:r>
              <w:rPr>
                <w:rFonts w:ascii="Arial" w:cs="Arial" w:eastAsia="Arial" w:hAnsi="Arial"/>
                <w:sz w:val="8"/>
                <w:szCs w:val="8"/>
                <w:color w:val="auto"/>
              </w:rPr>
              <w:t>73%</w:t>
            </w:r>
          </w:p>
        </w:tc>
        <w:tc>
          <w:tcPr>
            <w:tcW w:w="860" w:type="dxa"/>
            <w:vAlign w:val="bottom"/>
          </w:tcPr>
          <w:p>
            <w:pPr>
              <w:jc w:val="right"/>
              <w:spacing w:after="0"/>
              <w:rPr>
                <w:sz w:val="20"/>
                <w:szCs w:val="20"/>
                <w:color w:val="auto"/>
              </w:rPr>
            </w:pPr>
            <w:r>
              <w:rPr>
                <w:rFonts w:ascii="Arial" w:cs="Arial" w:eastAsia="Arial" w:hAnsi="Arial"/>
                <w:sz w:val="8"/>
                <w:szCs w:val="8"/>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241935</wp:posOffset>
            </wp:positionV>
            <wp:extent cx="76200" cy="666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383" w:lineRule="exact"/>
        <w:rPr>
          <w:sz w:val="20"/>
          <w:szCs w:val="20"/>
          <w:color w:val="auto"/>
        </w:rPr>
      </w:pPr>
    </w:p>
    <w:p>
      <w:pPr>
        <w:ind w:left="8"/>
        <w:spacing w:after="0"/>
        <w:rPr>
          <w:sz w:val="20"/>
          <w:szCs w:val="20"/>
          <w:color w:val="auto"/>
        </w:rPr>
      </w:pPr>
      <w:r>
        <w:rPr>
          <w:rFonts w:ascii="Arial" w:cs="Arial" w:eastAsia="Arial" w:hAnsi="Arial"/>
          <w:sz w:val="9"/>
          <w:szCs w:val="9"/>
          <w:color w:val="auto"/>
        </w:rPr>
        <w:t xml:space="preserve">Leases Signed Not Yet Commenced </w:t>
      </w:r>
      <w:r>
        <w:rPr>
          <w:rFonts w:ascii="Arial" w:cs="Arial" w:eastAsia="Arial" w:hAnsi="Arial"/>
          <w:sz w:val="12"/>
          <w:szCs w:val="1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95567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55675" cy="5715"/>
                    </a:xfrm>
                    <a:prstGeom prst="rect">
                      <a:avLst/>
                    </a:prstGeom>
                    <a:noFill/>
                  </pic:spPr>
                </pic:pic>
              </a:graphicData>
            </a:graphic>
          </wp:anchor>
        </w:drawing>
      </w:r>
    </w:p>
    <w:p>
      <w:pPr>
        <w:spacing w:after="0" w:line="61"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34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jc w:val="center"/>
              <w:ind w:right="19"/>
              <w:spacing w:after="0"/>
              <w:rPr>
                <w:sz w:val="20"/>
                <w:szCs w:val="20"/>
                <w:color w:val="auto"/>
              </w:rPr>
            </w:pPr>
            <w:r>
              <w:rPr>
                <w:rFonts w:ascii="Arial" w:cs="Arial" w:eastAsia="Arial" w:hAnsi="Arial"/>
                <w:sz w:val="8"/>
                <w:szCs w:val="8"/>
                <w:color w:val="auto"/>
                <w:highlight w:val="black"/>
                <w:w w:val="87"/>
              </w:rPr>
              <w:t>GLA</w:t>
            </w:r>
          </w:p>
        </w:tc>
        <w:tc>
          <w:tcPr>
            <w:tcW w:w="1340" w:type="dxa"/>
            <w:vAlign w:val="bottom"/>
          </w:tcPr>
          <w:p>
            <w:pPr>
              <w:jc w:val="center"/>
              <w:spacing w:after="0"/>
              <w:rPr>
                <w:sz w:val="20"/>
                <w:szCs w:val="20"/>
                <w:color w:val="auto"/>
              </w:rPr>
            </w:pPr>
            <w:r>
              <w:rPr>
                <w:rFonts w:ascii="Arial" w:cs="Arial" w:eastAsia="Arial" w:hAnsi="Arial"/>
                <w:sz w:val="8"/>
                <w:szCs w:val="8"/>
                <w:color w:val="auto"/>
                <w:highlight w:val="black"/>
              </w:rPr>
              <w:t>Annual ABR</w:t>
            </w:r>
          </w:p>
        </w:tc>
        <w:tc>
          <w:tcPr>
            <w:tcW w:w="1280" w:type="dxa"/>
            <w:vAlign w:val="bottom"/>
          </w:tcPr>
          <w:p>
            <w:pPr>
              <w:ind w:left="460"/>
              <w:spacing w:after="0"/>
              <w:rPr>
                <w:sz w:val="20"/>
                <w:szCs w:val="20"/>
                <w:color w:val="auto"/>
              </w:rPr>
            </w:pPr>
            <w:r>
              <w:rPr>
                <w:rFonts w:ascii="Arial" w:cs="Arial" w:eastAsia="Arial" w:hAnsi="Arial"/>
                <w:sz w:val="8"/>
                <w:szCs w:val="8"/>
                <w:color w:val="auto"/>
                <w:highlight w:val="black"/>
              </w:rPr>
              <w:t>Annual ABR</w:t>
            </w:r>
          </w:p>
        </w:tc>
      </w:tr>
      <w:tr>
        <w:trPr>
          <w:trHeight w:val="100"/>
        </w:trPr>
        <w:tc>
          <w:tcPr>
            <w:tcW w:w="3460" w:type="dxa"/>
            <w:vAlign w:val="bottom"/>
          </w:tcPr>
          <w:p>
            <w:pPr>
              <w:spacing w:after="0"/>
              <w:rPr>
                <w:sz w:val="20"/>
                <w:szCs w:val="20"/>
                <w:color w:val="auto"/>
              </w:rPr>
            </w:pPr>
            <w:r>
              <w:rPr>
                <w:rFonts w:ascii="Arial" w:cs="Arial" w:eastAsia="Arial" w:hAnsi="Arial"/>
                <w:sz w:val="8"/>
                <w:szCs w:val="8"/>
                <w:color w:val="auto"/>
              </w:rPr>
              <w:t>As of 3/31/2026:</w:t>
            </w:r>
          </w:p>
        </w:tc>
        <w:tc>
          <w:tcPr>
            <w:tcW w:w="1180" w:type="dxa"/>
            <w:vAlign w:val="bottom"/>
            <w:tcBorders>
              <w:bottom w:val="single" w:sz="8" w:color="auto"/>
            </w:tcBorders>
          </w:tcPr>
          <w:p>
            <w:pPr>
              <w:ind w:left="460"/>
              <w:spacing w:after="0" w:line="81" w:lineRule="exact"/>
              <w:rPr>
                <w:sz w:val="20"/>
                <w:szCs w:val="20"/>
                <w:color w:val="auto"/>
              </w:rPr>
            </w:pPr>
            <w:r>
              <w:rPr>
                <w:rFonts w:ascii="Arial" w:cs="Arial" w:eastAsia="Arial" w:hAnsi="Arial"/>
                <w:sz w:val="8"/>
                <w:szCs w:val="8"/>
                <w:color w:val="auto"/>
                <w:highlight w:val="black"/>
              </w:rPr>
              <w:t>Leases</w:t>
            </w:r>
          </w:p>
        </w:tc>
        <w:tc>
          <w:tcPr>
            <w:tcW w:w="160" w:type="dxa"/>
            <w:vAlign w:val="bottom"/>
          </w:tcPr>
          <w:p>
            <w:pPr>
              <w:spacing w:after="0"/>
              <w:rPr>
                <w:sz w:val="8"/>
                <w:szCs w:val="8"/>
                <w:color w:val="auto"/>
              </w:rPr>
            </w:pPr>
          </w:p>
        </w:tc>
        <w:tc>
          <w:tcPr>
            <w:tcW w:w="1240" w:type="dxa"/>
            <w:vAlign w:val="bottom"/>
            <w:tcBorders>
              <w:bottom w:val="single" w:sz="8" w:color="auto"/>
            </w:tcBorders>
          </w:tcPr>
          <w:p>
            <w:pPr>
              <w:jc w:val="center"/>
              <w:ind w:right="19"/>
              <w:spacing w:after="0" w:line="81" w:lineRule="exact"/>
              <w:rPr>
                <w:sz w:val="20"/>
                <w:szCs w:val="20"/>
                <w:color w:val="auto"/>
              </w:rPr>
            </w:pPr>
            <w:r>
              <w:rPr>
                <w:rFonts w:ascii="Arial" w:cs="Arial" w:eastAsia="Arial" w:hAnsi="Arial"/>
                <w:sz w:val="8"/>
                <w:szCs w:val="8"/>
                <w:color w:val="auto"/>
              </w:rPr>
              <w:t>(in 000s)</w:t>
            </w:r>
          </w:p>
        </w:tc>
        <w:tc>
          <w:tcPr>
            <w:tcW w:w="1340" w:type="dxa"/>
            <w:vAlign w:val="bottom"/>
            <w:tcBorders>
              <w:bottom w:val="single" w:sz="8" w:color="auto"/>
            </w:tcBorders>
          </w:tcPr>
          <w:p>
            <w:pPr>
              <w:jc w:val="center"/>
              <w:spacing w:after="0" w:line="81" w:lineRule="exact"/>
              <w:rPr>
                <w:sz w:val="20"/>
                <w:szCs w:val="20"/>
                <w:color w:val="auto"/>
              </w:rPr>
            </w:pPr>
            <w:r>
              <w:rPr>
                <w:rFonts w:ascii="Arial" w:cs="Arial" w:eastAsia="Arial" w:hAnsi="Arial"/>
                <w:sz w:val="8"/>
                <w:szCs w:val="8"/>
                <w:color w:val="auto"/>
              </w:rPr>
              <w:t>($ in 000s)</w:t>
            </w:r>
          </w:p>
        </w:tc>
        <w:tc>
          <w:tcPr>
            <w:tcW w:w="1280" w:type="dxa"/>
            <w:vAlign w:val="bottom"/>
            <w:tcBorders>
              <w:bottom w:val="single" w:sz="8" w:color="auto"/>
            </w:tcBorders>
          </w:tcPr>
          <w:p>
            <w:pPr>
              <w:ind w:left="540"/>
              <w:spacing w:after="0" w:line="81" w:lineRule="exact"/>
              <w:rPr>
                <w:sz w:val="20"/>
                <w:szCs w:val="20"/>
                <w:color w:val="auto"/>
              </w:rPr>
            </w:pPr>
            <w:r>
              <w:rPr>
                <w:rFonts w:ascii="Arial" w:cs="Arial" w:eastAsia="Arial" w:hAnsi="Arial"/>
                <w:sz w:val="8"/>
                <w:szCs w:val="8"/>
                <w:color w:val="auto"/>
              </w:rPr>
              <w:t>($ PSF)</w:t>
            </w:r>
          </w:p>
        </w:tc>
      </w:tr>
      <w:tr>
        <w:trPr>
          <w:trHeight w:val="187"/>
        </w:trPr>
        <w:tc>
          <w:tcPr>
            <w:tcW w:w="3460" w:type="dxa"/>
            <w:vAlign w:val="bottom"/>
          </w:tcPr>
          <w:p>
            <w:pPr>
              <w:ind w:left="60"/>
              <w:spacing w:after="0"/>
              <w:rPr>
                <w:sz w:val="20"/>
                <w:szCs w:val="20"/>
                <w:color w:val="auto"/>
              </w:rPr>
            </w:pPr>
            <w:r>
              <w:rPr>
                <w:rFonts w:ascii="Arial" w:cs="Arial" w:eastAsia="Arial" w:hAnsi="Arial"/>
                <w:sz w:val="8"/>
                <w:szCs w:val="8"/>
                <w:color w:val="auto"/>
              </w:rPr>
              <w:t>Anchor</w:t>
            </w:r>
          </w:p>
        </w:tc>
        <w:tc>
          <w:tcPr>
            <w:tcW w:w="1180" w:type="dxa"/>
            <w:vAlign w:val="bottom"/>
          </w:tcPr>
          <w:p>
            <w:pPr>
              <w:jc w:val="center"/>
              <w:spacing w:after="0"/>
              <w:rPr>
                <w:sz w:val="20"/>
                <w:szCs w:val="20"/>
                <w:color w:val="auto"/>
              </w:rPr>
            </w:pPr>
            <w:r>
              <w:rPr>
                <w:rFonts w:ascii="Arial" w:cs="Arial" w:eastAsia="Arial" w:hAnsi="Arial"/>
                <w:sz w:val="8"/>
                <w:szCs w:val="8"/>
                <w:color w:val="auto"/>
              </w:rPr>
              <w:t>30</w:t>
            </w:r>
          </w:p>
        </w:tc>
        <w:tc>
          <w:tcPr>
            <w:tcW w:w="1400" w:type="dxa"/>
            <w:vAlign w:val="bottom"/>
            <w:gridSpan w:val="2"/>
          </w:tcPr>
          <w:p>
            <w:pPr>
              <w:jc w:val="center"/>
              <w:ind w:left="59"/>
              <w:spacing w:after="0"/>
              <w:rPr>
                <w:sz w:val="20"/>
                <w:szCs w:val="20"/>
                <w:color w:val="auto"/>
              </w:rPr>
            </w:pPr>
            <w:r>
              <w:rPr>
                <w:rFonts w:ascii="Arial" w:cs="Arial" w:eastAsia="Arial" w:hAnsi="Arial"/>
                <w:sz w:val="8"/>
                <w:szCs w:val="8"/>
                <w:color w:val="auto"/>
              </w:rPr>
              <w:t>602</w:t>
            </w:r>
          </w:p>
        </w:tc>
        <w:tc>
          <w:tcPr>
            <w:tcW w:w="1340" w:type="dxa"/>
            <w:vAlign w:val="bottom"/>
          </w:tcPr>
          <w:p>
            <w:pPr>
              <w:jc w:val="center"/>
              <w:spacing w:after="0"/>
              <w:rPr>
                <w:sz w:val="20"/>
                <w:szCs w:val="20"/>
                <w:color w:val="auto"/>
              </w:rPr>
            </w:pPr>
            <w:r>
              <w:rPr>
                <w:rFonts w:ascii="Arial" w:cs="Arial" w:eastAsia="Arial" w:hAnsi="Arial"/>
                <w:sz w:val="8"/>
                <w:szCs w:val="8"/>
                <w:color w:val="auto"/>
              </w:rPr>
              <w:t>$12,082</w:t>
            </w:r>
          </w:p>
        </w:tc>
        <w:tc>
          <w:tcPr>
            <w:tcW w:w="1280" w:type="dxa"/>
            <w:vAlign w:val="bottom"/>
          </w:tcPr>
          <w:p>
            <w:pPr>
              <w:jc w:val="center"/>
              <w:ind w:left="59"/>
              <w:spacing w:after="0"/>
              <w:rPr>
                <w:sz w:val="20"/>
                <w:szCs w:val="20"/>
                <w:color w:val="auto"/>
              </w:rPr>
            </w:pPr>
            <w:r>
              <w:rPr>
                <w:rFonts w:ascii="Arial" w:cs="Arial" w:eastAsia="Arial" w:hAnsi="Arial"/>
                <w:sz w:val="8"/>
                <w:szCs w:val="8"/>
                <w:color w:val="auto"/>
              </w:rPr>
              <w:t>$22.86</w:t>
            </w:r>
          </w:p>
        </w:tc>
      </w:tr>
      <w:tr>
        <w:trPr>
          <w:trHeight w:val="199"/>
        </w:trPr>
        <w:tc>
          <w:tcPr>
            <w:tcW w:w="3460" w:type="dxa"/>
            <w:vAlign w:val="bottom"/>
          </w:tcPr>
          <w:p>
            <w:pPr>
              <w:ind w:left="60"/>
              <w:spacing w:after="0"/>
              <w:rPr>
                <w:sz w:val="20"/>
                <w:szCs w:val="20"/>
                <w:color w:val="auto"/>
              </w:rPr>
            </w:pPr>
            <w:r>
              <w:rPr>
                <w:rFonts w:ascii="Arial" w:cs="Arial" w:eastAsia="Arial" w:hAnsi="Arial"/>
                <w:sz w:val="8"/>
                <w:szCs w:val="8"/>
                <w:color w:val="auto"/>
              </w:rPr>
              <w:t>Shop</w:t>
            </w:r>
          </w:p>
        </w:tc>
        <w:tc>
          <w:tcPr>
            <w:tcW w:w="1180" w:type="dxa"/>
            <w:vAlign w:val="bottom"/>
          </w:tcPr>
          <w:p>
            <w:pPr>
              <w:jc w:val="center"/>
              <w:spacing w:after="0"/>
              <w:rPr>
                <w:sz w:val="20"/>
                <w:szCs w:val="20"/>
                <w:color w:val="auto"/>
              </w:rPr>
            </w:pPr>
            <w:r>
              <w:rPr>
                <w:rFonts w:ascii="Arial" w:cs="Arial" w:eastAsia="Arial" w:hAnsi="Arial"/>
                <w:sz w:val="8"/>
                <w:szCs w:val="8"/>
                <w:color w:val="auto"/>
              </w:rPr>
              <w:t>292</w:t>
            </w:r>
          </w:p>
        </w:tc>
        <w:tc>
          <w:tcPr>
            <w:tcW w:w="1400" w:type="dxa"/>
            <w:vAlign w:val="bottom"/>
            <w:gridSpan w:val="2"/>
          </w:tcPr>
          <w:p>
            <w:pPr>
              <w:jc w:val="center"/>
              <w:ind w:left="59"/>
              <w:spacing w:after="0"/>
              <w:rPr>
                <w:sz w:val="20"/>
                <w:szCs w:val="20"/>
                <w:color w:val="auto"/>
              </w:rPr>
            </w:pPr>
            <w:r>
              <w:rPr>
                <w:rFonts w:ascii="Arial" w:cs="Arial" w:eastAsia="Arial" w:hAnsi="Arial"/>
                <w:sz w:val="8"/>
                <w:szCs w:val="8"/>
                <w:color w:val="auto"/>
              </w:rPr>
              <w:t>757</w:t>
            </w:r>
          </w:p>
        </w:tc>
        <w:tc>
          <w:tcPr>
            <w:tcW w:w="1340" w:type="dxa"/>
            <w:vAlign w:val="bottom"/>
          </w:tcPr>
          <w:p>
            <w:pPr>
              <w:jc w:val="center"/>
              <w:spacing w:after="0"/>
              <w:rPr>
                <w:sz w:val="20"/>
                <w:szCs w:val="20"/>
                <w:color w:val="auto"/>
              </w:rPr>
            </w:pPr>
            <w:r>
              <w:rPr>
                <w:rFonts w:ascii="Arial" w:cs="Arial" w:eastAsia="Arial" w:hAnsi="Arial"/>
                <w:sz w:val="8"/>
                <w:szCs w:val="8"/>
                <w:color w:val="auto"/>
              </w:rPr>
              <w:t>30,167</w:t>
            </w:r>
          </w:p>
        </w:tc>
        <w:tc>
          <w:tcPr>
            <w:tcW w:w="1280" w:type="dxa"/>
            <w:vAlign w:val="bottom"/>
          </w:tcPr>
          <w:p>
            <w:pPr>
              <w:jc w:val="center"/>
              <w:ind w:left="39"/>
              <w:spacing w:after="0"/>
              <w:rPr>
                <w:sz w:val="20"/>
                <w:szCs w:val="20"/>
                <w:color w:val="auto"/>
              </w:rPr>
            </w:pPr>
            <w:r>
              <w:rPr>
                <w:rFonts w:ascii="Arial" w:cs="Arial" w:eastAsia="Arial" w:hAnsi="Arial"/>
                <w:sz w:val="8"/>
                <w:szCs w:val="8"/>
                <w:color w:val="auto"/>
                <w:w w:val="99"/>
              </w:rPr>
              <w:t>43.04</w:t>
            </w:r>
          </w:p>
        </w:tc>
      </w:tr>
      <w:tr>
        <w:trPr>
          <w:trHeight w:val="100"/>
        </w:trPr>
        <w:tc>
          <w:tcPr>
            <w:tcW w:w="34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96"/>
        </w:trPr>
        <w:tc>
          <w:tcPr>
            <w:tcW w:w="3460" w:type="dxa"/>
            <w:vAlign w:val="bottom"/>
          </w:tcPr>
          <w:p>
            <w:pPr>
              <w:spacing w:after="0" w:line="89" w:lineRule="exact"/>
              <w:rPr>
                <w:sz w:val="20"/>
                <w:szCs w:val="20"/>
                <w:color w:val="auto"/>
              </w:rPr>
            </w:pPr>
            <w:r>
              <w:rPr>
                <w:rFonts w:ascii="Arial" w:cs="Arial" w:eastAsia="Arial" w:hAnsi="Arial"/>
                <w:sz w:val="8"/>
                <w:szCs w:val="8"/>
                <w:color w:val="auto"/>
                <w:highlight w:val="black"/>
              </w:rPr>
              <w:t>Total</w:t>
            </w:r>
          </w:p>
        </w:tc>
        <w:tc>
          <w:tcPr>
            <w:tcW w:w="1180" w:type="dxa"/>
            <w:vAlign w:val="bottom"/>
            <w:tcBorders>
              <w:bottom w:val="single" w:sz="8" w:color="auto"/>
            </w:tcBorders>
          </w:tcPr>
          <w:p>
            <w:pPr>
              <w:jc w:val="center"/>
              <w:spacing w:after="0" w:line="80" w:lineRule="exact"/>
              <w:rPr>
                <w:sz w:val="20"/>
                <w:szCs w:val="20"/>
                <w:color w:val="auto"/>
              </w:rPr>
            </w:pPr>
            <w:r>
              <w:rPr>
                <w:rFonts w:ascii="Arial" w:cs="Arial" w:eastAsia="Arial" w:hAnsi="Arial"/>
                <w:sz w:val="8"/>
                <w:szCs w:val="8"/>
                <w:color w:val="auto"/>
                <w:highlight w:val="black"/>
              </w:rPr>
              <w:t>322</w:t>
            </w:r>
          </w:p>
        </w:tc>
        <w:tc>
          <w:tcPr>
            <w:tcW w:w="160" w:type="dxa"/>
            <w:vAlign w:val="bottom"/>
          </w:tcPr>
          <w:p>
            <w:pPr>
              <w:spacing w:after="0"/>
              <w:rPr>
                <w:sz w:val="8"/>
                <w:szCs w:val="8"/>
                <w:color w:val="auto"/>
              </w:rPr>
            </w:pPr>
          </w:p>
        </w:tc>
        <w:tc>
          <w:tcPr>
            <w:tcW w:w="1240" w:type="dxa"/>
            <w:vAlign w:val="bottom"/>
            <w:tcBorders>
              <w:bottom w:val="single" w:sz="8" w:color="auto"/>
            </w:tcBorders>
          </w:tcPr>
          <w:p>
            <w:pPr>
              <w:jc w:val="center"/>
              <w:ind w:right="19"/>
              <w:spacing w:after="0" w:line="80" w:lineRule="exact"/>
              <w:rPr>
                <w:sz w:val="20"/>
                <w:szCs w:val="20"/>
                <w:color w:val="auto"/>
              </w:rPr>
            </w:pPr>
            <w:r>
              <w:rPr>
                <w:rFonts w:ascii="Arial" w:cs="Arial" w:eastAsia="Arial" w:hAnsi="Arial"/>
                <w:sz w:val="8"/>
                <w:szCs w:val="8"/>
                <w:color w:val="auto"/>
                <w:highlight w:val="black"/>
              </w:rPr>
              <w:t>1,359</w:t>
            </w:r>
          </w:p>
        </w:tc>
        <w:tc>
          <w:tcPr>
            <w:tcW w:w="1340" w:type="dxa"/>
            <w:vAlign w:val="bottom"/>
            <w:tcBorders>
              <w:bottom w:val="single" w:sz="8" w:color="auto"/>
            </w:tcBorders>
          </w:tcPr>
          <w:p>
            <w:pPr>
              <w:jc w:val="center"/>
              <w:spacing w:after="0" w:line="80" w:lineRule="exact"/>
              <w:rPr>
                <w:sz w:val="20"/>
                <w:szCs w:val="20"/>
                <w:color w:val="auto"/>
              </w:rPr>
            </w:pPr>
            <w:r>
              <w:rPr>
                <w:rFonts w:ascii="Arial" w:cs="Arial" w:eastAsia="Arial" w:hAnsi="Arial"/>
                <w:sz w:val="8"/>
                <w:szCs w:val="8"/>
                <w:color w:val="auto"/>
                <w:highlight w:val="black"/>
              </w:rPr>
              <w:t>$42,249</w:t>
            </w:r>
          </w:p>
        </w:tc>
        <w:tc>
          <w:tcPr>
            <w:tcW w:w="1280" w:type="dxa"/>
            <w:vAlign w:val="bottom"/>
            <w:tcBorders>
              <w:bottom w:val="single" w:sz="8" w:color="auto"/>
            </w:tcBorders>
          </w:tcPr>
          <w:p>
            <w:pPr>
              <w:jc w:val="center"/>
              <w:ind w:left="59"/>
              <w:spacing w:after="0" w:line="80" w:lineRule="exact"/>
              <w:rPr>
                <w:sz w:val="20"/>
                <w:szCs w:val="20"/>
                <w:color w:val="auto"/>
              </w:rPr>
            </w:pPr>
            <w:r>
              <w:rPr>
                <w:rFonts w:ascii="Arial" w:cs="Arial" w:eastAsia="Arial" w:hAnsi="Arial"/>
                <w:sz w:val="8"/>
                <w:szCs w:val="8"/>
                <w:color w:val="auto"/>
                <w:highlight w:val="black"/>
              </w:rPr>
              <w:t>$34.37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-474345</wp:posOffset>
            </wp:positionV>
            <wp:extent cx="233680" cy="79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3680" cy="7937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-474980</wp:posOffset>
            </wp:positionV>
            <wp:extent cx="279400" cy="793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400" cy="79375"/>
                    </a:xfrm>
                    <a:prstGeom prst="rect">
                      <a:avLst/>
                    </a:prstGeom>
                    <a:noFill/>
                  </pic:spPr>
                </pic:pic>
              </a:graphicData>
            </a:graphic>
          </wp:anchor>
        </w:drawing>
        <w:drawing>
          <wp:anchor simplePos="0" relativeHeight="251657728" behindDoc="1" locked="0" layoutInCell="0" allowOverlap="1">
            <wp:simplePos x="0" y="0"/>
            <wp:positionH relativeFrom="column">
              <wp:posOffset>5027930</wp:posOffset>
            </wp:positionH>
            <wp:positionV relativeFrom="paragraph">
              <wp:posOffset>-474980</wp:posOffset>
            </wp:positionV>
            <wp:extent cx="196215" cy="79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215" cy="79375"/>
                    </a:xfrm>
                    <a:prstGeom prst="rect">
                      <a:avLst/>
                    </a:prstGeom>
                    <a:noFill/>
                  </pic:spPr>
                </pic:pic>
              </a:graphicData>
            </a:graphic>
          </wp:anchor>
        </w:drawing>
      </w:r>
    </w:p>
    <w:p>
      <w:pPr>
        <w:spacing w:after="0" w:line="194" w:lineRule="exact"/>
        <w:rPr>
          <w:sz w:val="20"/>
          <w:szCs w:val="20"/>
          <w:color w:val="auto"/>
        </w:rPr>
      </w:pPr>
    </w:p>
    <w:p>
      <w:pPr>
        <w:ind w:left="308" w:hanging="308"/>
        <w:spacing w:after="0"/>
        <w:tabs>
          <w:tab w:leader="none" w:pos="308" w:val="left"/>
        </w:tabs>
        <w:numPr>
          <w:ilvl w:val="0"/>
          <w:numId w:val="49"/>
        </w:numPr>
        <w:rPr>
          <w:rFonts w:ascii="Arial" w:cs="Arial" w:eastAsia="Arial" w:hAnsi="Arial"/>
          <w:sz w:val="13"/>
          <w:szCs w:val="13"/>
          <w:color w:val="auto"/>
          <w:vertAlign w:val="superscript"/>
        </w:rPr>
      </w:pPr>
      <w:r>
        <w:rPr>
          <w:rFonts w:ascii="Arial" w:cs="Arial" w:eastAsia="Arial" w:hAnsi="Arial"/>
          <w:sz w:val="9"/>
          <w:szCs w:val="9"/>
          <w:color w:val="auto"/>
        </w:rPr>
        <w:t>Includes comparable and non-comparable leasing transactions.</w:t>
      </w:r>
    </w:p>
    <w:p>
      <w:pPr>
        <w:spacing w:after="0" w:line="32" w:lineRule="exact"/>
        <w:rPr>
          <w:rFonts w:ascii="Arial" w:cs="Arial" w:eastAsia="Arial" w:hAnsi="Arial"/>
          <w:sz w:val="13"/>
          <w:szCs w:val="13"/>
          <w:color w:val="auto"/>
          <w:vertAlign w:val="superscript"/>
        </w:rPr>
      </w:pPr>
    </w:p>
    <w:p>
      <w:pPr>
        <w:ind w:left="308" w:hanging="308"/>
        <w:spacing w:after="0" w:line="196" w:lineRule="auto"/>
        <w:tabs>
          <w:tab w:leader="none" w:pos="308" w:val="left"/>
        </w:tabs>
        <w:numPr>
          <w:ilvl w:val="0"/>
          <w:numId w:val="49"/>
        </w:numPr>
        <w:rPr>
          <w:rFonts w:ascii="Arial" w:cs="Arial" w:eastAsia="Arial" w:hAnsi="Arial"/>
          <w:sz w:val="10"/>
          <w:szCs w:val="10"/>
          <w:color w:val="auto"/>
          <w:vertAlign w:val="superscript"/>
        </w:rPr>
      </w:pPr>
      <w:r>
        <w:rPr>
          <w:rFonts w:ascii="Arial" w:cs="Arial" w:eastAsia="Arial" w:hAnsi="Arial"/>
          <w:sz w:val="8"/>
          <w:szCs w:val="8"/>
          <w:color w:val="auto"/>
        </w:rPr>
        <w:t>Tenant Allowance &amp; Landlord Work includes costs for landlord work required to return space to a baseline condition, as well as tenant allowances and improvements as it relates to a specific lease.</w:t>
      </w:r>
    </w:p>
    <w:p>
      <w:pPr>
        <w:spacing w:after="0" w:line="32" w:lineRule="exact"/>
        <w:rPr>
          <w:rFonts w:ascii="Arial" w:cs="Arial" w:eastAsia="Arial" w:hAnsi="Arial"/>
          <w:sz w:val="10"/>
          <w:szCs w:val="10"/>
          <w:color w:val="auto"/>
          <w:vertAlign w:val="superscript"/>
        </w:rPr>
      </w:pPr>
    </w:p>
    <w:p>
      <w:pPr>
        <w:ind w:left="308" w:hanging="308"/>
        <w:spacing w:after="0" w:line="196" w:lineRule="auto"/>
        <w:tabs>
          <w:tab w:leader="none" w:pos="308" w:val="left"/>
        </w:tabs>
        <w:numPr>
          <w:ilvl w:val="0"/>
          <w:numId w:val="49"/>
        </w:numPr>
        <w:rPr>
          <w:rFonts w:ascii="Arial" w:cs="Arial" w:eastAsia="Arial" w:hAnsi="Arial"/>
          <w:sz w:val="10"/>
          <w:szCs w:val="10"/>
          <w:color w:val="auto"/>
          <w:vertAlign w:val="superscript"/>
        </w:rPr>
      </w:pPr>
      <w:r>
        <w:rPr>
          <w:rFonts w:ascii="Arial" w:cs="Arial" w:eastAsia="Arial" w:hAnsi="Arial"/>
          <w:sz w:val="8"/>
          <w:szCs w:val="8"/>
          <w:color w:val="auto"/>
        </w:rPr>
        <w:t>Only represents leases on spaces that are currently vacant.</w:t>
      </w:r>
    </w:p>
    <w:p>
      <w:pPr>
        <w:spacing w:after="0" w:line="50" w:lineRule="exact"/>
        <w:rPr>
          <w:sz w:val="20"/>
          <w:szCs w:val="20"/>
          <w:color w:val="auto"/>
        </w:rPr>
      </w:pPr>
    </w:p>
    <w:p>
      <w:pPr>
        <w:ind w:left="8"/>
        <w:spacing w:after="0"/>
        <w:rPr>
          <w:sz w:val="20"/>
          <w:szCs w:val="20"/>
          <w:color w:val="auto"/>
        </w:rPr>
      </w:pPr>
      <w:r>
        <w:rPr>
          <w:rFonts w:ascii="Arial" w:cs="Arial" w:eastAsia="Arial" w:hAnsi="Arial"/>
          <w:sz w:val="9"/>
          <w:szCs w:val="9"/>
          <w:color w:val="auto"/>
        </w:rPr>
        <w:t>Note: Represents Regency's wholly owned and pro-rata share of real estate partnerships, except GLA which is shown at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-635</wp:posOffset>
            </wp:positionV>
            <wp:extent cx="287020" cy="154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42" w:name="page43"/>
    <w:bookmarkEnd w:id="42"/>
    <w:p>
      <w:pPr>
        <w:jc w:val="center"/>
        <w:ind w:right="-7"/>
        <w:spacing w:after="0"/>
        <w:rPr>
          <w:sz w:val="20"/>
          <w:szCs w:val="20"/>
          <w:color w:val="auto"/>
        </w:rPr>
      </w:pPr>
      <w:r>
        <w:rPr>
          <w:rFonts w:ascii="Arial" w:cs="Arial" w:eastAsia="Arial" w:hAnsi="Arial"/>
          <w:sz w:val="12"/>
          <w:szCs w:val="12"/>
          <w:color w:val="auto"/>
          <w:highlight w:val="black"/>
        </w:rPr>
        <w:t xml:space="preserve">Annual </w:t>
      </w:r>
      <w:r>
        <w:rPr>
          <w:rFonts w:ascii="Arial" w:cs="Arial" w:eastAsia="Arial" w:hAnsi="Arial"/>
          <w:sz w:val="12"/>
          <w:szCs w:val="12"/>
          <w:color w:val="auto"/>
        </w:rPr>
        <w:t>Base Rent by State</w:t>
      </w:r>
    </w:p>
    <w:p>
      <w:pPr>
        <w:spacing w:after="0" w:line="7" w:lineRule="exact"/>
        <w:rPr>
          <w:sz w:val="20"/>
          <w:szCs w:val="20"/>
          <w:color w:val="auto"/>
        </w:rPr>
      </w:pPr>
    </w:p>
    <w:p>
      <w:pPr>
        <w:ind w:left="5228"/>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ind w:left="5268"/>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140335</wp:posOffset>
            </wp:positionV>
            <wp:extent cx="284480" cy="755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4480" cy="75565"/>
                    </a:xfrm>
                    <a:prstGeom prst="rect">
                      <a:avLst/>
                    </a:prstGeom>
                    <a:noFill/>
                  </pic:spPr>
                </pic:pic>
              </a:graphicData>
            </a:graphic>
          </wp:anchor>
        </w:drawing>
        <w:drawing>
          <wp:anchor simplePos="0" relativeHeight="251657728" behindDoc="1" locked="0" layoutInCell="0" allowOverlap="1">
            <wp:simplePos x="0" y="0"/>
            <wp:positionH relativeFrom="column">
              <wp:posOffset>6672580</wp:posOffset>
            </wp:positionH>
            <wp:positionV relativeFrom="paragraph">
              <wp:posOffset>140335</wp:posOffset>
            </wp:positionV>
            <wp:extent cx="288925" cy="755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8925" cy="7556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128270</wp:posOffset>
            </wp:positionV>
            <wp:extent cx="342265" cy="87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265" cy="87630"/>
                    </a:xfrm>
                    <a:prstGeom prst="rect">
                      <a:avLst/>
                    </a:prstGeom>
                    <a:noFill/>
                  </pic:spPr>
                </pic:pic>
              </a:graphicData>
            </a:graphic>
          </wp:anchor>
        </w:drawing>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58"/>
        </w:trPr>
        <w:tc>
          <w:tcPr>
            <w:tcW w:w="1460" w:type="dxa"/>
            <w:vAlign w:val="bottom"/>
            <w:tcBorders>
              <w:bottom w:val="single" w:sz="8" w:color="auto"/>
            </w:tcBorders>
          </w:tcPr>
          <w:p>
            <w:pPr>
              <w:spacing w:after="0"/>
              <w:rPr>
                <w:sz w:val="20"/>
                <w:szCs w:val="20"/>
                <w:color w:val="auto"/>
              </w:rPr>
            </w:pPr>
            <w:r>
              <w:rPr>
                <w:rFonts w:ascii="Arial" w:cs="Arial" w:eastAsia="Arial" w:hAnsi="Arial"/>
                <w:sz w:val="9"/>
                <w:szCs w:val="9"/>
                <w:color w:val="auto"/>
                <w:highlight w:val="black"/>
              </w:rPr>
              <w:t>State</w:t>
            </w: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9"/>
                <w:szCs w:val="9"/>
                <w:color w:val="auto"/>
                <w:highlight w:val="black"/>
              </w:rPr>
              <w:t>Number of Properties</w:t>
            </w: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9"/>
                <w:szCs w:val="9"/>
                <w:color w:val="auto"/>
                <w:highlight w:val="black"/>
              </w:rPr>
              <w:t>GLA</w:t>
            </w: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9"/>
                <w:szCs w:val="9"/>
                <w:color w:val="auto"/>
              </w:rPr>
              <w:t>% Leased</w:t>
            </w:r>
            <w:r>
              <w:rPr>
                <w:rFonts w:ascii="Arial" w:cs="Arial" w:eastAsia="Arial" w:hAnsi="Arial"/>
                <w:sz w:val="12"/>
                <w:szCs w:val="12"/>
                <w:color w:val="auto"/>
                <w:vertAlign w:val="superscript"/>
              </w:rPr>
              <w:t>(1)</w:t>
            </w:r>
          </w:p>
        </w:tc>
        <w:tc>
          <w:tcPr>
            <w:tcW w:w="1160" w:type="dxa"/>
            <w:vAlign w:val="bottom"/>
            <w:tcBorders>
              <w:bottom w:val="single" w:sz="8" w:color="auto"/>
            </w:tcBorders>
          </w:tcPr>
          <w:p>
            <w:pPr>
              <w:ind w:left="500"/>
              <w:spacing w:after="0"/>
              <w:rPr>
                <w:sz w:val="20"/>
                <w:szCs w:val="20"/>
                <w:color w:val="auto"/>
              </w:rPr>
            </w:pPr>
            <w:r>
              <w:rPr>
                <w:rFonts w:ascii="Arial" w:cs="Arial" w:eastAsia="Arial" w:hAnsi="Arial"/>
                <w:sz w:val="9"/>
                <w:szCs w:val="9"/>
                <w:color w:val="auto"/>
                <w:highlight w:val="black"/>
              </w:rPr>
              <w:t>ABR</w:t>
            </w: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9"/>
                <w:szCs w:val="9"/>
                <w:color w:val="auto"/>
                <w:highlight w:val="black"/>
              </w:rPr>
              <w:t>ABR/Sq. Ft.</w:t>
            </w:r>
          </w:p>
        </w:tc>
        <w:tc>
          <w:tcPr>
            <w:tcW w:w="1540" w:type="dxa"/>
            <w:vAlign w:val="bottom"/>
            <w:tcBorders>
              <w:bottom w:val="single" w:sz="8" w:color="auto"/>
            </w:tcBorders>
          </w:tcPr>
          <w:p>
            <w:pPr>
              <w:ind w:left="180"/>
              <w:spacing w:after="0"/>
              <w:rPr>
                <w:sz w:val="20"/>
                <w:szCs w:val="20"/>
                <w:color w:val="auto"/>
              </w:rPr>
            </w:pPr>
            <w:r>
              <w:rPr>
                <w:rFonts w:ascii="Arial" w:cs="Arial" w:eastAsia="Arial" w:hAnsi="Arial"/>
                <w:sz w:val="9"/>
                <w:szCs w:val="9"/>
                <w:color w:val="auto"/>
              </w:rPr>
              <w:t>% of Number of Properties</w:t>
            </w: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9"/>
                <w:szCs w:val="9"/>
                <w:color w:val="auto"/>
              </w:rPr>
              <w:t>% of GLA</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9"/>
                <w:szCs w:val="9"/>
                <w:color w:val="auto"/>
              </w:rPr>
              <w:t>% of ABR</w:t>
            </w:r>
          </w:p>
        </w:tc>
      </w:tr>
      <w:tr>
        <w:trPr>
          <w:trHeight w:val="107"/>
        </w:trPr>
        <w:tc>
          <w:tcPr>
            <w:tcW w:w="1460" w:type="dxa"/>
            <w:vAlign w:val="bottom"/>
          </w:tcPr>
          <w:p>
            <w:pPr>
              <w:spacing w:after="0" w:line="94" w:lineRule="exact"/>
              <w:rPr>
                <w:sz w:val="20"/>
                <w:szCs w:val="20"/>
                <w:color w:val="auto"/>
              </w:rPr>
            </w:pPr>
            <w:r>
              <w:rPr>
                <w:rFonts w:ascii="Arial" w:cs="Arial" w:eastAsia="Arial" w:hAnsi="Arial"/>
                <w:sz w:val="9"/>
                <w:szCs w:val="9"/>
                <w:color w:val="auto"/>
              </w:rPr>
              <w:t>California</w:t>
            </w:r>
          </w:p>
        </w:tc>
        <w:tc>
          <w:tcPr>
            <w:tcW w:w="1840" w:type="dxa"/>
            <w:vAlign w:val="bottom"/>
          </w:tcPr>
          <w:p>
            <w:pPr>
              <w:jc w:val="center"/>
              <w:ind w:left="353"/>
              <w:spacing w:after="0" w:line="94" w:lineRule="exact"/>
              <w:rPr>
                <w:sz w:val="20"/>
                <w:szCs w:val="20"/>
                <w:color w:val="auto"/>
              </w:rPr>
            </w:pPr>
            <w:r>
              <w:rPr>
                <w:rFonts w:ascii="Arial" w:cs="Arial" w:eastAsia="Arial" w:hAnsi="Arial"/>
                <w:sz w:val="9"/>
                <w:szCs w:val="9"/>
                <w:color w:val="auto"/>
              </w:rPr>
              <w:t>78</w:t>
            </w:r>
          </w:p>
        </w:tc>
        <w:tc>
          <w:tcPr>
            <w:tcW w:w="940" w:type="dxa"/>
            <w:vAlign w:val="bottom"/>
          </w:tcPr>
          <w:p>
            <w:pPr>
              <w:jc w:val="center"/>
              <w:ind w:right="53"/>
              <w:spacing w:after="0" w:line="94" w:lineRule="exact"/>
              <w:rPr>
                <w:sz w:val="20"/>
                <w:szCs w:val="20"/>
                <w:color w:val="auto"/>
              </w:rPr>
            </w:pPr>
            <w:r>
              <w:rPr>
                <w:rFonts w:ascii="Arial" w:cs="Arial" w:eastAsia="Arial" w:hAnsi="Arial"/>
                <w:sz w:val="9"/>
                <w:szCs w:val="9"/>
                <w:color w:val="auto"/>
              </w:rPr>
              <w:t>10,186</w:t>
            </w:r>
          </w:p>
        </w:tc>
        <w:tc>
          <w:tcPr>
            <w:tcW w:w="1200" w:type="dxa"/>
            <w:vAlign w:val="bottom"/>
          </w:tcPr>
          <w:p>
            <w:pPr>
              <w:jc w:val="center"/>
              <w:spacing w:after="0" w:line="94" w:lineRule="exact"/>
              <w:rPr>
                <w:sz w:val="20"/>
                <w:szCs w:val="20"/>
                <w:color w:val="auto"/>
              </w:rPr>
            </w:pPr>
            <w:r>
              <w:rPr>
                <w:rFonts w:ascii="Arial" w:cs="Arial" w:eastAsia="Arial" w:hAnsi="Arial"/>
                <w:sz w:val="9"/>
                <w:szCs w:val="9"/>
                <w:color w:val="auto"/>
              </w:rPr>
              <w:t>95.7%</w:t>
            </w:r>
          </w:p>
        </w:tc>
        <w:tc>
          <w:tcPr>
            <w:tcW w:w="1160" w:type="dxa"/>
            <w:vAlign w:val="bottom"/>
          </w:tcPr>
          <w:p>
            <w:pPr>
              <w:jc w:val="center"/>
              <w:spacing w:after="0" w:line="94" w:lineRule="exact"/>
              <w:rPr>
                <w:sz w:val="20"/>
                <w:szCs w:val="20"/>
                <w:color w:val="auto"/>
              </w:rPr>
            </w:pPr>
            <w:r>
              <w:rPr>
                <w:rFonts w:ascii="Arial" w:cs="Arial" w:eastAsia="Arial" w:hAnsi="Arial"/>
                <w:sz w:val="9"/>
                <w:szCs w:val="9"/>
                <w:color w:val="auto"/>
              </w:rPr>
              <w:t>$312,384</w:t>
            </w:r>
          </w:p>
        </w:tc>
        <w:tc>
          <w:tcPr>
            <w:tcW w:w="1020" w:type="dxa"/>
            <w:vAlign w:val="bottom"/>
          </w:tcPr>
          <w:p>
            <w:pPr>
              <w:jc w:val="center"/>
              <w:ind w:left="93"/>
              <w:spacing w:after="0" w:line="94" w:lineRule="exact"/>
              <w:rPr>
                <w:sz w:val="20"/>
                <w:szCs w:val="20"/>
                <w:color w:val="auto"/>
              </w:rPr>
            </w:pPr>
            <w:r>
              <w:rPr>
                <w:rFonts w:ascii="Arial" w:cs="Arial" w:eastAsia="Arial" w:hAnsi="Arial"/>
                <w:sz w:val="9"/>
                <w:szCs w:val="9"/>
                <w:color w:val="auto"/>
              </w:rPr>
              <w:t>$32.15</w:t>
            </w:r>
          </w:p>
        </w:tc>
        <w:tc>
          <w:tcPr>
            <w:tcW w:w="1540" w:type="dxa"/>
            <w:vAlign w:val="bottom"/>
          </w:tcPr>
          <w:p>
            <w:pPr>
              <w:jc w:val="center"/>
              <w:spacing w:after="0" w:line="94" w:lineRule="exact"/>
              <w:rPr>
                <w:sz w:val="20"/>
                <w:szCs w:val="20"/>
                <w:color w:val="auto"/>
              </w:rPr>
            </w:pPr>
            <w:r>
              <w:rPr>
                <w:rFonts w:ascii="Arial" w:cs="Arial" w:eastAsia="Arial" w:hAnsi="Arial"/>
                <w:sz w:val="9"/>
                <w:szCs w:val="9"/>
                <w:color w:val="auto"/>
              </w:rPr>
              <w:t>16.2%</w:t>
            </w:r>
          </w:p>
        </w:tc>
        <w:tc>
          <w:tcPr>
            <w:tcW w:w="980" w:type="dxa"/>
            <w:vAlign w:val="bottom"/>
          </w:tcPr>
          <w:p>
            <w:pPr>
              <w:jc w:val="center"/>
              <w:ind w:right="93"/>
              <w:spacing w:after="0" w:line="94" w:lineRule="exact"/>
              <w:rPr>
                <w:sz w:val="20"/>
                <w:szCs w:val="20"/>
                <w:color w:val="auto"/>
              </w:rPr>
            </w:pPr>
            <w:r>
              <w:rPr>
                <w:rFonts w:ascii="Arial" w:cs="Arial" w:eastAsia="Arial" w:hAnsi="Arial"/>
                <w:sz w:val="9"/>
                <w:szCs w:val="9"/>
                <w:color w:val="auto"/>
              </w:rPr>
              <w:t>20.1%</w:t>
            </w:r>
          </w:p>
        </w:tc>
        <w:tc>
          <w:tcPr>
            <w:tcW w:w="1160" w:type="dxa"/>
            <w:vAlign w:val="bottom"/>
          </w:tcPr>
          <w:p>
            <w:pPr>
              <w:jc w:val="center"/>
              <w:spacing w:after="0" w:line="94" w:lineRule="exact"/>
              <w:rPr>
                <w:sz w:val="20"/>
                <w:szCs w:val="20"/>
                <w:color w:val="auto"/>
              </w:rPr>
            </w:pPr>
            <w:r>
              <w:rPr>
                <w:rFonts w:ascii="Arial" w:cs="Arial" w:eastAsia="Arial" w:hAnsi="Arial"/>
                <w:sz w:val="9"/>
                <w:szCs w:val="9"/>
                <w:color w:val="auto"/>
              </w:rPr>
              <w:t>24.6%</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Florida</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rPr>
              <w:t>91</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10,843</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96.5%</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234,323</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22.59</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18.9%</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21.4%</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18.4%</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New York</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47</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3,792</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93.9%</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113,303</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32.06</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9.8%</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7.5%</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8.9%</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Connecticut</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rPr>
              <w:t>42</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3,954</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96.2%</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106,734</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28.29</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8.7%</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7.8%</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8.4%</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Texas</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33</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3,929</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95.9%</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83,468</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22.29</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6.9%</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7.8%</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6.6%</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Georgia</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rPr>
              <w:t>22</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2,152</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96.9%</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52,748</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25.63</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4.6%</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4.2%</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4.1%</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Virginia</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18</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1,631</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97.5%</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49,892</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31.65</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3.7%</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3.2%</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3.9%</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New Jersey</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rPr>
              <w:t>20</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1,730</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96.8%</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42,304</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25.29</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4.2%</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3.4%</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3.3%</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North Carolina</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17</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1,611</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97.8%</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38,001</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24.19</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3.5%</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3.2%</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3.0%</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Washington</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rPr>
              <w:t>17</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1,268</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95.0%</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36,211</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30.60</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3.5%</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2.5%</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2.8%</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Illinois</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11</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1,362</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98.3%</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30,390</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22.70</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2.3%</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2.7%</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2.4%</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Massachusetts</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8</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905</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96.4%</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28,893</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33.24</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1.7%</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1.8%</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2.3%</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Colorado</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19</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1,540</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96.3%</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25,773</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17.32</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4.0%</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3.0%</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2.0%</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Pennsylvania</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8</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747</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97.0%</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19,879</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27.45</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1.7%</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1.5%</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1.6%</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Maryland</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rPr>
              <w:t>11</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638</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97.0%</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19,446</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32.01</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2.3%</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1.3%</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1.5%</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Ohio</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8</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1,237</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97.1%</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16,906</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14.15</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1.7%</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2.4%</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1.3%</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Oregon</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w w:val="78"/>
              </w:rPr>
              <w:t>8</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784</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95.6%</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16,740</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22.38</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1.7%</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1.5%</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1.3%</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Minnesota</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5</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390</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90.1%</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7,457</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21.30</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0.8%</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0.6%</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Indiana</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w w:val="78"/>
              </w:rPr>
              <w:t>3</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428</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97.2%</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8,168</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19.64</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0.6%</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0.8%</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0.6%</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Tennessee</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4</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638</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100.0%</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12,737</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20.01</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0.8%</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1.3%</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Delaware</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w w:val="78"/>
              </w:rPr>
              <w:t>2</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258</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96.3%</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5,128</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20.78</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0.4%</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0.5%</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0.4%</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Missouri</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4</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408</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99.7%</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4,630</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11.38</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0.8%</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0.8%</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0.4%</w:t>
            </w:r>
          </w:p>
        </w:tc>
      </w:tr>
      <w:tr>
        <w:trPr>
          <w:trHeight w:val="118"/>
        </w:trPr>
        <w:tc>
          <w:tcPr>
            <w:tcW w:w="1460" w:type="dxa"/>
            <w:vAlign w:val="bottom"/>
          </w:tcPr>
          <w:p>
            <w:pPr>
              <w:spacing w:after="0" w:line="98" w:lineRule="exact"/>
              <w:rPr>
                <w:sz w:val="20"/>
                <w:szCs w:val="20"/>
                <w:color w:val="auto"/>
              </w:rPr>
            </w:pPr>
            <w:r>
              <w:rPr>
                <w:rFonts w:ascii="Arial" w:cs="Arial" w:eastAsia="Arial" w:hAnsi="Arial"/>
                <w:sz w:val="9"/>
                <w:szCs w:val="9"/>
                <w:color w:val="auto"/>
              </w:rPr>
              <w:t>South Carolina</w:t>
            </w:r>
          </w:p>
        </w:tc>
        <w:tc>
          <w:tcPr>
            <w:tcW w:w="1840" w:type="dxa"/>
            <w:vAlign w:val="bottom"/>
          </w:tcPr>
          <w:p>
            <w:pPr>
              <w:jc w:val="center"/>
              <w:ind w:left="353"/>
              <w:spacing w:after="0" w:line="98" w:lineRule="exact"/>
              <w:rPr>
                <w:sz w:val="20"/>
                <w:szCs w:val="20"/>
                <w:color w:val="auto"/>
              </w:rPr>
            </w:pPr>
            <w:r>
              <w:rPr>
                <w:rFonts w:ascii="Arial" w:cs="Arial" w:eastAsia="Arial" w:hAnsi="Arial"/>
                <w:sz w:val="9"/>
                <w:szCs w:val="9"/>
                <w:color w:val="auto"/>
                <w:w w:val="78"/>
              </w:rPr>
              <w:t>2</w:t>
            </w:r>
          </w:p>
        </w:tc>
        <w:tc>
          <w:tcPr>
            <w:tcW w:w="940" w:type="dxa"/>
            <w:vAlign w:val="bottom"/>
          </w:tcPr>
          <w:p>
            <w:pPr>
              <w:jc w:val="center"/>
              <w:ind w:right="53"/>
              <w:spacing w:after="0" w:line="98" w:lineRule="exact"/>
              <w:rPr>
                <w:sz w:val="20"/>
                <w:szCs w:val="20"/>
                <w:color w:val="auto"/>
              </w:rPr>
            </w:pPr>
            <w:r>
              <w:rPr>
                <w:rFonts w:ascii="Arial" w:cs="Arial" w:eastAsia="Arial" w:hAnsi="Arial"/>
                <w:sz w:val="9"/>
                <w:szCs w:val="9"/>
                <w:color w:val="auto"/>
              </w:rPr>
              <w:t>83</w:t>
            </w:r>
          </w:p>
        </w:tc>
        <w:tc>
          <w:tcPr>
            <w:tcW w:w="1200" w:type="dxa"/>
            <w:vAlign w:val="bottom"/>
          </w:tcPr>
          <w:p>
            <w:pPr>
              <w:jc w:val="center"/>
              <w:spacing w:after="0" w:line="98" w:lineRule="exact"/>
              <w:rPr>
                <w:sz w:val="20"/>
                <w:szCs w:val="20"/>
                <w:color w:val="auto"/>
              </w:rPr>
            </w:pPr>
            <w:r>
              <w:rPr>
                <w:rFonts w:ascii="Arial" w:cs="Arial" w:eastAsia="Arial" w:hAnsi="Arial"/>
                <w:sz w:val="9"/>
                <w:szCs w:val="9"/>
                <w:color w:val="auto"/>
              </w:rPr>
              <w:t>100.0%</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2,297</w:t>
            </w:r>
          </w:p>
        </w:tc>
        <w:tc>
          <w:tcPr>
            <w:tcW w:w="1020" w:type="dxa"/>
            <w:vAlign w:val="bottom"/>
          </w:tcPr>
          <w:p>
            <w:pPr>
              <w:jc w:val="center"/>
              <w:ind w:left="93"/>
              <w:spacing w:after="0" w:line="98" w:lineRule="exact"/>
              <w:rPr>
                <w:sz w:val="20"/>
                <w:szCs w:val="20"/>
                <w:color w:val="auto"/>
              </w:rPr>
            </w:pPr>
            <w:r>
              <w:rPr>
                <w:rFonts w:ascii="Arial" w:cs="Arial" w:eastAsia="Arial" w:hAnsi="Arial"/>
                <w:sz w:val="9"/>
                <w:szCs w:val="9"/>
                <w:color w:val="auto"/>
              </w:rPr>
              <w:t>27.70</w:t>
            </w:r>
          </w:p>
        </w:tc>
        <w:tc>
          <w:tcPr>
            <w:tcW w:w="1540" w:type="dxa"/>
            <w:vAlign w:val="bottom"/>
          </w:tcPr>
          <w:p>
            <w:pPr>
              <w:jc w:val="center"/>
              <w:spacing w:after="0" w:line="98" w:lineRule="exact"/>
              <w:rPr>
                <w:sz w:val="20"/>
                <w:szCs w:val="20"/>
                <w:color w:val="auto"/>
              </w:rPr>
            </w:pPr>
            <w:r>
              <w:rPr>
                <w:rFonts w:ascii="Arial" w:cs="Arial" w:eastAsia="Arial" w:hAnsi="Arial"/>
                <w:sz w:val="9"/>
                <w:szCs w:val="9"/>
                <w:color w:val="auto"/>
              </w:rPr>
              <w:t>0.4%</w:t>
            </w:r>
          </w:p>
        </w:tc>
        <w:tc>
          <w:tcPr>
            <w:tcW w:w="980" w:type="dxa"/>
            <w:vAlign w:val="bottom"/>
          </w:tcPr>
          <w:p>
            <w:pPr>
              <w:jc w:val="center"/>
              <w:ind w:right="93"/>
              <w:spacing w:after="0" w:line="98" w:lineRule="exact"/>
              <w:rPr>
                <w:sz w:val="20"/>
                <w:szCs w:val="20"/>
                <w:color w:val="auto"/>
              </w:rPr>
            </w:pPr>
            <w:r>
              <w:rPr>
                <w:rFonts w:ascii="Arial" w:cs="Arial" w:eastAsia="Arial" w:hAnsi="Arial"/>
                <w:sz w:val="9"/>
                <w:szCs w:val="9"/>
                <w:color w:val="auto"/>
              </w:rPr>
              <w:t>0.2%</w:t>
            </w:r>
          </w:p>
        </w:tc>
        <w:tc>
          <w:tcPr>
            <w:tcW w:w="1160" w:type="dxa"/>
            <w:vAlign w:val="bottom"/>
          </w:tcPr>
          <w:p>
            <w:pPr>
              <w:jc w:val="center"/>
              <w:spacing w:after="0" w:line="98" w:lineRule="exact"/>
              <w:rPr>
                <w:sz w:val="20"/>
                <w:szCs w:val="20"/>
                <w:color w:val="auto"/>
              </w:rPr>
            </w:pPr>
            <w:r>
              <w:rPr>
                <w:rFonts w:ascii="Arial" w:cs="Arial" w:eastAsia="Arial" w:hAnsi="Arial"/>
                <w:sz w:val="9"/>
                <w:szCs w:val="9"/>
                <w:color w:val="auto"/>
              </w:rPr>
              <w:t>0.2%</w:t>
            </w:r>
          </w:p>
        </w:tc>
      </w:tr>
      <w:tr>
        <w:trPr>
          <w:trHeight w:val="118"/>
        </w:trPr>
        <w:tc>
          <w:tcPr>
            <w:tcW w:w="1460" w:type="dxa"/>
            <w:vAlign w:val="bottom"/>
            <w:shd w:val="clear" w:color="auto" w:fill="BFBFBF"/>
          </w:tcPr>
          <w:p>
            <w:pPr>
              <w:spacing w:after="0" w:line="98" w:lineRule="exact"/>
              <w:rPr>
                <w:sz w:val="20"/>
                <w:szCs w:val="20"/>
                <w:color w:val="auto"/>
              </w:rPr>
            </w:pPr>
            <w:r>
              <w:rPr>
                <w:rFonts w:ascii="Arial" w:cs="Arial" w:eastAsia="Arial" w:hAnsi="Arial"/>
                <w:sz w:val="9"/>
                <w:szCs w:val="9"/>
                <w:color w:val="auto"/>
              </w:rPr>
              <w:t>Rhode Island</w:t>
            </w:r>
          </w:p>
        </w:tc>
        <w:tc>
          <w:tcPr>
            <w:tcW w:w="1840" w:type="dxa"/>
            <w:vAlign w:val="bottom"/>
            <w:shd w:val="clear" w:color="auto" w:fill="BFBFBF"/>
          </w:tcPr>
          <w:p>
            <w:pPr>
              <w:jc w:val="center"/>
              <w:ind w:left="353"/>
              <w:spacing w:after="0" w:line="98" w:lineRule="exact"/>
              <w:rPr>
                <w:sz w:val="20"/>
                <w:szCs w:val="20"/>
                <w:color w:val="auto"/>
              </w:rPr>
            </w:pPr>
            <w:r>
              <w:rPr>
                <w:rFonts w:ascii="Arial" w:cs="Arial" w:eastAsia="Arial" w:hAnsi="Arial"/>
                <w:sz w:val="9"/>
                <w:szCs w:val="9"/>
                <w:color w:val="auto"/>
                <w:w w:val="78"/>
              </w:rPr>
              <w:t>1</w:t>
            </w:r>
          </w:p>
        </w:tc>
        <w:tc>
          <w:tcPr>
            <w:tcW w:w="940" w:type="dxa"/>
            <w:vAlign w:val="bottom"/>
            <w:shd w:val="clear" w:color="auto" w:fill="BFBFBF"/>
          </w:tcPr>
          <w:p>
            <w:pPr>
              <w:jc w:val="center"/>
              <w:ind w:right="53"/>
              <w:spacing w:after="0" w:line="98" w:lineRule="exact"/>
              <w:rPr>
                <w:sz w:val="20"/>
                <w:szCs w:val="20"/>
                <w:color w:val="auto"/>
              </w:rPr>
            </w:pPr>
            <w:r>
              <w:rPr>
                <w:rFonts w:ascii="Arial" w:cs="Arial" w:eastAsia="Arial" w:hAnsi="Arial"/>
                <w:sz w:val="9"/>
                <w:szCs w:val="9"/>
                <w:color w:val="auto"/>
              </w:rPr>
              <w:t>111</w:t>
            </w:r>
          </w:p>
        </w:tc>
        <w:tc>
          <w:tcPr>
            <w:tcW w:w="120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100.0%</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2,412</w:t>
            </w:r>
          </w:p>
        </w:tc>
        <w:tc>
          <w:tcPr>
            <w:tcW w:w="1020" w:type="dxa"/>
            <w:vAlign w:val="bottom"/>
            <w:shd w:val="clear" w:color="auto" w:fill="BFBFBF"/>
          </w:tcPr>
          <w:p>
            <w:pPr>
              <w:jc w:val="center"/>
              <w:ind w:left="93"/>
              <w:spacing w:after="0" w:line="98" w:lineRule="exact"/>
              <w:rPr>
                <w:sz w:val="20"/>
                <w:szCs w:val="20"/>
                <w:color w:val="auto"/>
              </w:rPr>
            </w:pPr>
            <w:r>
              <w:rPr>
                <w:rFonts w:ascii="Arial" w:cs="Arial" w:eastAsia="Arial" w:hAnsi="Arial"/>
                <w:sz w:val="9"/>
                <w:szCs w:val="9"/>
                <w:color w:val="auto"/>
              </w:rPr>
              <w:t>21.71</w:t>
            </w:r>
          </w:p>
        </w:tc>
        <w:tc>
          <w:tcPr>
            <w:tcW w:w="154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0.2%</w:t>
            </w:r>
          </w:p>
        </w:tc>
        <w:tc>
          <w:tcPr>
            <w:tcW w:w="980" w:type="dxa"/>
            <w:vAlign w:val="bottom"/>
            <w:shd w:val="clear" w:color="auto" w:fill="BFBFBF"/>
          </w:tcPr>
          <w:p>
            <w:pPr>
              <w:jc w:val="center"/>
              <w:ind w:right="93"/>
              <w:spacing w:after="0" w:line="98" w:lineRule="exact"/>
              <w:rPr>
                <w:sz w:val="20"/>
                <w:szCs w:val="20"/>
                <w:color w:val="auto"/>
              </w:rPr>
            </w:pPr>
            <w:r>
              <w:rPr>
                <w:rFonts w:ascii="Arial" w:cs="Arial" w:eastAsia="Arial" w:hAnsi="Arial"/>
                <w:sz w:val="9"/>
                <w:szCs w:val="9"/>
                <w:color w:val="auto"/>
              </w:rPr>
              <w:t>0.2%</w:t>
            </w:r>
          </w:p>
        </w:tc>
        <w:tc>
          <w:tcPr>
            <w:tcW w:w="116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0.2%</w:t>
            </w:r>
          </w:p>
        </w:tc>
      </w:tr>
      <w:tr>
        <w:trPr>
          <w:trHeight w:val="118"/>
        </w:trPr>
        <w:tc>
          <w:tcPr>
            <w:tcW w:w="1460" w:type="dxa"/>
            <w:vAlign w:val="bottom"/>
            <w:tcBorders>
              <w:bottom w:val="single" w:sz="8" w:color="auto"/>
            </w:tcBorders>
          </w:tcPr>
          <w:p>
            <w:pPr>
              <w:spacing w:after="0" w:line="98" w:lineRule="exact"/>
              <w:rPr>
                <w:sz w:val="20"/>
                <w:szCs w:val="20"/>
                <w:color w:val="auto"/>
              </w:rPr>
            </w:pPr>
            <w:r>
              <w:rPr>
                <w:rFonts w:ascii="Arial" w:cs="Arial" w:eastAsia="Arial" w:hAnsi="Arial"/>
                <w:sz w:val="9"/>
                <w:szCs w:val="9"/>
                <w:color w:val="auto"/>
              </w:rPr>
              <w:t>Washington, D.C.</w:t>
            </w:r>
          </w:p>
        </w:tc>
        <w:tc>
          <w:tcPr>
            <w:tcW w:w="1840" w:type="dxa"/>
            <w:vAlign w:val="bottom"/>
            <w:tcBorders>
              <w:bottom w:val="single" w:sz="8" w:color="auto"/>
            </w:tcBorders>
          </w:tcPr>
          <w:p>
            <w:pPr>
              <w:jc w:val="center"/>
              <w:ind w:left="353"/>
              <w:spacing w:after="0" w:line="98" w:lineRule="exact"/>
              <w:rPr>
                <w:sz w:val="20"/>
                <w:szCs w:val="20"/>
                <w:color w:val="auto"/>
              </w:rPr>
            </w:pPr>
            <w:r>
              <w:rPr>
                <w:rFonts w:ascii="Arial" w:cs="Arial" w:eastAsia="Arial" w:hAnsi="Arial"/>
                <w:sz w:val="9"/>
                <w:szCs w:val="9"/>
                <w:color w:val="auto"/>
                <w:w w:val="78"/>
              </w:rPr>
              <w:t>2</w:t>
            </w:r>
          </w:p>
        </w:tc>
        <w:tc>
          <w:tcPr>
            <w:tcW w:w="940" w:type="dxa"/>
            <w:vAlign w:val="bottom"/>
            <w:tcBorders>
              <w:bottom w:val="single" w:sz="8" w:color="auto"/>
            </w:tcBorders>
          </w:tcPr>
          <w:p>
            <w:pPr>
              <w:jc w:val="center"/>
              <w:ind w:right="53"/>
              <w:spacing w:after="0" w:line="98" w:lineRule="exact"/>
              <w:rPr>
                <w:sz w:val="20"/>
                <w:szCs w:val="20"/>
                <w:color w:val="auto"/>
              </w:rPr>
            </w:pPr>
            <w:r>
              <w:rPr>
                <w:rFonts w:ascii="Arial" w:cs="Arial" w:eastAsia="Arial" w:hAnsi="Arial"/>
                <w:sz w:val="9"/>
                <w:szCs w:val="9"/>
                <w:color w:val="auto"/>
              </w:rPr>
              <w:t>30</w:t>
            </w:r>
          </w:p>
        </w:tc>
        <w:tc>
          <w:tcPr>
            <w:tcW w:w="120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100.0%</w:t>
            </w:r>
          </w:p>
        </w:tc>
        <w:tc>
          <w:tcPr>
            <w:tcW w:w="11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1,607</w:t>
            </w:r>
          </w:p>
        </w:tc>
        <w:tc>
          <w:tcPr>
            <w:tcW w:w="1020" w:type="dxa"/>
            <w:vAlign w:val="bottom"/>
            <w:tcBorders>
              <w:bottom w:val="single" w:sz="8" w:color="auto"/>
            </w:tcBorders>
          </w:tcPr>
          <w:p>
            <w:pPr>
              <w:jc w:val="center"/>
              <w:ind w:left="93"/>
              <w:spacing w:after="0" w:line="98" w:lineRule="exact"/>
              <w:rPr>
                <w:sz w:val="20"/>
                <w:szCs w:val="20"/>
                <w:color w:val="auto"/>
              </w:rPr>
            </w:pPr>
            <w:r>
              <w:rPr>
                <w:rFonts w:ascii="Arial" w:cs="Arial" w:eastAsia="Arial" w:hAnsi="Arial"/>
                <w:sz w:val="9"/>
                <w:szCs w:val="9"/>
                <w:color w:val="auto"/>
              </w:rPr>
              <w:t>54.33</w:t>
            </w:r>
          </w:p>
        </w:tc>
        <w:tc>
          <w:tcPr>
            <w:tcW w:w="154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0.4%</w:t>
            </w:r>
          </w:p>
        </w:tc>
        <w:tc>
          <w:tcPr>
            <w:tcW w:w="980" w:type="dxa"/>
            <w:vAlign w:val="bottom"/>
            <w:tcBorders>
              <w:bottom w:val="single" w:sz="8" w:color="auto"/>
            </w:tcBorders>
          </w:tcPr>
          <w:p>
            <w:pPr>
              <w:jc w:val="center"/>
              <w:ind w:right="93"/>
              <w:spacing w:after="0" w:line="98" w:lineRule="exact"/>
              <w:rPr>
                <w:sz w:val="20"/>
                <w:szCs w:val="20"/>
                <w:color w:val="auto"/>
              </w:rPr>
            </w:pPr>
            <w:r>
              <w:rPr>
                <w:rFonts w:ascii="Arial" w:cs="Arial" w:eastAsia="Arial" w:hAnsi="Arial"/>
                <w:sz w:val="9"/>
                <w:szCs w:val="9"/>
                <w:color w:val="auto"/>
              </w:rPr>
              <w:t>0.1%</w:t>
            </w:r>
          </w:p>
        </w:tc>
        <w:tc>
          <w:tcPr>
            <w:tcW w:w="11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9"/>
                <w:szCs w:val="9"/>
                <w:color w:val="auto"/>
              </w:rPr>
              <w:t>0.1%</w:t>
            </w:r>
          </w:p>
        </w:tc>
      </w:tr>
      <w:tr>
        <w:trPr>
          <w:trHeight w:val="114"/>
        </w:trPr>
        <w:tc>
          <w:tcPr>
            <w:tcW w:w="1460" w:type="dxa"/>
            <w:vAlign w:val="bottom"/>
            <w:tcBorders>
              <w:bottom w:val="single" w:sz="8" w:color="auto"/>
            </w:tcBorders>
          </w:tcPr>
          <w:p>
            <w:pPr>
              <w:spacing w:after="0" w:line="94" w:lineRule="exact"/>
              <w:rPr>
                <w:sz w:val="20"/>
                <w:szCs w:val="20"/>
                <w:color w:val="auto"/>
              </w:rPr>
            </w:pPr>
            <w:r>
              <w:rPr>
                <w:rFonts w:ascii="Arial" w:cs="Arial" w:eastAsia="Arial" w:hAnsi="Arial"/>
                <w:sz w:val="9"/>
                <w:szCs w:val="9"/>
                <w:color w:val="auto"/>
                <w:highlight w:val="black"/>
              </w:rPr>
              <w:t>Total All Properties</w:t>
            </w:r>
          </w:p>
        </w:tc>
        <w:tc>
          <w:tcPr>
            <w:tcW w:w="1840" w:type="dxa"/>
            <w:vAlign w:val="bottom"/>
            <w:tcBorders>
              <w:bottom w:val="single" w:sz="8" w:color="auto"/>
            </w:tcBorders>
          </w:tcPr>
          <w:p>
            <w:pPr>
              <w:jc w:val="center"/>
              <w:ind w:left="353"/>
              <w:spacing w:after="0" w:line="94" w:lineRule="exact"/>
              <w:rPr>
                <w:sz w:val="20"/>
                <w:szCs w:val="20"/>
                <w:color w:val="auto"/>
              </w:rPr>
            </w:pPr>
            <w:r>
              <w:rPr>
                <w:rFonts w:ascii="Arial" w:cs="Arial" w:eastAsia="Arial" w:hAnsi="Arial"/>
                <w:sz w:val="9"/>
                <w:szCs w:val="9"/>
                <w:color w:val="auto"/>
                <w:highlight w:val="black"/>
              </w:rPr>
              <w:t>481</w:t>
            </w:r>
          </w:p>
        </w:tc>
        <w:tc>
          <w:tcPr>
            <w:tcW w:w="940" w:type="dxa"/>
            <w:vAlign w:val="bottom"/>
            <w:tcBorders>
              <w:bottom w:val="single" w:sz="8" w:color="auto"/>
            </w:tcBorders>
          </w:tcPr>
          <w:p>
            <w:pPr>
              <w:jc w:val="center"/>
              <w:ind w:right="53"/>
              <w:spacing w:after="0" w:line="94" w:lineRule="exact"/>
              <w:rPr>
                <w:sz w:val="20"/>
                <w:szCs w:val="20"/>
                <w:color w:val="auto"/>
              </w:rPr>
            </w:pPr>
            <w:r>
              <w:rPr>
                <w:rFonts w:ascii="Arial" w:cs="Arial" w:eastAsia="Arial" w:hAnsi="Arial"/>
                <w:sz w:val="9"/>
                <w:szCs w:val="9"/>
                <w:color w:val="auto"/>
                <w:highlight w:val="black"/>
              </w:rPr>
              <w:t>50,654</w:t>
            </w:r>
          </w:p>
        </w:tc>
        <w:tc>
          <w:tcPr>
            <w:tcW w:w="120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rPr>
              <w:t>96.2%</w:t>
            </w:r>
          </w:p>
        </w:tc>
        <w:tc>
          <w:tcPr>
            <w:tcW w:w="116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$1,271,832</w:t>
            </w:r>
          </w:p>
        </w:tc>
        <w:tc>
          <w:tcPr>
            <w:tcW w:w="1020" w:type="dxa"/>
            <w:vAlign w:val="bottom"/>
            <w:tcBorders>
              <w:bottom w:val="single" w:sz="8" w:color="auto"/>
            </w:tcBorders>
          </w:tcPr>
          <w:p>
            <w:pPr>
              <w:jc w:val="center"/>
              <w:ind w:left="93"/>
              <w:spacing w:after="0" w:line="94" w:lineRule="exact"/>
              <w:rPr>
                <w:sz w:val="20"/>
                <w:szCs w:val="20"/>
                <w:color w:val="auto"/>
              </w:rPr>
            </w:pPr>
            <w:r>
              <w:rPr>
                <w:rFonts w:ascii="Arial" w:cs="Arial" w:eastAsia="Arial" w:hAnsi="Arial"/>
                <w:sz w:val="9"/>
                <w:szCs w:val="9"/>
                <w:color w:val="auto"/>
                <w:highlight w:val="black"/>
              </w:rPr>
              <w:t>$26.25</w:t>
            </w:r>
          </w:p>
        </w:tc>
        <w:tc>
          <w:tcPr>
            <w:tcW w:w="154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100%</w:t>
            </w:r>
          </w:p>
        </w:tc>
        <w:tc>
          <w:tcPr>
            <w:tcW w:w="980" w:type="dxa"/>
            <w:vAlign w:val="bottom"/>
            <w:tcBorders>
              <w:bottom w:val="single" w:sz="8" w:color="auto"/>
            </w:tcBorders>
          </w:tcPr>
          <w:p>
            <w:pPr>
              <w:jc w:val="center"/>
              <w:ind w:right="93"/>
              <w:spacing w:after="0" w:line="94" w:lineRule="exact"/>
              <w:rPr>
                <w:sz w:val="20"/>
                <w:szCs w:val="20"/>
                <w:color w:val="auto"/>
              </w:rPr>
            </w:pPr>
            <w:r>
              <w:rPr>
                <w:rFonts w:ascii="Arial" w:cs="Arial" w:eastAsia="Arial" w:hAnsi="Arial"/>
                <w:sz w:val="9"/>
                <w:szCs w:val="9"/>
                <w:color w:val="auto"/>
                <w:highlight w:val="black"/>
              </w:rPr>
              <w:t>100%</w:t>
            </w:r>
          </w:p>
        </w:tc>
        <w:tc>
          <w:tcPr>
            <w:tcW w:w="116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-88900</wp:posOffset>
            </wp:positionV>
            <wp:extent cx="201295" cy="742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1295" cy="74295"/>
                    </a:xfrm>
                    <a:prstGeom prst="rect">
                      <a:avLst/>
                    </a:prstGeom>
                    <a:noFill/>
                  </pic:spPr>
                </pic:pic>
              </a:graphicData>
            </a:graphic>
          </wp:anchor>
        </w:drawing>
      </w:r>
    </w:p>
    <w:p>
      <w:pPr>
        <w:spacing w:after="0" w:line="186" w:lineRule="exact"/>
        <w:rPr>
          <w:sz w:val="20"/>
          <w:szCs w:val="20"/>
          <w:color w:val="auto"/>
        </w:rPr>
      </w:pPr>
    </w:p>
    <w:p>
      <w:pPr>
        <w:ind w:left="8"/>
        <w:spacing w:after="0"/>
        <w:rPr>
          <w:sz w:val="20"/>
          <w:szCs w:val="20"/>
          <w:color w:val="auto"/>
        </w:rPr>
      </w:pPr>
      <w:r>
        <w:rPr>
          <w:rFonts w:ascii="Arial" w:cs="Arial" w:eastAsia="Arial" w:hAnsi="Arial"/>
          <w:sz w:val="9"/>
          <w:szCs w:val="9"/>
          <w:color w:val="auto"/>
        </w:rPr>
        <w:t>Note: Represents Regency's consolidated and pro-rata share of real estate partnerships.</w:t>
      </w:r>
    </w:p>
    <w:p>
      <w:pPr>
        <w:spacing w:after="0" w:line="4" w:lineRule="exact"/>
        <w:rPr>
          <w:sz w:val="20"/>
          <w:szCs w:val="20"/>
          <w:color w:val="auto"/>
        </w:rPr>
      </w:pPr>
    </w:p>
    <w:p>
      <w:pPr>
        <w:ind w:left="308" w:hanging="308"/>
        <w:spacing w:after="0"/>
        <w:tabs>
          <w:tab w:leader="none" w:pos="308" w:val="left"/>
        </w:tabs>
        <w:numPr>
          <w:ilvl w:val="0"/>
          <w:numId w:val="50"/>
        </w:numPr>
        <w:rPr>
          <w:rFonts w:ascii="Arial" w:cs="Arial" w:eastAsia="Arial" w:hAnsi="Arial"/>
          <w:sz w:val="13"/>
          <w:szCs w:val="13"/>
          <w:color w:val="auto"/>
          <w:vertAlign w:val="superscript"/>
        </w:rPr>
      </w:pPr>
      <w:r>
        <w:rPr>
          <w:rFonts w:ascii="Arial" w:cs="Arial" w:eastAsia="Arial" w:hAnsi="Arial"/>
          <w:sz w:val="9"/>
          <w:szCs w:val="9"/>
          <w:color w:val="auto"/>
        </w:rPr>
        <w:t>Includes Properties in Development and leases that are executed but have not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113665</wp:posOffset>
            </wp:positionV>
            <wp:extent cx="287020" cy="154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8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2"/>
          <w:szCs w:val="12"/>
          <w:color w:val="auto"/>
          <w:highlight w:val="black"/>
        </w:rPr>
        <w:t xml:space="preserve">Annual </w:t>
      </w:r>
      <w:r>
        <w:rPr>
          <w:rFonts w:ascii="Arial" w:cs="Arial" w:eastAsia="Arial" w:hAnsi="Arial"/>
          <w:sz w:val="12"/>
          <w:szCs w:val="12"/>
          <w:color w:val="auto"/>
        </w:rPr>
        <w:t>Base Rent by CBSA</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ind w:left="5260"/>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97155</wp:posOffset>
            </wp:positionV>
            <wp:extent cx="113030" cy="609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3030" cy="60960"/>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95250</wp:posOffset>
            </wp:positionV>
            <wp:extent cx="219710" cy="62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9710" cy="62865"/>
                    </a:xfrm>
                    <a:prstGeom prst="rect">
                      <a:avLst/>
                    </a:prstGeom>
                    <a:noFill/>
                  </pic:spPr>
                </pic:pic>
              </a:graphicData>
            </a:graphic>
          </wp:anchor>
        </w:drawing>
        <w:drawing>
          <wp:anchor simplePos="0" relativeHeight="251657728" behindDoc="1" locked="0" layoutInCell="0" allowOverlap="1">
            <wp:simplePos x="0" y="0"/>
            <wp:positionH relativeFrom="column">
              <wp:posOffset>6702425</wp:posOffset>
            </wp:positionH>
            <wp:positionV relativeFrom="paragraph">
              <wp:posOffset>95250</wp:posOffset>
            </wp:positionV>
            <wp:extent cx="222885" cy="62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2885" cy="6286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84455</wp:posOffset>
            </wp:positionV>
            <wp:extent cx="63500" cy="56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500" cy="56515"/>
                    </a:xfrm>
                    <a:prstGeom prst="rect">
                      <a:avLst/>
                    </a:prstGeom>
                    <a:noFill/>
                  </pic:spPr>
                </pic:pic>
              </a:graphicData>
            </a:graphic>
          </wp:anchor>
        </w:drawing>
        <w:drawing>
          <wp:anchor simplePos="0" relativeHeight="251657728" behindDoc="1" locked="0" layoutInCell="0" allowOverlap="1">
            <wp:simplePos x="0" y="0"/>
            <wp:positionH relativeFrom="column">
              <wp:posOffset>3091815</wp:posOffset>
            </wp:positionH>
            <wp:positionV relativeFrom="paragraph">
              <wp:posOffset>84455</wp:posOffset>
            </wp:positionV>
            <wp:extent cx="263525" cy="736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3525" cy="7366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7"/>
                <w:szCs w:val="7"/>
                <w:color w:val="auto"/>
              </w:rPr>
              <w:t>Largest CBSAs by Population</w:t>
            </w:r>
            <w:r>
              <w:rPr>
                <w:rFonts w:ascii="Arial" w:cs="Arial" w:eastAsia="Arial" w:hAnsi="Arial"/>
                <w:sz w:val="9"/>
                <w:szCs w:val="9"/>
                <w:color w:val="auto"/>
                <w:vertAlign w:val="superscript"/>
              </w:rPr>
              <w:t>(1)</w:t>
            </w:r>
          </w:p>
        </w:tc>
        <w:tc>
          <w:tcPr>
            <w:tcW w:w="1600" w:type="dxa"/>
            <w:vAlign w:val="bottom"/>
            <w:tcBorders>
              <w:bottom w:val="single" w:sz="8" w:color="auto"/>
            </w:tcBorders>
          </w:tcPr>
          <w:p>
            <w:pPr>
              <w:ind w:left="620"/>
              <w:spacing w:after="0"/>
              <w:rPr>
                <w:sz w:val="20"/>
                <w:szCs w:val="20"/>
                <w:color w:val="auto"/>
              </w:rPr>
            </w:pPr>
            <w:r>
              <w:rPr>
                <w:rFonts w:ascii="Arial" w:cs="Arial" w:eastAsia="Arial" w:hAnsi="Arial"/>
                <w:sz w:val="7"/>
                <w:szCs w:val="7"/>
                <w:color w:val="auto"/>
                <w:highlight w:val="black"/>
              </w:rPr>
              <w:t>Number of Properties</w:t>
            </w: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7"/>
                <w:szCs w:val="7"/>
                <w:color w:val="auto"/>
                <w:highlight w:val="black"/>
              </w:rPr>
              <w:t>GLA</w:t>
            </w: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7"/>
                <w:szCs w:val="7"/>
                <w:color w:val="auto"/>
              </w:rPr>
              <w:t>% Leased</w:t>
            </w:r>
            <w:r>
              <w:rPr>
                <w:rFonts w:ascii="Arial" w:cs="Arial" w:eastAsia="Arial" w:hAnsi="Arial"/>
                <w:sz w:val="9"/>
                <w:szCs w:val="9"/>
                <w:color w:val="auto"/>
                <w:vertAlign w:val="superscript"/>
              </w:rPr>
              <w:t>(2)</w:t>
            </w:r>
          </w:p>
        </w:tc>
        <w:tc>
          <w:tcPr>
            <w:tcW w:w="1120" w:type="dxa"/>
            <w:vAlign w:val="bottom"/>
            <w:tcBorders>
              <w:bottom w:val="single" w:sz="8" w:color="auto"/>
            </w:tcBorders>
          </w:tcPr>
          <w:p>
            <w:pPr>
              <w:ind w:left="500"/>
              <w:spacing w:after="0"/>
              <w:rPr>
                <w:sz w:val="20"/>
                <w:szCs w:val="20"/>
                <w:color w:val="auto"/>
              </w:rPr>
            </w:pPr>
            <w:r>
              <w:rPr>
                <w:rFonts w:ascii="Arial" w:cs="Arial" w:eastAsia="Arial" w:hAnsi="Arial"/>
                <w:sz w:val="7"/>
                <w:szCs w:val="7"/>
                <w:color w:val="auto"/>
              </w:rPr>
              <w:t>ABR</w:t>
            </w:r>
          </w:p>
        </w:tc>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7"/>
                <w:szCs w:val="7"/>
                <w:color w:val="auto"/>
                <w:highlight w:val="black"/>
              </w:rPr>
              <w:t>ABR/Sq. Ft.</w:t>
            </w: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 of Number of Properties</w:t>
            </w: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7"/>
                <w:szCs w:val="7"/>
                <w:color w:val="auto"/>
              </w:rPr>
              <w:t>% of GLA</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7"/>
                <w:szCs w:val="7"/>
                <w:color w:val="auto"/>
              </w:rPr>
              <w:t>% of ABR</w:t>
            </w:r>
          </w:p>
        </w:tc>
      </w:tr>
      <w:tr>
        <w:trPr>
          <w:trHeight w:val="98"/>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1) New York-Newark-Jersey City</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66</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5,468</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94.8%</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$154,732</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$29.87</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13.7%</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10.8%</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12.2%</w:t>
            </w:r>
          </w:p>
        </w:tc>
      </w:tr>
      <w:tr>
        <w:trPr>
          <w:trHeight w:val="102"/>
        </w:trPr>
        <w:tc>
          <w:tcPr>
            <w:tcW w:w="1960" w:type="dxa"/>
            <w:vAlign w:val="bottom"/>
            <w:gridSpan w:val="2"/>
          </w:tcPr>
          <w:p>
            <w:pPr>
              <w:spacing w:after="0"/>
              <w:rPr>
                <w:sz w:val="20"/>
                <w:szCs w:val="20"/>
                <w:color w:val="auto"/>
              </w:rPr>
            </w:pPr>
            <w:r>
              <w:rPr>
                <w:rFonts w:ascii="Arial" w:cs="Arial" w:eastAsia="Arial" w:hAnsi="Arial"/>
                <w:sz w:val="7"/>
                <w:szCs w:val="7"/>
                <w:color w:val="auto"/>
              </w:rPr>
              <w:t>2) Los Angeles-Long Beach-Anaheim</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30</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rPr>
              <w:t>3,168</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98.1%</w:t>
            </w:r>
          </w:p>
        </w:tc>
        <w:tc>
          <w:tcPr>
            <w:tcW w:w="1120" w:type="dxa"/>
            <w:vAlign w:val="bottom"/>
          </w:tcPr>
          <w:p>
            <w:pPr>
              <w:jc w:val="center"/>
              <w:spacing w:after="0"/>
              <w:rPr>
                <w:sz w:val="20"/>
                <w:szCs w:val="20"/>
                <w:color w:val="auto"/>
              </w:rPr>
            </w:pPr>
            <w:r>
              <w:rPr>
                <w:rFonts w:ascii="Arial" w:cs="Arial" w:eastAsia="Arial" w:hAnsi="Arial"/>
                <w:sz w:val="7"/>
                <w:szCs w:val="7"/>
                <w:color w:val="auto"/>
              </w:rPr>
              <w:t>$107,374</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$34.54</w:t>
            </w:r>
          </w:p>
        </w:tc>
        <w:tc>
          <w:tcPr>
            <w:tcW w:w="1380" w:type="dxa"/>
            <w:vAlign w:val="bottom"/>
          </w:tcPr>
          <w:p>
            <w:pPr>
              <w:jc w:val="center"/>
              <w:spacing w:after="0"/>
              <w:rPr>
                <w:sz w:val="20"/>
                <w:szCs w:val="20"/>
                <w:color w:val="auto"/>
              </w:rPr>
            </w:pPr>
            <w:r>
              <w:rPr>
                <w:rFonts w:ascii="Arial" w:cs="Arial" w:eastAsia="Arial" w:hAnsi="Arial"/>
                <w:sz w:val="7"/>
                <w:szCs w:val="7"/>
                <w:color w:val="auto"/>
              </w:rPr>
              <w:t>6.2%</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6.3%</w:t>
            </w:r>
          </w:p>
        </w:tc>
        <w:tc>
          <w:tcPr>
            <w:tcW w:w="1140" w:type="dxa"/>
            <w:vAlign w:val="bottom"/>
          </w:tcPr>
          <w:p>
            <w:pPr>
              <w:jc w:val="center"/>
              <w:spacing w:after="0"/>
              <w:rPr>
                <w:sz w:val="20"/>
                <w:szCs w:val="20"/>
                <w:color w:val="auto"/>
              </w:rPr>
            </w:pPr>
            <w:r>
              <w:rPr>
                <w:rFonts w:ascii="Arial" w:cs="Arial" w:eastAsia="Arial" w:hAnsi="Arial"/>
                <w:sz w:val="7"/>
                <w:szCs w:val="7"/>
                <w:color w:val="auto"/>
              </w:rPr>
              <w:t>8.4%</w:t>
            </w:r>
          </w:p>
        </w:tc>
      </w:tr>
      <w:tr>
        <w:trPr>
          <w:trHeight w:val="115"/>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3) Chicago-Naperville-Elgin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12</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1,651</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98.4%</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$35,592</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$21.90</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2.5%</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3.3%</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2.8%</w:t>
            </w:r>
          </w:p>
        </w:tc>
      </w:tr>
      <w:tr>
        <w:trPr>
          <w:trHeight w:val="102"/>
        </w:trPr>
        <w:tc>
          <w:tcPr>
            <w:tcW w:w="1960" w:type="dxa"/>
            <w:vAlign w:val="bottom"/>
            <w:gridSpan w:val="2"/>
          </w:tcPr>
          <w:p>
            <w:pPr>
              <w:spacing w:after="0"/>
              <w:rPr>
                <w:sz w:val="20"/>
                <w:szCs w:val="20"/>
                <w:color w:val="auto"/>
              </w:rPr>
            </w:pPr>
            <w:r>
              <w:rPr>
                <w:rFonts w:ascii="Arial" w:cs="Arial" w:eastAsia="Arial" w:hAnsi="Arial"/>
                <w:sz w:val="7"/>
                <w:szCs w:val="7"/>
                <w:color w:val="auto"/>
              </w:rPr>
              <w:t>4) Dallas-Fort Worth-Arlington</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11</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917</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98.3%</w:t>
            </w:r>
          </w:p>
        </w:tc>
        <w:tc>
          <w:tcPr>
            <w:tcW w:w="1120" w:type="dxa"/>
            <w:vAlign w:val="bottom"/>
          </w:tcPr>
          <w:p>
            <w:pPr>
              <w:jc w:val="center"/>
              <w:spacing w:after="0"/>
              <w:rPr>
                <w:sz w:val="20"/>
                <w:szCs w:val="20"/>
                <w:color w:val="auto"/>
              </w:rPr>
            </w:pPr>
            <w:r>
              <w:rPr>
                <w:rFonts w:ascii="Arial" w:cs="Arial" w:eastAsia="Arial" w:hAnsi="Arial"/>
                <w:sz w:val="7"/>
                <w:szCs w:val="7"/>
                <w:color w:val="auto"/>
              </w:rPr>
              <w:t>$21,607</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$23.96</w:t>
            </w:r>
          </w:p>
        </w:tc>
        <w:tc>
          <w:tcPr>
            <w:tcW w:w="1380" w:type="dxa"/>
            <w:vAlign w:val="bottom"/>
          </w:tcPr>
          <w:p>
            <w:pPr>
              <w:jc w:val="center"/>
              <w:spacing w:after="0"/>
              <w:rPr>
                <w:sz w:val="20"/>
                <w:szCs w:val="20"/>
                <w:color w:val="auto"/>
              </w:rPr>
            </w:pPr>
            <w:r>
              <w:rPr>
                <w:rFonts w:ascii="Arial" w:cs="Arial" w:eastAsia="Arial" w:hAnsi="Arial"/>
                <w:sz w:val="7"/>
                <w:szCs w:val="7"/>
                <w:color w:val="auto"/>
              </w:rPr>
              <w:t>2.3%</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1.8%</w:t>
            </w:r>
          </w:p>
        </w:tc>
        <w:tc>
          <w:tcPr>
            <w:tcW w:w="1140" w:type="dxa"/>
            <w:vAlign w:val="bottom"/>
          </w:tcPr>
          <w:p>
            <w:pPr>
              <w:jc w:val="center"/>
              <w:spacing w:after="0"/>
              <w:rPr>
                <w:sz w:val="20"/>
                <w:szCs w:val="20"/>
                <w:color w:val="auto"/>
              </w:rPr>
            </w:pPr>
            <w:r>
              <w:rPr>
                <w:rFonts w:ascii="Arial" w:cs="Arial" w:eastAsia="Arial" w:hAnsi="Arial"/>
                <w:sz w:val="7"/>
                <w:szCs w:val="7"/>
                <w:color w:val="auto"/>
              </w:rPr>
              <w:t>1.7%</w:t>
            </w:r>
          </w:p>
        </w:tc>
      </w:tr>
      <w:tr>
        <w:trPr>
          <w:trHeight w:val="115"/>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5) Houston-Woodlands-Sugar Land</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16</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2,128</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93.8%</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$42,147</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$21.12</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3.3%</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4.2%</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3.3%</w:t>
            </w:r>
          </w:p>
        </w:tc>
      </w:tr>
      <w:tr>
        <w:trPr>
          <w:trHeight w:val="102"/>
        </w:trPr>
        <w:tc>
          <w:tcPr>
            <w:tcW w:w="1960" w:type="dxa"/>
            <w:vAlign w:val="bottom"/>
            <w:gridSpan w:val="2"/>
          </w:tcPr>
          <w:p>
            <w:pPr>
              <w:spacing w:after="0"/>
              <w:rPr>
                <w:sz w:val="20"/>
                <w:szCs w:val="20"/>
                <w:color w:val="auto"/>
              </w:rPr>
            </w:pPr>
            <w:r>
              <w:rPr>
                <w:rFonts w:ascii="Arial" w:cs="Arial" w:eastAsia="Arial" w:hAnsi="Arial"/>
                <w:sz w:val="7"/>
                <w:szCs w:val="7"/>
                <w:color w:val="auto"/>
              </w:rPr>
              <w:t>6) Atlanta-SandySprings-Alpharett</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22</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rPr>
              <w:t>2,152</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96.9%</w:t>
            </w:r>
          </w:p>
        </w:tc>
        <w:tc>
          <w:tcPr>
            <w:tcW w:w="1120" w:type="dxa"/>
            <w:vAlign w:val="bottom"/>
          </w:tcPr>
          <w:p>
            <w:pPr>
              <w:jc w:val="center"/>
              <w:spacing w:after="0"/>
              <w:rPr>
                <w:sz w:val="20"/>
                <w:szCs w:val="20"/>
                <w:color w:val="auto"/>
              </w:rPr>
            </w:pPr>
            <w:r>
              <w:rPr>
                <w:rFonts w:ascii="Arial" w:cs="Arial" w:eastAsia="Arial" w:hAnsi="Arial"/>
                <w:sz w:val="7"/>
                <w:szCs w:val="7"/>
                <w:color w:val="auto"/>
              </w:rPr>
              <w:t>$52,748</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$25.28</w:t>
            </w:r>
          </w:p>
        </w:tc>
        <w:tc>
          <w:tcPr>
            <w:tcW w:w="1380" w:type="dxa"/>
            <w:vAlign w:val="bottom"/>
          </w:tcPr>
          <w:p>
            <w:pPr>
              <w:jc w:val="center"/>
              <w:spacing w:after="0"/>
              <w:rPr>
                <w:sz w:val="20"/>
                <w:szCs w:val="20"/>
                <w:color w:val="auto"/>
              </w:rPr>
            </w:pPr>
            <w:r>
              <w:rPr>
                <w:rFonts w:ascii="Arial" w:cs="Arial" w:eastAsia="Arial" w:hAnsi="Arial"/>
                <w:sz w:val="7"/>
                <w:szCs w:val="7"/>
                <w:color w:val="auto"/>
              </w:rPr>
              <w:t>4.6%</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4.2%</w:t>
            </w:r>
          </w:p>
        </w:tc>
        <w:tc>
          <w:tcPr>
            <w:tcW w:w="1140" w:type="dxa"/>
            <w:vAlign w:val="bottom"/>
          </w:tcPr>
          <w:p>
            <w:pPr>
              <w:jc w:val="center"/>
              <w:spacing w:after="0"/>
              <w:rPr>
                <w:sz w:val="20"/>
                <w:szCs w:val="20"/>
                <w:color w:val="auto"/>
              </w:rPr>
            </w:pPr>
            <w:r>
              <w:rPr>
                <w:rFonts w:ascii="Arial" w:cs="Arial" w:eastAsia="Arial" w:hAnsi="Arial"/>
                <w:sz w:val="7"/>
                <w:szCs w:val="7"/>
                <w:color w:val="auto"/>
              </w:rPr>
              <w:t>4.1%</w:t>
            </w:r>
          </w:p>
        </w:tc>
      </w:tr>
      <w:tr>
        <w:trPr>
          <w:trHeight w:val="115"/>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7) Washington-Arlington-Alexandri</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25</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1,869</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97.6%</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$58,932</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$32.31</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5.2%</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3.7%</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4.6%</w:t>
            </w:r>
          </w:p>
        </w:tc>
      </w:tr>
      <w:tr>
        <w:trPr>
          <w:trHeight w:val="102"/>
        </w:trPr>
        <w:tc>
          <w:tcPr>
            <w:tcW w:w="1960" w:type="dxa"/>
            <w:vAlign w:val="bottom"/>
            <w:gridSpan w:val="2"/>
          </w:tcPr>
          <w:p>
            <w:pPr>
              <w:spacing w:after="0"/>
              <w:rPr>
                <w:sz w:val="20"/>
                <w:szCs w:val="20"/>
                <w:color w:val="auto"/>
              </w:rPr>
            </w:pPr>
            <w:r>
              <w:rPr>
                <w:rFonts w:ascii="Arial" w:cs="Arial" w:eastAsia="Arial" w:hAnsi="Arial"/>
                <w:sz w:val="7"/>
                <w:szCs w:val="7"/>
                <w:color w:val="auto"/>
              </w:rPr>
              <w:t>8) Philadelphia-Camden-Wilmington</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8</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809</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96.4%</w:t>
            </w:r>
          </w:p>
        </w:tc>
        <w:tc>
          <w:tcPr>
            <w:tcW w:w="1120" w:type="dxa"/>
            <w:vAlign w:val="bottom"/>
          </w:tcPr>
          <w:p>
            <w:pPr>
              <w:jc w:val="center"/>
              <w:spacing w:after="0"/>
              <w:rPr>
                <w:sz w:val="20"/>
                <w:szCs w:val="20"/>
                <w:color w:val="auto"/>
              </w:rPr>
            </w:pPr>
            <w:r>
              <w:rPr>
                <w:rFonts w:ascii="Arial" w:cs="Arial" w:eastAsia="Arial" w:hAnsi="Arial"/>
                <w:sz w:val="7"/>
                <w:szCs w:val="7"/>
                <w:color w:val="auto"/>
              </w:rPr>
              <w:t>$20,884</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$26.78</w:t>
            </w:r>
          </w:p>
        </w:tc>
        <w:tc>
          <w:tcPr>
            <w:tcW w:w="1380" w:type="dxa"/>
            <w:vAlign w:val="bottom"/>
          </w:tcPr>
          <w:p>
            <w:pPr>
              <w:jc w:val="center"/>
              <w:spacing w:after="0"/>
              <w:rPr>
                <w:sz w:val="20"/>
                <w:szCs w:val="20"/>
                <w:color w:val="auto"/>
              </w:rPr>
            </w:pPr>
            <w:r>
              <w:rPr>
                <w:rFonts w:ascii="Arial" w:cs="Arial" w:eastAsia="Arial" w:hAnsi="Arial"/>
                <w:sz w:val="7"/>
                <w:szCs w:val="7"/>
                <w:color w:val="auto"/>
              </w:rPr>
              <w:t>1.7%</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1.6%</w:t>
            </w:r>
          </w:p>
        </w:tc>
        <w:tc>
          <w:tcPr>
            <w:tcW w:w="1140" w:type="dxa"/>
            <w:vAlign w:val="bottom"/>
          </w:tcPr>
          <w:p>
            <w:pPr>
              <w:jc w:val="center"/>
              <w:spacing w:after="0"/>
              <w:rPr>
                <w:sz w:val="20"/>
                <w:szCs w:val="20"/>
                <w:color w:val="auto"/>
              </w:rPr>
            </w:pPr>
            <w:r>
              <w:rPr>
                <w:rFonts w:ascii="Arial" w:cs="Arial" w:eastAsia="Arial" w:hAnsi="Arial"/>
                <w:sz w:val="7"/>
                <w:szCs w:val="7"/>
                <w:color w:val="auto"/>
              </w:rPr>
              <w:t>1.6%</w:t>
            </w:r>
          </w:p>
        </w:tc>
      </w:tr>
      <w:tr>
        <w:trPr>
          <w:trHeight w:val="115"/>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9) Miami-Ft Lauderdale-PompanoBch</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39</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4,993</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96.1%</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$121,786</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$25.39</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8.1%</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9.9%</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9.6%</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10)</w:t>
            </w:r>
          </w:p>
        </w:tc>
        <w:tc>
          <w:tcPr>
            <w:tcW w:w="1840" w:type="dxa"/>
            <w:vAlign w:val="bottom"/>
          </w:tcPr>
          <w:p>
            <w:pPr>
              <w:spacing w:after="0"/>
              <w:rPr>
                <w:sz w:val="20"/>
                <w:szCs w:val="20"/>
                <w:color w:val="auto"/>
              </w:rPr>
            </w:pPr>
            <w:r>
              <w:rPr>
                <w:rFonts w:ascii="Arial" w:cs="Arial" w:eastAsia="Arial" w:hAnsi="Arial"/>
                <w:sz w:val="7"/>
                <w:szCs w:val="7"/>
                <w:color w:val="auto"/>
              </w:rPr>
              <w:t>Phoenix-Mesa-Chandler</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11)</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Boston-Cambridge-Newton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7</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807</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96.9%</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$25,757</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$32.94</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1.5%</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1.6%</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2.0%</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12)</w:t>
            </w:r>
          </w:p>
        </w:tc>
        <w:tc>
          <w:tcPr>
            <w:tcW w:w="1840" w:type="dxa"/>
            <w:vAlign w:val="bottom"/>
          </w:tcPr>
          <w:p>
            <w:pPr>
              <w:spacing w:after="0"/>
              <w:rPr>
                <w:sz w:val="20"/>
                <w:szCs w:val="20"/>
                <w:color w:val="auto"/>
              </w:rPr>
            </w:pPr>
            <w:r>
              <w:rPr>
                <w:rFonts w:ascii="Arial" w:cs="Arial" w:eastAsia="Arial" w:hAnsi="Arial"/>
                <w:sz w:val="7"/>
                <w:szCs w:val="7"/>
                <w:color w:val="auto"/>
              </w:rPr>
              <w:t>San Francisco-Oakland-Berkeley</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19</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rPr>
              <w:t>3,449</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93.1%</w:t>
            </w:r>
          </w:p>
        </w:tc>
        <w:tc>
          <w:tcPr>
            <w:tcW w:w="1120" w:type="dxa"/>
            <w:vAlign w:val="bottom"/>
          </w:tcPr>
          <w:p>
            <w:pPr>
              <w:jc w:val="center"/>
              <w:spacing w:after="0"/>
              <w:rPr>
                <w:sz w:val="20"/>
                <w:szCs w:val="20"/>
                <w:color w:val="auto"/>
              </w:rPr>
            </w:pPr>
            <w:r>
              <w:rPr>
                <w:rFonts w:ascii="Arial" w:cs="Arial" w:eastAsia="Arial" w:hAnsi="Arial"/>
                <w:sz w:val="7"/>
                <w:szCs w:val="7"/>
                <w:color w:val="auto"/>
              </w:rPr>
              <w:t>$104,828</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$32.64</w:t>
            </w:r>
          </w:p>
        </w:tc>
        <w:tc>
          <w:tcPr>
            <w:tcW w:w="1380" w:type="dxa"/>
            <w:vAlign w:val="bottom"/>
          </w:tcPr>
          <w:p>
            <w:pPr>
              <w:jc w:val="center"/>
              <w:spacing w:after="0"/>
              <w:rPr>
                <w:sz w:val="20"/>
                <w:szCs w:val="20"/>
                <w:color w:val="auto"/>
              </w:rPr>
            </w:pPr>
            <w:r>
              <w:rPr>
                <w:rFonts w:ascii="Arial" w:cs="Arial" w:eastAsia="Arial" w:hAnsi="Arial"/>
                <w:sz w:val="7"/>
                <w:szCs w:val="7"/>
                <w:color w:val="auto"/>
              </w:rPr>
              <w:t>4.0%</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6.8%</w:t>
            </w:r>
          </w:p>
        </w:tc>
        <w:tc>
          <w:tcPr>
            <w:tcW w:w="1140" w:type="dxa"/>
            <w:vAlign w:val="bottom"/>
          </w:tcPr>
          <w:p>
            <w:pPr>
              <w:jc w:val="center"/>
              <w:spacing w:after="0"/>
              <w:rPr>
                <w:sz w:val="20"/>
                <w:szCs w:val="20"/>
                <w:color w:val="auto"/>
              </w:rPr>
            </w:pPr>
            <w:r>
              <w:rPr>
                <w:rFonts w:ascii="Arial" w:cs="Arial" w:eastAsia="Arial" w:hAnsi="Arial"/>
                <w:sz w:val="7"/>
                <w:szCs w:val="7"/>
                <w:color w:val="auto"/>
              </w:rPr>
              <w:t>8.2%</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13)</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Rvrside-San Bernardino-Ontario</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344</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87.1%</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$5,648</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$18.84</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0.4%</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0.7%</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0.4%</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14)</w:t>
            </w:r>
          </w:p>
        </w:tc>
        <w:tc>
          <w:tcPr>
            <w:tcW w:w="1840" w:type="dxa"/>
            <w:vAlign w:val="bottom"/>
          </w:tcPr>
          <w:p>
            <w:pPr>
              <w:spacing w:after="0"/>
              <w:rPr>
                <w:sz w:val="20"/>
                <w:szCs w:val="20"/>
                <w:color w:val="auto"/>
              </w:rPr>
            </w:pPr>
            <w:r>
              <w:rPr>
                <w:rFonts w:ascii="Arial" w:cs="Arial" w:eastAsia="Arial" w:hAnsi="Arial"/>
                <w:sz w:val="7"/>
                <w:szCs w:val="7"/>
                <w:color w:val="auto"/>
              </w:rPr>
              <w:t>Detroit-Warren-Dearborn</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15)</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Seattle-Tacoma-Bellevue</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17</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1,268</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95.0%</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$36,211</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$30.05</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3.5%</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2.5%</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2.8%</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16)</w:t>
            </w:r>
          </w:p>
        </w:tc>
        <w:tc>
          <w:tcPr>
            <w:tcW w:w="1840" w:type="dxa"/>
            <w:vAlign w:val="bottom"/>
          </w:tcPr>
          <w:p>
            <w:pPr>
              <w:spacing w:after="0"/>
              <w:rPr>
                <w:sz w:val="20"/>
                <w:szCs w:val="20"/>
                <w:color w:val="auto"/>
              </w:rPr>
            </w:pPr>
            <w:r>
              <w:rPr>
                <w:rFonts w:ascii="Arial" w:cs="Arial" w:eastAsia="Arial" w:hAnsi="Arial"/>
                <w:sz w:val="7"/>
                <w:szCs w:val="7"/>
                <w:color w:val="auto"/>
              </w:rPr>
              <w:t>Minneapol-St. Paul-Bloomington</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5</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390</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90.1%</w:t>
            </w:r>
          </w:p>
        </w:tc>
        <w:tc>
          <w:tcPr>
            <w:tcW w:w="1120" w:type="dxa"/>
            <w:vAlign w:val="bottom"/>
          </w:tcPr>
          <w:p>
            <w:pPr>
              <w:jc w:val="center"/>
              <w:spacing w:after="0"/>
              <w:rPr>
                <w:sz w:val="20"/>
                <w:szCs w:val="20"/>
                <w:color w:val="auto"/>
              </w:rPr>
            </w:pPr>
            <w:r>
              <w:rPr>
                <w:rFonts w:ascii="Arial" w:cs="Arial" w:eastAsia="Arial" w:hAnsi="Arial"/>
                <w:sz w:val="7"/>
                <w:szCs w:val="7"/>
                <w:color w:val="auto"/>
              </w:rPr>
              <w:t>$7,457</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$21.25</w:t>
            </w:r>
          </w:p>
        </w:tc>
        <w:tc>
          <w:tcPr>
            <w:tcW w:w="1380" w:type="dxa"/>
            <w:vAlign w:val="bottom"/>
          </w:tcPr>
          <w:p>
            <w:pPr>
              <w:jc w:val="center"/>
              <w:spacing w:after="0"/>
              <w:rPr>
                <w:sz w:val="20"/>
                <w:szCs w:val="20"/>
                <w:color w:val="auto"/>
              </w:rPr>
            </w:pPr>
            <w:r>
              <w:rPr>
                <w:rFonts w:ascii="Arial" w:cs="Arial" w:eastAsia="Arial" w:hAnsi="Arial"/>
                <w:sz w:val="7"/>
                <w:szCs w:val="7"/>
                <w:color w:val="auto"/>
              </w:rPr>
              <w:t>1.0%</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0.8%</w:t>
            </w:r>
          </w:p>
        </w:tc>
        <w:tc>
          <w:tcPr>
            <w:tcW w:w="1140" w:type="dxa"/>
            <w:vAlign w:val="bottom"/>
          </w:tcPr>
          <w:p>
            <w:pPr>
              <w:jc w:val="center"/>
              <w:spacing w:after="0"/>
              <w:rPr>
                <w:sz w:val="20"/>
                <w:szCs w:val="20"/>
                <w:color w:val="auto"/>
              </w:rPr>
            </w:pPr>
            <w:r>
              <w:rPr>
                <w:rFonts w:ascii="Arial" w:cs="Arial" w:eastAsia="Arial" w:hAnsi="Arial"/>
                <w:sz w:val="7"/>
                <w:szCs w:val="7"/>
                <w:color w:val="auto"/>
              </w:rPr>
              <w:t>0.6%</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17)</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Tampa-St Petersburg-Clearwater</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9</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1,309</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99.5%</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$28,522</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$21.89</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1.9%</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2.6%</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2.2%</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18)</w:t>
            </w:r>
          </w:p>
        </w:tc>
        <w:tc>
          <w:tcPr>
            <w:tcW w:w="1840" w:type="dxa"/>
            <w:vAlign w:val="bottom"/>
          </w:tcPr>
          <w:p>
            <w:pPr>
              <w:spacing w:after="0"/>
              <w:rPr>
                <w:sz w:val="20"/>
                <w:szCs w:val="20"/>
                <w:color w:val="auto"/>
              </w:rPr>
            </w:pPr>
            <w:r>
              <w:rPr>
                <w:rFonts w:ascii="Arial" w:cs="Arial" w:eastAsia="Arial" w:hAnsi="Arial"/>
                <w:sz w:val="7"/>
                <w:szCs w:val="7"/>
                <w:color w:val="auto"/>
              </w:rPr>
              <w:t>San Diego-Chula Vista-Carlsbad</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10</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rPr>
              <w:t>1,383</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98.0%</w:t>
            </w:r>
          </w:p>
        </w:tc>
        <w:tc>
          <w:tcPr>
            <w:tcW w:w="1120" w:type="dxa"/>
            <w:vAlign w:val="bottom"/>
          </w:tcPr>
          <w:p>
            <w:pPr>
              <w:jc w:val="center"/>
              <w:spacing w:after="0"/>
              <w:rPr>
                <w:sz w:val="20"/>
                <w:szCs w:val="20"/>
                <w:color w:val="auto"/>
              </w:rPr>
            </w:pPr>
            <w:r>
              <w:rPr>
                <w:rFonts w:ascii="Arial" w:cs="Arial" w:eastAsia="Arial" w:hAnsi="Arial"/>
                <w:sz w:val="7"/>
                <w:szCs w:val="7"/>
                <w:color w:val="auto"/>
              </w:rPr>
              <w:t>$44,339</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$32.74</w:t>
            </w:r>
          </w:p>
        </w:tc>
        <w:tc>
          <w:tcPr>
            <w:tcW w:w="1380" w:type="dxa"/>
            <w:vAlign w:val="bottom"/>
          </w:tcPr>
          <w:p>
            <w:pPr>
              <w:jc w:val="center"/>
              <w:spacing w:after="0"/>
              <w:rPr>
                <w:sz w:val="20"/>
                <w:szCs w:val="20"/>
                <w:color w:val="auto"/>
              </w:rPr>
            </w:pPr>
            <w:r>
              <w:rPr>
                <w:rFonts w:ascii="Arial" w:cs="Arial" w:eastAsia="Arial" w:hAnsi="Arial"/>
                <w:sz w:val="7"/>
                <w:szCs w:val="7"/>
                <w:color w:val="auto"/>
              </w:rPr>
              <w:t>2.1%</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2.7%</w:t>
            </w:r>
          </w:p>
        </w:tc>
        <w:tc>
          <w:tcPr>
            <w:tcW w:w="1140" w:type="dxa"/>
            <w:vAlign w:val="bottom"/>
          </w:tcPr>
          <w:p>
            <w:pPr>
              <w:jc w:val="center"/>
              <w:spacing w:after="0"/>
              <w:rPr>
                <w:sz w:val="20"/>
                <w:szCs w:val="20"/>
                <w:color w:val="auto"/>
              </w:rPr>
            </w:pPr>
            <w:r>
              <w:rPr>
                <w:rFonts w:ascii="Arial" w:cs="Arial" w:eastAsia="Arial" w:hAnsi="Arial"/>
                <w:sz w:val="7"/>
                <w:szCs w:val="7"/>
                <w:color w:val="auto"/>
              </w:rPr>
              <w:t>3.5%</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19)</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Denver-Aurora-Lakewood</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11</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1,072</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95.8%</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$17,255</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$16.80</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2.3%</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2.1%</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1.4%</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20)</w:t>
            </w:r>
          </w:p>
        </w:tc>
        <w:tc>
          <w:tcPr>
            <w:tcW w:w="1840" w:type="dxa"/>
            <w:vAlign w:val="bottom"/>
          </w:tcPr>
          <w:p>
            <w:pPr>
              <w:spacing w:after="0"/>
              <w:rPr>
                <w:sz w:val="20"/>
                <w:szCs w:val="20"/>
                <w:color w:val="auto"/>
              </w:rPr>
            </w:pPr>
            <w:r>
              <w:rPr>
                <w:rFonts w:ascii="Arial" w:cs="Arial" w:eastAsia="Arial" w:hAnsi="Arial"/>
                <w:sz w:val="7"/>
                <w:szCs w:val="7"/>
                <w:color w:val="auto"/>
              </w:rPr>
              <w:t>Orlando-Kissimmee-Sanford</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7</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833</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96.5%</w:t>
            </w:r>
          </w:p>
        </w:tc>
        <w:tc>
          <w:tcPr>
            <w:tcW w:w="1120" w:type="dxa"/>
            <w:vAlign w:val="bottom"/>
          </w:tcPr>
          <w:p>
            <w:pPr>
              <w:jc w:val="center"/>
              <w:spacing w:after="0"/>
              <w:rPr>
                <w:sz w:val="20"/>
                <w:szCs w:val="20"/>
                <w:color w:val="auto"/>
              </w:rPr>
            </w:pPr>
            <w:r>
              <w:rPr>
                <w:rFonts w:ascii="Arial" w:cs="Arial" w:eastAsia="Arial" w:hAnsi="Arial"/>
                <w:sz w:val="7"/>
                <w:szCs w:val="7"/>
                <w:color w:val="auto"/>
              </w:rPr>
              <w:t>$17,370</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$21.63</w:t>
            </w:r>
          </w:p>
        </w:tc>
        <w:tc>
          <w:tcPr>
            <w:tcW w:w="1380" w:type="dxa"/>
            <w:vAlign w:val="bottom"/>
          </w:tcPr>
          <w:p>
            <w:pPr>
              <w:jc w:val="center"/>
              <w:spacing w:after="0"/>
              <w:rPr>
                <w:sz w:val="20"/>
                <w:szCs w:val="20"/>
                <w:color w:val="auto"/>
              </w:rPr>
            </w:pPr>
            <w:r>
              <w:rPr>
                <w:rFonts w:ascii="Arial" w:cs="Arial" w:eastAsia="Arial" w:hAnsi="Arial"/>
                <w:sz w:val="7"/>
                <w:szCs w:val="7"/>
                <w:color w:val="auto"/>
              </w:rPr>
              <w:t>1.5%</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1.6%</w:t>
            </w:r>
          </w:p>
        </w:tc>
        <w:tc>
          <w:tcPr>
            <w:tcW w:w="1140" w:type="dxa"/>
            <w:vAlign w:val="bottom"/>
          </w:tcPr>
          <w:p>
            <w:pPr>
              <w:jc w:val="center"/>
              <w:spacing w:after="0"/>
              <w:rPr>
                <w:sz w:val="20"/>
                <w:szCs w:val="20"/>
                <w:color w:val="auto"/>
              </w:rPr>
            </w:pPr>
            <w:r>
              <w:rPr>
                <w:rFonts w:ascii="Arial" w:cs="Arial" w:eastAsia="Arial" w:hAnsi="Arial"/>
                <w:sz w:val="7"/>
                <w:szCs w:val="7"/>
                <w:color w:val="auto"/>
              </w:rPr>
              <w:t>1.4%</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21)</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Charlotte-Concord-Gastonia</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4</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609</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97.0%</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$15,697</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$26.60</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0.8%</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1.2%</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1.2%</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22)</w:t>
            </w:r>
          </w:p>
        </w:tc>
        <w:tc>
          <w:tcPr>
            <w:tcW w:w="1840" w:type="dxa"/>
            <w:vAlign w:val="bottom"/>
          </w:tcPr>
          <w:p>
            <w:pPr>
              <w:spacing w:after="0"/>
              <w:rPr>
                <w:sz w:val="20"/>
                <w:szCs w:val="20"/>
                <w:color w:val="auto"/>
              </w:rPr>
            </w:pPr>
            <w:r>
              <w:rPr>
                <w:rFonts w:ascii="Arial" w:cs="Arial" w:eastAsia="Arial" w:hAnsi="Arial"/>
                <w:sz w:val="7"/>
                <w:szCs w:val="7"/>
                <w:color w:val="auto"/>
              </w:rPr>
              <w:t>Baltimore-Columbia-Towson</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4</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267</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97.8%</w:t>
            </w:r>
          </w:p>
        </w:tc>
        <w:tc>
          <w:tcPr>
            <w:tcW w:w="1120" w:type="dxa"/>
            <w:vAlign w:val="bottom"/>
          </w:tcPr>
          <w:p>
            <w:pPr>
              <w:jc w:val="center"/>
              <w:spacing w:after="0"/>
              <w:rPr>
                <w:sz w:val="20"/>
                <w:szCs w:val="20"/>
                <w:color w:val="auto"/>
              </w:rPr>
            </w:pPr>
            <w:r>
              <w:rPr>
                <w:rFonts w:ascii="Arial" w:cs="Arial" w:eastAsia="Arial" w:hAnsi="Arial"/>
                <w:sz w:val="7"/>
                <w:szCs w:val="7"/>
                <w:color w:val="auto"/>
              </w:rPr>
              <w:t>$7,645</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$29.30</w:t>
            </w:r>
          </w:p>
        </w:tc>
        <w:tc>
          <w:tcPr>
            <w:tcW w:w="1380" w:type="dxa"/>
            <w:vAlign w:val="bottom"/>
          </w:tcPr>
          <w:p>
            <w:pPr>
              <w:jc w:val="center"/>
              <w:spacing w:after="0"/>
              <w:rPr>
                <w:sz w:val="20"/>
                <w:szCs w:val="20"/>
                <w:color w:val="auto"/>
              </w:rPr>
            </w:pPr>
            <w:r>
              <w:rPr>
                <w:rFonts w:ascii="Arial" w:cs="Arial" w:eastAsia="Arial" w:hAnsi="Arial"/>
                <w:sz w:val="7"/>
                <w:szCs w:val="7"/>
                <w:color w:val="auto"/>
              </w:rPr>
              <w:t>0.8%</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0.5%</w:t>
            </w:r>
          </w:p>
        </w:tc>
        <w:tc>
          <w:tcPr>
            <w:tcW w:w="1140" w:type="dxa"/>
            <w:vAlign w:val="bottom"/>
          </w:tcPr>
          <w:p>
            <w:pPr>
              <w:jc w:val="center"/>
              <w:spacing w:after="0"/>
              <w:rPr>
                <w:sz w:val="20"/>
                <w:szCs w:val="20"/>
                <w:color w:val="auto"/>
              </w:rPr>
            </w:pPr>
            <w:r>
              <w:rPr>
                <w:rFonts w:ascii="Arial" w:cs="Arial" w:eastAsia="Arial" w:hAnsi="Arial"/>
                <w:sz w:val="7"/>
                <w:szCs w:val="7"/>
                <w:color w:val="auto"/>
              </w:rPr>
              <w:t>0.6%</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23)</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St. Louis</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4</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408</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99.7%</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$4,630</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$11.38</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0.8%</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0.8%</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0.4%</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24)</w:t>
            </w:r>
          </w:p>
        </w:tc>
        <w:tc>
          <w:tcPr>
            <w:tcW w:w="1840" w:type="dxa"/>
            <w:vAlign w:val="bottom"/>
          </w:tcPr>
          <w:p>
            <w:pPr>
              <w:spacing w:after="0"/>
              <w:rPr>
                <w:sz w:val="20"/>
                <w:szCs w:val="20"/>
                <w:color w:val="auto"/>
              </w:rPr>
            </w:pPr>
            <w:r>
              <w:rPr>
                <w:rFonts w:ascii="Arial" w:cs="Arial" w:eastAsia="Arial" w:hAnsi="Arial"/>
                <w:sz w:val="7"/>
                <w:szCs w:val="7"/>
                <w:color w:val="auto"/>
              </w:rPr>
              <w:t>San Antonio-New Braunfels</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25)</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Austin-Round Rock-Georgetown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6</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885</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98.3%</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$19,713</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$22.66</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1.2%</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1.7%</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1.6%</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26)</w:t>
            </w:r>
          </w:p>
        </w:tc>
        <w:tc>
          <w:tcPr>
            <w:tcW w:w="1840" w:type="dxa"/>
            <w:vAlign w:val="bottom"/>
          </w:tcPr>
          <w:p>
            <w:pPr>
              <w:spacing w:after="0"/>
              <w:rPr>
                <w:sz w:val="20"/>
                <w:szCs w:val="20"/>
                <w:color w:val="auto"/>
              </w:rPr>
            </w:pPr>
            <w:r>
              <w:rPr>
                <w:rFonts w:ascii="Arial" w:cs="Arial" w:eastAsia="Arial" w:hAnsi="Arial"/>
                <w:sz w:val="7"/>
                <w:szCs w:val="7"/>
                <w:color w:val="auto"/>
              </w:rPr>
              <w:t>Portland-Vancouver-Hillsboro</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5</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442</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94.7%</w:t>
            </w:r>
          </w:p>
        </w:tc>
        <w:tc>
          <w:tcPr>
            <w:tcW w:w="1120" w:type="dxa"/>
            <w:vAlign w:val="bottom"/>
          </w:tcPr>
          <w:p>
            <w:pPr>
              <w:jc w:val="center"/>
              <w:spacing w:after="0"/>
              <w:rPr>
                <w:sz w:val="20"/>
                <w:szCs w:val="20"/>
                <w:color w:val="auto"/>
              </w:rPr>
            </w:pPr>
            <w:r>
              <w:rPr>
                <w:rFonts w:ascii="Arial" w:cs="Arial" w:eastAsia="Arial" w:hAnsi="Arial"/>
                <w:sz w:val="7"/>
                <w:szCs w:val="7"/>
                <w:color w:val="auto"/>
              </w:rPr>
              <w:t>$9,711</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$23.20</w:t>
            </w:r>
          </w:p>
        </w:tc>
        <w:tc>
          <w:tcPr>
            <w:tcW w:w="1380" w:type="dxa"/>
            <w:vAlign w:val="bottom"/>
          </w:tcPr>
          <w:p>
            <w:pPr>
              <w:jc w:val="center"/>
              <w:spacing w:after="0"/>
              <w:rPr>
                <w:sz w:val="20"/>
                <w:szCs w:val="20"/>
                <w:color w:val="auto"/>
              </w:rPr>
            </w:pPr>
            <w:r>
              <w:rPr>
                <w:rFonts w:ascii="Arial" w:cs="Arial" w:eastAsia="Arial" w:hAnsi="Arial"/>
                <w:sz w:val="7"/>
                <w:szCs w:val="7"/>
                <w:color w:val="auto"/>
              </w:rPr>
              <w:t>1.0%</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0.9%</w:t>
            </w:r>
          </w:p>
        </w:tc>
        <w:tc>
          <w:tcPr>
            <w:tcW w:w="1140" w:type="dxa"/>
            <w:vAlign w:val="bottom"/>
          </w:tcPr>
          <w:p>
            <w:pPr>
              <w:jc w:val="center"/>
              <w:spacing w:after="0"/>
              <w:rPr>
                <w:sz w:val="20"/>
                <w:szCs w:val="20"/>
                <w:color w:val="auto"/>
              </w:rPr>
            </w:pPr>
            <w:r>
              <w:rPr>
                <w:rFonts w:ascii="Arial" w:cs="Arial" w:eastAsia="Arial" w:hAnsi="Arial"/>
                <w:sz w:val="7"/>
                <w:szCs w:val="7"/>
                <w:color w:val="auto"/>
              </w:rPr>
              <w:t>0.8%</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27)</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Sacramento-Roseville-Folsom</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4</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318</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98.6%</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$7,580</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$24.19</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0.8%</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0.6%</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0.6%</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28)</w:t>
            </w:r>
          </w:p>
        </w:tc>
        <w:tc>
          <w:tcPr>
            <w:tcW w:w="1840" w:type="dxa"/>
            <w:vAlign w:val="bottom"/>
          </w:tcPr>
          <w:p>
            <w:pPr>
              <w:spacing w:after="0"/>
              <w:rPr>
                <w:sz w:val="20"/>
                <w:szCs w:val="20"/>
                <w:color w:val="auto"/>
              </w:rPr>
            </w:pPr>
            <w:r>
              <w:rPr>
                <w:rFonts w:ascii="Arial" w:cs="Arial" w:eastAsia="Arial" w:hAnsi="Arial"/>
                <w:sz w:val="7"/>
                <w:szCs w:val="7"/>
                <w:color w:val="auto"/>
              </w:rPr>
              <w:t>Pittsburgh</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29)</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Las Vegas-Henderson-Paradise</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30)</w:t>
            </w:r>
          </w:p>
        </w:tc>
        <w:tc>
          <w:tcPr>
            <w:tcW w:w="1840" w:type="dxa"/>
            <w:vAlign w:val="bottom"/>
          </w:tcPr>
          <w:p>
            <w:pPr>
              <w:spacing w:after="0"/>
              <w:rPr>
                <w:sz w:val="20"/>
                <w:szCs w:val="20"/>
                <w:color w:val="auto"/>
              </w:rPr>
            </w:pPr>
            <w:r>
              <w:rPr>
                <w:rFonts w:ascii="Arial" w:cs="Arial" w:eastAsia="Arial" w:hAnsi="Arial"/>
                <w:sz w:val="7"/>
                <w:szCs w:val="7"/>
                <w:color w:val="auto"/>
              </w:rPr>
              <w:t>Cincinnati</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5</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908</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96.0%</w:t>
            </w:r>
          </w:p>
        </w:tc>
        <w:tc>
          <w:tcPr>
            <w:tcW w:w="1120" w:type="dxa"/>
            <w:vAlign w:val="bottom"/>
          </w:tcPr>
          <w:p>
            <w:pPr>
              <w:jc w:val="center"/>
              <w:spacing w:after="0"/>
              <w:rPr>
                <w:sz w:val="20"/>
                <w:szCs w:val="20"/>
                <w:color w:val="auto"/>
              </w:rPr>
            </w:pPr>
            <w:r>
              <w:rPr>
                <w:rFonts w:ascii="Arial" w:cs="Arial" w:eastAsia="Arial" w:hAnsi="Arial"/>
                <w:sz w:val="7"/>
                <w:szCs w:val="7"/>
                <w:color w:val="auto"/>
              </w:rPr>
              <w:t>$12,711</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$14.57</w:t>
            </w:r>
          </w:p>
        </w:tc>
        <w:tc>
          <w:tcPr>
            <w:tcW w:w="1380" w:type="dxa"/>
            <w:vAlign w:val="bottom"/>
          </w:tcPr>
          <w:p>
            <w:pPr>
              <w:jc w:val="center"/>
              <w:spacing w:after="0"/>
              <w:rPr>
                <w:sz w:val="20"/>
                <w:szCs w:val="20"/>
                <w:color w:val="auto"/>
              </w:rPr>
            </w:pPr>
            <w:r>
              <w:rPr>
                <w:rFonts w:ascii="Arial" w:cs="Arial" w:eastAsia="Arial" w:hAnsi="Arial"/>
                <w:sz w:val="7"/>
                <w:szCs w:val="7"/>
                <w:color w:val="auto"/>
              </w:rPr>
              <w:t>1.0%</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1.8%</w:t>
            </w:r>
          </w:p>
        </w:tc>
        <w:tc>
          <w:tcPr>
            <w:tcW w:w="1140" w:type="dxa"/>
            <w:vAlign w:val="bottom"/>
          </w:tcPr>
          <w:p>
            <w:pPr>
              <w:jc w:val="center"/>
              <w:spacing w:after="0"/>
              <w:rPr>
                <w:sz w:val="20"/>
                <w:szCs w:val="20"/>
                <w:color w:val="auto"/>
              </w:rPr>
            </w:pPr>
            <w:r>
              <w:rPr>
                <w:rFonts w:ascii="Arial" w:cs="Arial" w:eastAsia="Arial" w:hAnsi="Arial"/>
                <w:sz w:val="7"/>
                <w:szCs w:val="7"/>
                <w:color w:val="auto"/>
              </w:rPr>
              <w:t>1.0%</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31)</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Kansas City</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32)</w:t>
            </w:r>
          </w:p>
        </w:tc>
        <w:tc>
          <w:tcPr>
            <w:tcW w:w="1840" w:type="dxa"/>
            <w:vAlign w:val="bottom"/>
          </w:tcPr>
          <w:p>
            <w:pPr>
              <w:spacing w:after="0"/>
              <w:rPr>
                <w:sz w:val="20"/>
                <w:szCs w:val="20"/>
                <w:color w:val="auto"/>
              </w:rPr>
            </w:pPr>
            <w:r>
              <w:rPr>
                <w:rFonts w:ascii="Arial" w:cs="Arial" w:eastAsia="Arial" w:hAnsi="Arial"/>
                <w:sz w:val="7"/>
                <w:szCs w:val="7"/>
                <w:color w:val="auto"/>
              </w:rPr>
              <w:t>Nashvil-Davdsn-Murfree-Frankln</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4</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638</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100.0%</w:t>
            </w:r>
          </w:p>
        </w:tc>
        <w:tc>
          <w:tcPr>
            <w:tcW w:w="1120" w:type="dxa"/>
            <w:vAlign w:val="bottom"/>
          </w:tcPr>
          <w:p>
            <w:pPr>
              <w:jc w:val="center"/>
              <w:spacing w:after="0"/>
              <w:rPr>
                <w:sz w:val="20"/>
                <w:szCs w:val="20"/>
                <w:color w:val="auto"/>
              </w:rPr>
            </w:pPr>
            <w:r>
              <w:rPr>
                <w:rFonts w:ascii="Arial" w:cs="Arial" w:eastAsia="Arial" w:hAnsi="Arial"/>
                <w:sz w:val="7"/>
                <w:szCs w:val="7"/>
                <w:color w:val="auto"/>
              </w:rPr>
              <w:t>$12,737</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$19.98</w:t>
            </w:r>
          </w:p>
        </w:tc>
        <w:tc>
          <w:tcPr>
            <w:tcW w:w="1380" w:type="dxa"/>
            <w:vAlign w:val="bottom"/>
          </w:tcPr>
          <w:p>
            <w:pPr>
              <w:jc w:val="center"/>
              <w:spacing w:after="0"/>
              <w:rPr>
                <w:sz w:val="20"/>
                <w:szCs w:val="20"/>
                <w:color w:val="auto"/>
              </w:rPr>
            </w:pPr>
            <w:r>
              <w:rPr>
                <w:rFonts w:ascii="Arial" w:cs="Arial" w:eastAsia="Arial" w:hAnsi="Arial"/>
                <w:sz w:val="7"/>
                <w:szCs w:val="7"/>
                <w:color w:val="auto"/>
              </w:rPr>
              <w:t>0.8%</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1.3%</w:t>
            </w:r>
          </w:p>
        </w:tc>
        <w:tc>
          <w:tcPr>
            <w:tcW w:w="1140" w:type="dxa"/>
            <w:vAlign w:val="bottom"/>
          </w:tcPr>
          <w:p>
            <w:pPr>
              <w:jc w:val="center"/>
              <w:spacing w:after="0"/>
              <w:rPr>
                <w:sz w:val="20"/>
                <w:szCs w:val="20"/>
                <w:color w:val="auto"/>
              </w:rPr>
            </w:pPr>
            <w:r>
              <w:rPr>
                <w:rFonts w:ascii="Arial" w:cs="Arial" w:eastAsia="Arial" w:hAnsi="Arial"/>
                <w:sz w:val="7"/>
                <w:szCs w:val="7"/>
                <w:color w:val="auto"/>
              </w:rPr>
              <w:t>1.0%</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33)</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Indianapolis-Carmel-Anderson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139</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93.6%</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$2,966</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$22.83</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0.4%</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0.3%</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0.2%</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34)</w:t>
            </w:r>
          </w:p>
        </w:tc>
        <w:tc>
          <w:tcPr>
            <w:tcW w:w="1840" w:type="dxa"/>
            <w:vAlign w:val="bottom"/>
          </w:tcPr>
          <w:p>
            <w:pPr>
              <w:spacing w:after="0"/>
              <w:rPr>
                <w:sz w:val="20"/>
                <w:szCs w:val="20"/>
                <w:color w:val="auto"/>
              </w:rPr>
            </w:pPr>
            <w:r>
              <w:rPr>
                <w:rFonts w:ascii="Arial" w:cs="Arial" w:eastAsia="Arial" w:hAnsi="Arial"/>
                <w:sz w:val="7"/>
                <w:szCs w:val="7"/>
                <w:color w:val="auto"/>
              </w:rPr>
              <w:t>Cleveland-Elyria</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35)</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San Jose-Sunnyvale-Santa Clara</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6</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653</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97.3%</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$21,544</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$33.89</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1.2%</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1.3%</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1.7%</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36)</w:t>
            </w:r>
          </w:p>
        </w:tc>
        <w:tc>
          <w:tcPr>
            <w:tcW w:w="1840" w:type="dxa"/>
            <w:vAlign w:val="bottom"/>
          </w:tcPr>
          <w:p>
            <w:pPr>
              <w:spacing w:after="0"/>
              <w:rPr>
                <w:sz w:val="20"/>
                <w:szCs w:val="20"/>
                <w:color w:val="auto"/>
              </w:rPr>
            </w:pPr>
            <w:r>
              <w:rPr>
                <w:rFonts w:ascii="Arial" w:cs="Arial" w:eastAsia="Arial" w:hAnsi="Arial"/>
                <w:sz w:val="7"/>
                <w:szCs w:val="7"/>
                <w:color w:val="auto"/>
              </w:rPr>
              <w:t>Virginia Beach-Norfolk-Newport News</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37)</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Jacksonville</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20</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2,152</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95.4%</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$39,446</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$19.21</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4.2%</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4.2%</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3.1%</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38)</w:t>
            </w:r>
          </w:p>
        </w:tc>
        <w:tc>
          <w:tcPr>
            <w:tcW w:w="1840" w:type="dxa"/>
            <w:vAlign w:val="bottom"/>
          </w:tcPr>
          <w:p>
            <w:pPr>
              <w:spacing w:after="0"/>
              <w:rPr>
                <w:sz w:val="20"/>
                <w:szCs w:val="20"/>
                <w:color w:val="auto"/>
              </w:rPr>
            </w:pPr>
            <w:r>
              <w:rPr>
                <w:rFonts w:ascii="Arial" w:cs="Arial" w:eastAsia="Arial" w:hAnsi="Arial"/>
                <w:sz w:val="7"/>
                <w:szCs w:val="7"/>
                <w:color w:val="auto"/>
              </w:rPr>
              <w:t>Providence-Warwick</w:t>
            </w:r>
          </w:p>
        </w:tc>
        <w:tc>
          <w:tcPr>
            <w:tcW w:w="1600" w:type="dxa"/>
            <w:vAlign w:val="bottom"/>
          </w:tcPr>
          <w:p>
            <w:pPr>
              <w:jc w:val="center"/>
              <w:ind w:left="285"/>
              <w:spacing w:after="0"/>
              <w:rPr>
                <w:sz w:val="20"/>
                <w:szCs w:val="20"/>
                <w:color w:val="auto"/>
              </w:rPr>
            </w:pPr>
            <w:r>
              <w:rPr>
                <w:rFonts w:ascii="Arial" w:cs="Arial" w:eastAsia="Arial" w:hAnsi="Arial"/>
                <w:sz w:val="7"/>
                <w:szCs w:val="7"/>
                <w:color w:val="auto"/>
              </w:rPr>
              <w:t>1</w:t>
            </w:r>
          </w:p>
        </w:tc>
        <w:tc>
          <w:tcPr>
            <w:tcW w:w="900" w:type="dxa"/>
            <w:vAlign w:val="bottom"/>
          </w:tcPr>
          <w:p>
            <w:pPr>
              <w:jc w:val="center"/>
              <w:ind w:right="105"/>
              <w:spacing w:after="0"/>
              <w:rPr>
                <w:sz w:val="20"/>
                <w:szCs w:val="20"/>
                <w:color w:val="auto"/>
              </w:rPr>
            </w:pPr>
            <w:r>
              <w:rPr>
                <w:rFonts w:ascii="Arial" w:cs="Arial" w:eastAsia="Arial" w:hAnsi="Arial"/>
                <w:sz w:val="7"/>
                <w:szCs w:val="7"/>
                <w:color w:val="auto"/>
              </w:rPr>
              <w:t>111</w:t>
            </w:r>
          </w:p>
        </w:tc>
        <w:tc>
          <w:tcPr>
            <w:tcW w:w="1180" w:type="dxa"/>
            <w:vAlign w:val="bottom"/>
          </w:tcPr>
          <w:p>
            <w:pPr>
              <w:jc w:val="center"/>
              <w:ind w:left="5"/>
              <w:spacing w:after="0"/>
              <w:rPr>
                <w:sz w:val="20"/>
                <w:szCs w:val="20"/>
                <w:color w:val="auto"/>
              </w:rPr>
            </w:pPr>
            <w:r>
              <w:rPr>
                <w:rFonts w:ascii="Arial" w:cs="Arial" w:eastAsia="Arial" w:hAnsi="Arial"/>
                <w:sz w:val="7"/>
                <w:szCs w:val="7"/>
                <w:color w:val="auto"/>
              </w:rPr>
              <w:t>100.0%</w:t>
            </w:r>
          </w:p>
        </w:tc>
        <w:tc>
          <w:tcPr>
            <w:tcW w:w="1120" w:type="dxa"/>
            <w:vAlign w:val="bottom"/>
          </w:tcPr>
          <w:p>
            <w:pPr>
              <w:jc w:val="center"/>
              <w:spacing w:after="0"/>
              <w:rPr>
                <w:sz w:val="20"/>
                <w:szCs w:val="20"/>
                <w:color w:val="auto"/>
              </w:rPr>
            </w:pPr>
            <w:r>
              <w:rPr>
                <w:rFonts w:ascii="Arial" w:cs="Arial" w:eastAsia="Arial" w:hAnsi="Arial"/>
                <w:sz w:val="7"/>
                <w:szCs w:val="7"/>
                <w:color w:val="auto"/>
              </w:rPr>
              <w:t>$2,412</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rPr>
              <w:t>$21.71</w:t>
            </w:r>
          </w:p>
        </w:tc>
        <w:tc>
          <w:tcPr>
            <w:tcW w:w="1380" w:type="dxa"/>
            <w:vAlign w:val="bottom"/>
          </w:tcPr>
          <w:p>
            <w:pPr>
              <w:jc w:val="center"/>
              <w:spacing w:after="0"/>
              <w:rPr>
                <w:sz w:val="20"/>
                <w:szCs w:val="20"/>
                <w:color w:val="auto"/>
              </w:rPr>
            </w:pPr>
            <w:r>
              <w:rPr>
                <w:rFonts w:ascii="Arial" w:cs="Arial" w:eastAsia="Arial" w:hAnsi="Arial"/>
                <w:sz w:val="7"/>
                <w:szCs w:val="7"/>
                <w:color w:val="auto"/>
              </w:rPr>
              <w:t>0.2%</w:t>
            </w:r>
          </w:p>
        </w:tc>
        <w:tc>
          <w:tcPr>
            <w:tcW w:w="1000" w:type="dxa"/>
            <w:vAlign w:val="bottom"/>
          </w:tcPr>
          <w:p>
            <w:pPr>
              <w:jc w:val="center"/>
              <w:ind w:right="85"/>
              <w:spacing w:after="0"/>
              <w:rPr>
                <w:sz w:val="20"/>
                <w:szCs w:val="20"/>
                <w:color w:val="auto"/>
              </w:rPr>
            </w:pPr>
            <w:r>
              <w:rPr>
                <w:rFonts w:ascii="Arial" w:cs="Arial" w:eastAsia="Arial" w:hAnsi="Arial"/>
                <w:sz w:val="7"/>
                <w:szCs w:val="7"/>
                <w:color w:val="auto"/>
                <w:w w:val="99"/>
              </w:rPr>
              <w:t>0.2%</w:t>
            </w:r>
          </w:p>
        </w:tc>
        <w:tc>
          <w:tcPr>
            <w:tcW w:w="1140" w:type="dxa"/>
            <w:vAlign w:val="bottom"/>
          </w:tcPr>
          <w:p>
            <w:pPr>
              <w:jc w:val="center"/>
              <w:spacing w:after="0"/>
              <w:rPr>
                <w:sz w:val="20"/>
                <w:szCs w:val="20"/>
                <w:color w:val="auto"/>
              </w:rPr>
            </w:pPr>
            <w:r>
              <w:rPr>
                <w:rFonts w:ascii="Arial" w:cs="Arial" w:eastAsia="Arial" w:hAnsi="Arial"/>
                <w:sz w:val="7"/>
                <w:szCs w:val="7"/>
                <w:color w:val="auto"/>
              </w:rPr>
              <w:t>0.2%</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39)</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Raleigh-Cary</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9</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704</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98.9%</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$16,789</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$24.12</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1.9%</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1.4%</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1.3%</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40)</w:t>
            </w:r>
          </w:p>
        </w:tc>
        <w:tc>
          <w:tcPr>
            <w:tcW w:w="1840" w:type="dxa"/>
            <w:vAlign w:val="bottom"/>
          </w:tcPr>
          <w:p>
            <w:pPr>
              <w:spacing w:after="0"/>
              <w:rPr>
                <w:sz w:val="20"/>
                <w:szCs w:val="20"/>
                <w:color w:val="auto"/>
              </w:rPr>
            </w:pPr>
            <w:r>
              <w:rPr>
                <w:rFonts w:ascii="Arial" w:cs="Arial" w:eastAsia="Arial" w:hAnsi="Arial"/>
                <w:sz w:val="7"/>
                <w:szCs w:val="7"/>
                <w:color w:val="auto"/>
              </w:rPr>
              <w:t>Milwaukee-Waukesha</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41)</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Oklahoma City</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42)</w:t>
            </w:r>
          </w:p>
        </w:tc>
        <w:tc>
          <w:tcPr>
            <w:tcW w:w="1840" w:type="dxa"/>
            <w:vAlign w:val="bottom"/>
          </w:tcPr>
          <w:p>
            <w:pPr>
              <w:spacing w:after="0"/>
              <w:rPr>
                <w:sz w:val="20"/>
                <w:szCs w:val="20"/>
                <w:color w:val="auto"/>
              </w:rPr>
            </w:pPr>
            <w:r>
              <w:rPr>
                <w:rFonts w:ascii="Arial" w:cs="Arial" w:eastAsia="Arial" w:hAnsi="Arial"/>
                <w:sz w:val="7"/>
                <w:szCs w:val="7"/>
                <w:color w:val="auto"/>
              </w:rPr>
              <w:t>Louisville/Jefferson County</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43)</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Memphis</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44)</w:t>
            </w:r>
          </w:p>
        </w:tc>
        <w:tc>
          <w:tcPr>
            <w:tcW w:w="1840" w:type="dxa"/>
            <w:vAlign w:val="bottom"/>
          </w:tcPr>
          <w:p>
            <w:pPr>
              <w:spacing w:after="0"/>
              <w:rPr>
                <w:sz w:val="20"/>
                <w:szCs w:val="20"/>
                <w:color w:val="auto"/>
              </w:rPr>
            </w:pPr>
            <w:r>
              <w:rPr>
                <w:rFonts w:ascii="Arial" w:cs="Arial" w:eastAsia="Arial" w:hAnsi="Arial"/>
                <w:sz w:val="7"/>
                <w:szCs w:val="7"/>
                <w:color w:val="auto"/>
              </w:rPr>
              <w:t>Salt Lake City</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45)</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Birmingham-Hoover</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46)</w:t>
            </w:r>
          </w:p>
        </w:tc>
        <w:tc>
          <w:tcPr>
            <w:tcW w:w="1840" w:type="dxa"/>
            <w:vAlign w:val="bottom"/>
          </w:tcPr>
          <w:p>
            <w:pPr>
              <w:spacing w:after="0"/>
              <w:rPr>
                <w:sz w:val="20"/>
                <w:szCs w:val="20"/>
                <w:color w:val="auto"/>
              </w:rPr>
            </w:pPr>
            <w:r>
              <w:rPr>
                <w:rFonts w:ascii="Arial" w:cs="Arial" w:eastAsia="Arial" w:hAnsi="Arial"/>
                <w:sz w:val="7"/>
                <w:szCs w:val="7"/>
                <w:color w:val="auto"/>
              </w:rPr>
              <w:t>Fresno</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47)</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Grand Rapids-Kentwood</w:t>
            </w:r>
          </w:p>
        </w:tc>
        <w:tc>
          <w:tcPr>
            <w:tcW w:w="1600" w:type="dxa"/>
            <w:vAlign w:val="bottom"/>
            <w:shd w:val="clear" w:color="auto" w:fill="BFBFBF"/>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w w:val="83"/>
              </w:rPr>
              <w:t>-</w:t>
            </w:r>
          </w:p>
        </w:tc>
      </w:tr>
      <w:tr>
        <w:trPr>
          <w:trHeight w:val="102"/>
        </w:trPr>
        <w:tc>
          <w:tcPr>
            <w:tcW w:w="120" w:type="dxa"/>
            <w:vAlign w:val="bottom"/>
          </w:tcPr>
          <w:p>
            <w:pPr>
              <w:spacing w:after="0"/>
              <w:rPr>
                <w:sz w:val="20"/>
                <w:szCs w:val="20"/>
                <w:color w:val="auto"/>
              </w:rPr>
            </w:pPr>
            <w:r>
              <w:rPr>
                <w:rFonts w:ascii="Arial" w:cs="Arial" w:eastAsia="Arial" w:hAnsi="Arial"/>
                <w:sz w:val="7"/>
                <w:szCs w:val="7"/>
                <w:color w:val="auto"/>
                <w:w w:val="98"/>
              </w:rPr>
              <w:t>48)</w:t>
            </w:r>
          </w:p>
        </w:tc>
        <w:tc>
          <w:tcPr>
            <w:tcW w:w="1840" w:type="dxa"/>
            <w:vAlign w:val="bottom"/>
          </w:tcPr>
          <w:p>
            <w:pPr>
              <w:spacing w:after="0"/>
              <w:rPr>
                <w:sz w:val="20"/>
                <w:szCs w:val="20"/>
                <w:color w:val="auto"/>
              </w:rPr>
            </w:pPr>
            <w:r>
              <w:rPr>
                <w:rFonts w:ascii="Arial" w:cs="Arial" w:eastAsia="Arial" w:hAnsi="Arial"/>
                <w:sz w:val="7"/>
                <w:szCs w:val="7"/>
                <w:color w:val="auto"/>
              </w:rPr>
              <w:t>Buffalo-Cheektowaga</w:t>
            </w:r>
          </w:p>
        </w:tc>
        <w:tc>
          <w:tcPr>
            <w:tcW w:w="1600" w:type="dxa"/>
            <w:vAlign w:val="bottom"/>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Pr>
          <w:p>
            <w:pPr>
              <w:jc w:val="center"/>
              <w:spacing w:after="0"/>
              <w:rPr>
                <w:sz w:val="20"/>
                <w:szCs w:val="20"/>
                <w:color w:val="auto"/>
              </w:rPr>
            </w:pPr>
            <w:r>
              <w:rPr>
                <w:rFonts w:ascii="Arial" w:cs="Arial" w:eastAsia="Arial" w:hAnsi="Arial"/>
                <w:sz w:val="7"/>
                <w:szCs w:val="7"/>
                <w:color w:val="auto"/>
                <w:w w:val="83"/>
              </w:rPr>
              <w:t>-</w:t>
            </w:r>
          </w:p>
        </w:tc>
      </w:tr>
      <w:tr>
        <w:trPr>
          <w:trHeight w:val="115"/>
        </w:trPr>
        <w:tc>
          <w:tcPr>
            <w:tcW w:w="120" w:type="dxa"/>
            <w:vAlign w:val="bottom"/>
            <w:shd w:val="clear" w:color="auto" w:fill="BFBFBF"/>
          </w:tcPr>
          <w:p>
            <w:pPr>
              <w:spacing w:after="0"/>
              <w:rPr>
                <w:sz w:val="20"/>
                <w:szCs w:val="20"/>
                <w:color w:val="auto"/>
              </w:rPr>
            </w:pPr>
            <w:r>
              <w:rPr>
                <w:rFonts w:ascii="Arial" w:cs="Arial" w:eastAsia="Arial" w:hAnsi="Arial"/>
                <w:sz w:val="7"/>
                <w:szCs w:val="7"/>
                <w:color w:val="auto"/>
                <w:w w:val="98"/>
              </w:rPr>
              <w:t>49)</w:t>
            </w:r>
          </w:p>
        </w:tc>
        <w:tc>
          <w:tcPr>
            <w:tcW w:w="1840" w:type="dxa"/>
            <w:vAlign w:val="bottom"/>
            <w:shd w:val="clear" w:color="auto" w:fill="BFBFBF"/>
          </w:tcPr>
          <w:p>
            <w:pPr>
              <w:spacing w:after="0"/>
              <w:rPr>
                <w:sz w:val="20"/>
                <w:szCs w:val="20"/>
                <w:color w:val="auto"/>
              </w:rPr>
            </w:pPr>
            <w:r>
              <w:rPr>
                <w:rFonts w:ascii="Arial" w:cs="Arial" w:eastAsia="Arial" w:hAnsi="Arial"/>
                <w:sz w:val="7"/>
                <w:szCs w:val="7"/>
                <w:color w:val="auto"/>
              </w:rPr>
              <w:t>Hartford-E Hartford-Middletown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w:t>
            </w:r>
          </w:p>
        </w:tc>
        <w:tc>
          <w:tcPr>
            <w:tcW w:w="900" w:type="dxa"/>
            <w:vAlign w:val="bottom"/>
            <w:shd w:val="clear" w:color="auto" w:fill="BFBFBF"/>
          </w:tcPr>
          <w:p>
            <w:pPr>
              <w:jc w:val="center"/>
              <w:ind w:right="105"/>
              <w:spacing w:after="0"/>
              <w:rPr>
                <w:sz w:val="20"/>
                <w:szCs w:val="20"/>
                <w:color w:val="auto"/>
              </w:rPr>
            </w:pPr>
            <w:r>
              <w:rPr>
                <w:rFonts w:ascii="Arial" w:cs="Arial" w:eastAsia="Arial" w:hAnsi="Arial"/>
                <w:sz w:val="7"/>
                <w:szCs w:val="7"/>
                <w:color w:val="auto"/>
              </w:rPr>
              <w:t>304</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97.4%</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$6,222</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$21.02</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0.4%</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0.6%</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0.5%</w:t>
            </w:r>
          </w:p>
        </w:tc>
      </w:tr>
      <w:tr>
        <w:trPr>
          <w:trHeight w:val="93"/>
        </w:trPr>
        <w:tc>
          <w:tcPr>
            <w:tcW w:w="120" w:type="dxa"/>
            <w:vAlign w:val="bottom"/>
            <w:tcBorders>
              <w:bottom w:val="single" w:sz="8" w:color="auto"/>
            </w:tcBorders>
          </w:tcPr>
          <w:p>
            <w:pPr>
              <w:spacing w:after="0"/>
              <w:rPr>
                <w:sz w:val="20"/>
                <w:szCs w:val="20"/>
                <w:color w:val="auto"/>
              </w:rPr>
            </w:pPr>
            <w:r>
              <w:rPr>
                <w:rFonts w:ascii="Arial" w:cs="Arial" w:eastAsia="Arial" w:hAnsi="Arial"/>
                <w:sz w:val="7"/>
                <w:szCs w:val="7"/>
                <w:color w:val="auto"/>
                <w:w w:val="98"/>
              </w:rPr>
              <w:t>50)</w:t>
            </w:r>
          </w:p>
        </w:tc>
        <w:tc>
          <w:tcPr>
            <w:tcW w:w="1840" w:type="dxa"/>
            <w:vAlign w:val="bottom"/>
            <w:tcBorders>
              <w:bottom w:val="single" w:sz="8" w:color="auto"/>
            </w:tcBorders>
          </w:tcPr>
          <w:p>
            <w:pPr>
              <w:spacing w:after="0"/>
              <w:rPr>
                <w:sz w:val="20"/>
                <w:szCs w:val="20"/>
                <w:color w:val="auto"/>
              </w:rPr>
            </w:pPr>
            <w:r>
              <w:rPr>
                <w:rFonts w:ascii="Arial" w:cs="Arial" w:eastAsia="Arial" w:hAnsi="Arial"/>
                <w:sz w:val="7"/>
                <w:szCs w:val="7"/>
                <w:color w:val="auto"/>
              </w:rPr>
              <w:t>Tucson</w:t>
            </w:r>
          </w:p>
        </w:tc>
        <w:tc>
          <w:tcPr>
            <w:tcW w:w="1600" w:type="dxa"/>
            <w:vAlign w:val="bottom"/>
            <w:tcBorders>
              <w:bottom w:val="single" w:sz="8" w:color="auto"/>
            </w:tcBorders>
          </w:tcPr>
          <w:p>
            <w:pPr>
              <w:jc w:val="center"/>
              <w:ind w:left="305"/>
              <w:spacing w:after="0"/>
              <w:rPr>
                <w:sz w:val="20"/>
                <w:szCs w:val="20"/>
                <w:color w:val="auto"/>
              </w:rPr>
            </w:pPr>
            <w:r>
              <w:rPr>
                <w:rFonts w:ascii="Arial" w:cs="Arial" w:eastAsia="Arial" w:hAnsi="Arial"/>
                <w:sz w:val="7"/>
                <w:szCs w:val="7"/>
                <w:color w:val="auto"/>
                <w:w w:val="83"/>
              </w:rPr>
              <w:t>-</w:t>
            </w:r>
          </w:p>
        </w:tc>
        <w:tc>
          <w:tcPr>
            <w:tcW w:w="900" w:type="dxa"/>
            <w:vAlign w:val="bottom"/>
            <w:tcBorders>
              <w:bottom w:val="single" w:sz="8" w:color="auto"/>
            </w:tcBorders>
          </w:tcPr>
          <w:p>
            <w:pPr>
              <w:jc w:val="center"/>
              <w:ind w:right="85"/>
              <w:spacing w:after="0"/>
              <w:rPr>
                <w:sz w:val="20"/>
                <w:szCs w:val="20"/>
                <w:color w:val="auto"/>
              </w:rPr>
            </w:pPr>
            <w:r>
              <w:rPr>
                <w:rFonts w:ascii="Arial" w:cs="Arial" w:eastAsia="Arial" w:hAnsi="Arial"/>
                <w:sz w:val="7"/>
                <w:szCs w:val="7"/>
                <w:color w:val="auto"/>
                <w:w w:val="83"/>
              </w:rPr>
              <w:t>-</w:t>
            </w:r>
          </w:p>
        </w:tc>
        <w:tc>
          <w:tcPr>
            <w:tcW w:w="1180" w:type="dxa"/>
            <w:vAlign w:val="bottom"/>
            <w:tcBorders>
              <w:bottom w:val="single" w:sz="8" w:color="auto"/>
            </w:tcBorders>
          </w:tcPr>
          <w:p>
            <w:pPr>
              <w:jc w:val="center"/>
              <w:ind w:left="5"/>
              <w:spacing w:after="0"/>
              <w:rPr>
                <w:sz w:val="20"/>
                <w:szCs w:val="20"/>
                <w:color w:val="auto"/>
              </w:rPr>
            </w:pPr>
            <w:r>
              <w:rPr>
                <w:rFonts w:ascii="Arial" w:cs="Arial" w:eastAsia="Arial" w:hAnsi="Arial"/>
                <w:sz w:val="7"/>
                <w:szCs w:val="7"/>
                <w:color w:val="auto"/>
                <w:w w:val="83"/>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w w:val="83"/>
              </w:rPr>
              <w:t>-</w:t>
            </w:r>
          </w:p>
        </w:tc>
        <w:tc>
          <w:tcPr>
            <w:tcW w:w="1020" w:type="dxa"/>
            <w:vAlign w:val="bottom"/>
            <w:tcBorders>
              <w:bottom w:val="single" w:sz="8" w:color="auto"/>
            </w:tcBorders>
          </w:tcPr>
          <w:p>
            <w:pPr>
              <w:jc w:val="center"/>
              <w:ind w:left="85"/>
              <w:spacing w:after="0"/>
              <w:rPr>
                <w:sz w:val="20"/>
                <w:szCs w:val="20"/>
                <w:color w:val="auto"/>
              </w:rPr>
            </w:pPr>
            <w:r>
              <w:rPr>
                <w:rFonts w:ascii="Arial" w:cs="Arial" w:eastAsia="Arial" w:hAnsi="Arial"/>
                <w:sz w:val="7"/>
                <w:szCs w:val="7"/>
                <w:color w:val="auto"/>
                <w:w w:val="83"/>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w w:val="83"/>
              </w:rPr>
              <w:t>-</w:t>
            </w:r>
          </w:p>
        </w:tc>
        <w:tc>
          <w:tcPr>
            <w:tcW w:w="1000" w:type="dxa"/>
            <w:vAlign w:val="bottom"/>
            <w:tcBorders>
              <w:bottom w:val="single" w:sz="8" w:color="auto"/>
            </w:tcBorders>
          </w:tcPr>
          <w:p>
            <w:pPr>
              <w:jc w:val="center"/>
              <w:ind w:right="105"/>
              <w:spacing w:after="0"/>
              <w:rPr>
                <w:sz w:val="20"/>
                <w:szCs w:val="20"/>
                <w:color w:val="auto"/>
              </w:rPr>
            </w:pPr>
            <w:r>
              <w:rPr>
                <w:rFonts w:ascii="Arial" w:cs="Arial" w:eastAsia="Arial" w:hAnsi="Arial"/>
                <w:sz w:val="7"/>
                <w:szCs w:val="7"/>
                <w:color w:val="auto"/>
                <w:w w:val="83"/>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7"/>
                <w:szCs w:val="7"/>
                <w:color w:val="auto"/>
                <w:w w:val="83"/>
              </w:rPr>
              <w:t>-</w:t>
            </w:r>
          </w:p>
        </w:tc>
      </w:tr>
      <w:tr>
        <w:trPr>
          <w:trHeight w:val="104"/>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Top 50 CBSAs by Population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highlight w:val="black"/>
              </w:rPr>
              <w:t>392</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highlight w:val="black"/>
              </w:rPr>
              <w:t>42,546</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96.2%</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highlight w:val="black"/>
              </w:rPr>
              <w:t>$1,082,993</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highlight w:val="black"/>
              </w:rPr>
              <w:t>$26.62</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81.5%</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84.0%</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85.2%</w:t>
            </w:r>
          </w:p>
        </w:tc>
      </w:tr>
      <w:tr>
        <w:trPr>
          <w:trHeight w:val="109"/>
        </w:trPr>
        <w:tc>
          <w:tcPr>
            <w:tcW w:w="196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9"/>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CBSAs Ranked 51 - 75 by Population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47</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4,093</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96.6%</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$115,634</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$29.57</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9.8%</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8.1%</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9.1%</w:t>
            </w:r>
          </w:p>
        </w:tc>
      </w:tr>
      <w:tr>
        <w:trPr>
          <w:trHeight w:val="109"/>
        </w:trPr>
        <w:tc>
          <w:tcPr>
            <w:tcW w:w="196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9"/>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CBSAs Ranked 76 - 100 by Population</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22</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1,996</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96.5%</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$38,599</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$20.06</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4.6%</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3.9%</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3.0%</w:t>
            </w:r>
          </w:p>
        </w:tc>
      </w:tr>
      <w:tr>
        <w:trPr>
          <w:trHeight w:val="109"/>
        </w:trPr>
        <w:tc>
          <w:tcPr>
            <w:tcW w:w="196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9"/>
        </w:trPr>
        <w:tc>
          <w:tcPr>
            <w:tcW w:w="1960" w:type="dxa"/>
            <w:vAlign w:val="bottom"/>
            <w:gridSpan w:val="2"/>
            <w:shd w:val="clear" w:color="auto" w:fill="BFBFBF"/>
          </w:tcPr>
          <w:p>
            <w:pPr>
              <w:spacing w:after="0"/>
              <w:rPr>
                <w:sz w:val="20"/>
                <w:szCs w:val="20"/>
                <w:color w:val="auto"/>
              </w:rPr>
            </w:pPr>
            <w:r>
              <w:rPr>
                <w:rFonts w:ascii="Arial" w:cs="Arial" w:eastAsia="Arial" w:hAnsi="Arial"/>
                <w:sz w:val="7"/>
                <w:szCs w:val="7"/>
                <w:color w:val="auto"/>
              </w:rPr>
              <w:t>Other CBSAs</w:t>
            </w:r>
          </w:p>
        </w:tc>
        <w:tc>
          <w:tcPr>
            <w:tcW w:w="1600" w:type="dxa"/>
            <w:vAlign w:val="bottom"/>
            <w:shd w:val="clear" w:color="auto" w:fill="BFBFBF"/>
          </w:tcPr>
          <w:p>
            <w:pPr>
              <w:jc w:val="center"/>
              <w:ind w:left="285"/>
              <w:spacing w:after="0"/>
              <w:rPr>
                <w:sz w:val="20"/>
                <w:szCs w:val="20"/>
                <w:color w:val="auto"/>
              </w:rPr>
            </w:pPr>
            <w:r>
              <w:rPr>
                <w:rFonts w:ascii="Arial" w:cs="Arial" w:eastAsia="Arial" w:hAnsi="Arial"/>
                <w:sz w:val="7"/>
                <w:szCs w:val="7"/>
                <w:color w:val="auto"/>
              </w:rPr>
              <w:t>20</w:t>
            </w:r>
          </w:p>
        </w:tc>
        <w:tc>
          <w:tcPr>
            <w:tcW w:w="9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rPr>
              <w:t>2,019</w:t>
            </w:r>
          </w:p>
        </w:tc>
        <w:tc>
          <w:tcPr>
            <w:tcW w:w="1180" w:type="dxa"/>
            <w:vAlign w:val="bottom"/>
            <w:shd w:val="clear" w:color="auto" w:fill="BFBFBF"/>
          </w:tcPr>
          <w:p>
            <w:pPr>
              <w:jc w:val="center"/>
              <w:ind w:left="5"/>
              <w:spacing w:after="0"/>
              <w:rPr>
                <w:sz w:val="20"/>
                <w:szCs w:val="20"/>
                <w:color w:val="auto"/>
              </w:rPr>
            </w:pPr>
            <w:r>
              <w:rPr>
                <w:rFonts w:ascii="Arial" w:cs="Arial" w:eastAsia="Arial" w:hAnsi="Arial"/>
                <w:sz w:val="7"/>
                <w:szCs w:val="7"/>
                <w:color w:val="auto"/>
              </w:rPr>
              <w:t>95.8%</w:t>
            </w:r>
          </w:p>
        </w:tc>
        <w:tc>
          <w:tcPr>
            <w:tcW w:w="1120" w:type="dxa"/>
            <w:vAlign w:val="bottom"/>
            <w:shd w:val="clear" w:color="auto" w:fill="BFBFBF"/>
          </w:tcPr>
          <w:p>
            <w:pPr>
              <w:jc w:val="center"/>
              <w:spacing w:after="0"/>
              <w:rPr>
                <w:sz w:val="20"/>
                <w:szCs w:val="20"/>
                <w:color w:val="auto"/>
              </w:rPr>
            </w:pPr>
            <w:r>
              <w:rPr>
                <w:rFonts w:ascii="Arial" w:cs="Arial" w:eastAsia="Arial" w:hAnsi="Arial"/>
                <w:sz w:val="7"/>
                <w:szCs w:val="7"/>
                <w:color w:val="auto"/>
              </w:rPr>
              <w:t>$34,607</w:t>
            </w:r>
          </w:p>
        </w:tc>
        <w:tc>
          <w:tcPr>
            <w:tcW w:w="1020" w:type="dxa"/>
            <w:vAlign w:val="bottom"/>
            <w:shd w:val="clear" w:color="auto" w:fill="BFBFBF"/>
          </w:tcPr>
          <w:p>
            <w:pPr>
              <w:jc w:val="center"/>
              <w:ind w:left="85"/>
              <w:spacing w:after="0"/>
              <w:rPr>
                <w:sz w:val="20"/>
                <w:szCs w:val="20"/>
                <w:color w:val="auto"/>
              </w:rPr>
            </w:pPr>
            <w:r>
              <w:rPr>
                <w:rFonts w:ascii="Arial" w:cs="Arial" w:eastAsia="Arial" w:hAnsi="Arial"/>
                <w:sz w:val="7"/>
                <w:szCs w:val="7"/>
                <w:color w:val="auto"/>
              </w:rPr>
              <w:t>$17.96</w:t>
            </w:r>
          </w:p>
        </w:tc>
        <w:tc>
          <w:tcPr>
            <w:tcW w:w="1380" w:type="dxa"/>
            <w:vAlign w:val="bottom"/>
            <w:shd w:val="clear" w:color="auto" w:fill="BFBFBF"/>
          </w:tcPr>
          <w:p>
            <w:pPr>
              <w:jc w:val="center"/>
              <w:spacing w:after="0"/>
              <w:rPr>
                <w:sz w:val="20"/>
                <w:szCs w:val="20"/>
                <w:color w:val="auto"/>
              </w:rPr>
            </w:pPr>
            <w:r>
              <w:rPr>
                <w:rFonts w:ascii="Arial" w:cs="Arial" w:eastAsia="Arial" w:hAnsi="Arial"/>
                <w:sz w:val="7"/>
                <w:szCs w:val="7"/>
                <w:color w:val="auto"/>
              </w:rPr>
              <w:t>4.2%</w:t>
            </w:r>
          </w:p>
        </w:tc>
        <w:tc>
          <w:tcPr>
            <w:tcW w:w="1000" w:type="dxa"/>
            <w:vAlign w:val="bottom"/>
            <w:shd w:val="clear" w:color="auto" w:fill="BFBFBF"/>
          </w:tcPr>
          <w:p>
            <w:pPr>
              <w:jc w:val="center"/>
              <w:ind w:right="85"/>
              <w:spacing w:after="0"/>
              <w:rPr>
                <w:sz w:val="20"/>
                <w:szCs w:val="20"/>
                <w:color w:val="auto"/>
              </w:rPr>
            </w:pPr>
            <w:r>
              <w:rPr>
                <w:rFonts w:ascii="Arial" w:cs="Arial" w:eastAsia="Arial" w:hAnsi="Arial"/>
                <w:sz w:val="7"/>
                <w:szCs w:val="7"/>
                <w:color w:val="auto"/>
                <w:w w:val="99"/>
              </w:rPr>
              <w:t>4.0%</w:t>
            </w:r>
          </w:p>
        </w:tc>
        <w:tc>
          <w:tcPr>
            <w:tcW w:w="1140" w:type="dxa"/>
            <w:vAlign w:val="bottom"/>
            <w:shd w:val="clear" w:color="auto" w:fill="BFBFBF"/>
          </w:tcPr>
          <w:p>
            <w:pPr>
              <w:jc w:val="center"/>
              <w:spacing w:after="0"/>
              <w:rPr>
                <w:sz w:val="20"/>
                <w:szCs w:val="20"/>
                <w:color w:val="auto"/>
              </w:rPr>
            </w:pPr>
            <w:r>
              <w:rPr>
                <w:rFonts w:ascii="Arial" w:cs="Arial" w:eastAsia="Arial" w:hAnsi="Arial"/>
                <w:sz w:val="7"/>
                <w:szCs w:val="7"/>
                <w:color w:val="auto"/>
              </w:rPr>
              <w:t>2.7%</w:t>
            </w:r>
          </w:p>
        </w:tc>
      </w:tr>
      <w:tr>
        <w:trPr>
          <w:trHeight w:val="99"/>
        </w:trPr>
        <w:tc>
          <w:tcPr>
            <w:tcW w:w="196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87"/>
        </w:trPr>
        <w:tc>
          <w:tcPr>
            <w:tcW w:w="1960" w:type="dxa"/>
            <w:vAlign w:val="bottom"/>
            <w:tcBorders>
              <w:bottom w:val="single" w:sz="8" w:color="auto"/>
            </w:tcBorders>
            <w:gridSpan w:val="2"/>
          </w:tcPr>
          <w:p>
            <w:pPr>
              <w:spacing w:after="0" w:line="77" w:lineRule="exact"/>
              <w:rPr>
                <w:sz w:val="20"/>
                <w:szCs w:val="20"/>
                <w:color w:val="auto"/>
              </w:rPr>
            </w:pPr>
            <w:r>
              <w:rPr>
                <w:rFonts w:ascii="Arial" w:cs="Arial" w:eastAsia="Arial" w:hAnsi="Arial"/>
                <w:sz w:val="7"/>
                <w:szCs w:val="7"/>
                <w:color w:val="auto"/>
                <w:highlight w:val="black"/>
              </w:rPr>
              <w:t>Total All Properties</w:t>
            </w:r>
          </w:p>
        </w:tc>
        <w:tc>
          <w:tcPr>
            <w:tcW w:w="1600" w:type="dxa"/>
            <w:vAlign w:val="bottom"/>
            <w:tcBorders>
              <w:bottom w:val="single" w:sz="8" w:color="auto"/>
            </w:tcBorders>
          </w:tcPr>
          <w:p>
            <w:pPr>
              <w:jc w:val="center"/>
              <w:ind w:left="285"/>
              <w:spacing w:after="0" w:line="77" w:lineRule="exact"/>
              <w:rPr>
                <w:sz w:val="20"/>
                <w:szCs w:val="20"/>
                <w:color w:val="auto"/>
              </w:rPr>
            </w:pPr>
            <w:r>
              <w:rPr>
                <w:rFonts w:ascii="Arial" w:cs="Arial" w:eastAsia="Arial" w:hAnsi="Arial"/>
                <w:sz w:val="7"/>
                <w:szCs w:val="7"/>
                <w:color w:val="auto"/>
              </w:rPr>
              <w:t>481</w:t>
            </w:r>
          </w:p>
        </w:tc>
        <w:tc>
          <w:tcPr>
            <w:tcW w:w="900" w:type="dxa"/>
            <w:vAlign w:val="bottom"/>
            <w:tcBorders>
              <w:bottom w:val="single" w:sz="8" w:color="auto"/>
            </w:tcBorders>
          </w:tcPr>
          <w:p>
            <w:pPr>
              <w:jc w:val="center"/>
              <w:ind w:right="85"/>
              <w:spacing w:after="0" w:line="77" w:lineRule="exact"/>
              <w:rPr>
                <w:sz w:val="20"/>
                <w:szCs w:val="20"/>
                <w:color w:val="auto"/>
              </w:rPr>
            </w:pPr>
            <w:r>
              <w:rPr>
                <w:rFonts w:ascii="Arial" w:cs="Arial" w:eastAsia="Arial" w:hAnsi="Arial"/>
                <w:sz w:val="7"/>
                <w:szCs w:val="7"/>
                <w:color w:val="auto"/>
                <w:highlight w:val="black"/>
              </w:rPr>
              <w:t>50,654</w:t>
            </w:r>
          </w:p>
        </w:tc>
        <w:tc>
          <w:tcPr>
            <w:tcW w:w="1180" w:type="dxa"/>
            <w:vAlign w:val="bottom"/>
            <w:tcBorders>
              <w:bottom w:val="single" w:sz="8" w:color="auto"/>
            </w:tcBorders>
          </w:tcPr>
          <w:p>
            <w:pPr>
              <w:jc w:val="center"/>
              <w:ind w:left="5"/>
              <w:spacing w:after="0" w:line="77" w:lineRule="exact"/>
              <w:rPr>
                <w:sz w:val="20"/>
                <w:szCs w:val="20"/>
                <w:color w:val="auto"/>
              </w:rPr>
            </w:pPr>
            <w:r>
              <w:rPr>
                <w:rFonts w:ascii="Arial" w:cs="Arial" w:eastAsia="Arial" w:hAnsi="Arial"/>
                <w:sz w:val="7"/>
                <w:szCs w:val="7"/>
                <w:color w:val="auto"/>
              </w:rPr>
              <w:t>96.2%</w:t>
            </w:r>
          </w:p>
        </w:tc>
        <w:tc>
          <w:tcPr>
            <w:tcW w:w="1120" w:type="dxa"/>
            <w:vAlign w:val="bottom"/>
            <w:tcBorders>
              <w:bottom w:val="single" w:sz="8" w:color="auto"/>
            </w:tcBorders>
          </w:tcPr>
          <w:p>
            <w:pPr>
              <w:jc w:val="center"/>
              <w:spacing w:after="0" w:line="77" w:lineRule="exact"/>
              <w:rPr>
                <w:sz w:val="20"/>
                <w:szCs w:val="20"/>
                <w:color w:val="auto"/>
              </w:rPr>
            </w:pPr>
            <w:r>
              <w:rPr>
                <w:rFonts w:ascii="Arial" w:cs="Arial" w:eastAsia="Arial" w:hAnsi="Arial"/>
                <w:sz w:val="7"/>
                <w:szCs w:val="7"/>
                <w:color w:val="auto"/>
                <w:highlight w:val="black"/>
              </w:rPr>
              <w:t>$1,271,832</w:t>
            </w:r>
          </w:p>
        </w:tc>
        <w:tc>
          <w:tcPr>
            <w:tcW w:w="1020" w:type="dxa"/>
            <w:vAlign w:val="bottom"/>
            <w:tcBorders>
              <w:bottom w:val="single" w:sz="8" w:color="auto"/>
            </w:tcBorders>
          </w:tcPr>
          <w:p>
            <w:pPr>
              <w:jc w:val="center"/>
              <w:ind w:left="85"/>
              <w:spacing w:after="0" w:line="77" w:lineRule="exact"/>
              <w:rPr>
                <w:sz w:val="20"/>
                <w:szCs w:val="20"/>
                <w:color w:val="auto"/>
              </w:rPr>
            </w:pPr>
            <w:r>
              <w:rPr>
                <w:rFonts w:ascii="Arial" w:cs="Arial" w:eastAsia="Arial" w:hAnsi="Arial"/>
                <w:sz w:val="7"/>
                <w:szCs w:val="7"/>
                <w:color w:val="auto"/>
                <w:highlight w:val="black"/>
              </w:rPr>
              <w:t>$26.25</w:t>
            </w:r>
          </w:p>
        </w:tc>
        <w:tc>
          <w:tcPr>
            <w:tcW w:w="1380" w:type="dxa"/>
            <w:vAlign w:val="bottom"/>
            <w:tcBorders>
              <w:bottom w:val="single" w:sz="8" w:color="auto"/>
            </w:tcBorders>
          </w:tcPr>
          <w:p>
            <w:pPr>
              <w:jc w:val="center"/>
              <w:spacing w:after="0" w:line="77" w:lineRule="exact"/>
              <w:rPr>
                <w:sz w:val="20"/>
                <w:szCs w:val="20"/>
                <w:color w:val="auto"/>
              </w:rPr>
            </w:pPr>
            <w:r>
              <w:rPr>
                <w:rFonts w:ascii="Arial" w:cs="Arial" w:eastAsia="Arial" w:hAnsi="Arial"/>
                <w:sz w:val="7"/>
                <w:szCs w:val="7"/>
                <w:color w:val="auto"/>
                <w:highlight w:val="black"/>
              </w:rPr>
              <w:t>100.0%</w:t>
            </w:r>
          </w:p>
        </w:tc>
        <w:tc>
          <w:tcPr>
            <w:tcW w:w="1000" w:type="dxa"/>
            <w:vAlign w:val="bottom"/>
            <w:tcBorders>
              <w:bottom w:val="single" w:sz="8" w:color="auto"/>
            </w:tcBorders>
          </w:tcPr>
          <w:p>
            <w:pPr>
              <w:jc w:val="center"/>
              <w:ind w:right="85"/>
              <w:spacing w:after="0" w:line="77" w:lineRule="exact"/>
              <w:rPr>
                <w:sz w:val="20"/>
                <w:szCs w:val="20"/>
                <w:color w:val="auto"/>
              </w:rPr>
            </w:pPr>
            <w:r>
              <w:rPr>
                <w:rFonts w:ascii="Arial" w:cs="Arial" w:eastAsia="Arial" w:hAnsi="Arial"/>
                <w:sz w:val="7"/>
                <w:szCs w:val="7"/>
                <w:color w:val="auto"/>
                <w:highlight w:val="black"/>
              </w:rPr>
              <w:t>100.0%</w:t>
            </w:r>
          </w:p>
        </w:tc>
        <w:tc>
          <w:tcPr>
            <w:tcW w:w="1140" w:type="dxa"/>
            <w:vAlign w:val="bottom"/>
            <w:tcBorders>
              <w:bottom w:val="single" w:sz="8" w:color="auto"/>
            </w:tcBorders>
          </w:tcPr>
          <w:p>
            <w:pPr>
              <w:jc w:val="center"/>
              <w:spacing w:after="0" w:line="77" w:lineRule="exact"/>
              <w:rPr>
                <w:sz w:val="20"/>
                <w:szCs w:val="20"/>
                <w:color w:val="auto"/>
              </w:rPr>
            </w:pPr>
            <w:r>
              <w:rPr>
                <w:rFonts w:ascii="Arial" w:cs="Arial" w:eastAsia="Arial" w:hAnsi="Arial"/>
                <w:sz w:val="7"/>
                <w:szCs w:val="7"/>
                <w:color w:val="auto"/>
                <w:highlight w:val="black"/>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-622300</wp:posOffset>
            </wp:positionV>
            <wp:extent cx="157480" cy="622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7480" cy="62230"/>
                    </a:xfrm>
                    <a:prstGeom prst="rect">
                      <a:avLst/>
                    </a:prstGeom>
                    <a:noFill/>
                  </pic:spPr>
                </pic:pic>
              </a:graphicData>
            </a:graphic>
          </wp:anchor>
        </w:drawing>
        <w:drawing>
          <wp:anchor simplePos="0" relativeHeight="251657728" behindDoc="1" locked="0" layoutInCell="0" allowOverlap="1">
            <wp:simplePos x="0" y="0"/>
            <wp:positionH relativeFrom="column">
              <wp:posOffset>5297805</wp:posOffset>
            </wp:positionH>
            <wp:positionV relativeFrom="paragraph">
              <wp:posOffset>-622300</wp:posOffset>
            </wp:positionV>
            <wp:extent cx="157480" cy="622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7480" cy="62230"/>
                    </a:xfrm>
                    <a:prstGeom prst="rect">
                      <a:avLst/>
                    </a:prstGeom>
                    <a:noFill/>
                  </pic:spPr>
                </pic:pic>
              </a:graphicData>
            </a:graphic>
          </wp:anchor>
        </w:drawing>
        <w:drawing>
          <wp:anchor simplePos="0" relativeHeight="251657728" behindDoc="1" locked="0" layoutInCell="0" allowOverlap="1">
            <wp:simplePos x="0" y="0"/>
            <wp:positionH relativeFrom="column">
              <wp:posOffset>6015355</wp:posOffset>
            </wp:positionH>
            <wp:positionV relativeFrom="paragraph">
              <wp:posOffset>-622300</wp:posOffset>
            </wp:positionV>
            <wp:extent cx="157480" cy="622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7480" cy="62230"/>
                    </a:xfrm>
                    <a:prstGeom prst="rect">
                      <a:avLst/>
                    </a:prstGeom>
                    <a:noFill/>
                  </pic:spPr>
                </pic:pic>
              </a:graphicData>
            </a:graphic>
          </wp:anchor>
        </w:drawing>
        <w:drawing>
          <wp:anchor simplePos="0" relativeHeight="251657728" behindDoc="1" locked="0" layoutInCell="0" allowOverlap="1">
            <wp:simplePos x="0" y="0"/>
            <wp:positionH relativeFrom="column">
              <wp:posOffset>6732905</wp:posOffset>
            </wp:positionH>
            <wp:positionV relativeFrom="paragraph">
              <wp:posOffset>-622300</wp:posOffset>
            </wp:positionV>
            <wp:extent cx="157480" cy="622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7480" cy="62230"/>
                    </a:xfrm>
                    <a:prstGeom prst="rect">
                      <a:avLst/>
                    </a:prstGeom>
                    <a:noFill/>
                  </pic:spPr>
                </pic:pic>
              </a:graphicData>
            </a:graphic>
          </wp:anchor>
        </w:drawing>
        <w:drawing>
          <wp:anchor simplePos="0" relativeHeight="251657728" behindDoc="1" locked="0" layoutInCell="0" allowOverlap="1">
            <wp:simplePos x="0" y="0"/>
            <wp:positionH relativeFrom="column">
              <wp:posOffset>1809115</wp:posOffset>
            </wp:positionH>
            <wp:positionV relativeFrom="paragraph">
              <wp:posOffset>-76835</wp:posOffset>
            </wp:positionV>
            <wp:extent cx="97790" cy="622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7790" cy="6223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-76835</wp:posOffset>
            </wp:positionV>
            <wp:extent cx="157480" cy="622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7480" cy="6223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1300" w:type="dxa"/>
            <w:vAlign w:val="bottom"/>
            <w:gridSpan w:val="2"/>
          </w:tcPr>
          <w:p>
            <w:pPr>
              <w:spacing w:after="0"/>
              <w:rPr>
                <w:sz w:val="20"/>
                <w:szCs w:val="20"/>
                <w:color w:val="auto"/>
              </w:rPr>
            </w:pPr>
            <w:r>
              <w:rPr>
                <w:rFonts w:ascii="Arial" w:cs="Arial" w:eastAsia="Arial" w:hAnsi="Arial"/>
                <w:sz w:val="8"/>
                <w:szCs w:val="8"/>
                <w:color w:val="auto"/>
              </w:rPr>
              <w:t>Note: Represents Regency's consolidated and pro-rata share of real estate partnerships</w:t>
            </w:r>
          </w:p>
        </w:tc>
        <w:tc>
          <w:tcPr>
            <w:tcW w:w="0" w:type="dxa"/>
            <w:vAlign w:val="bottom"/>
          </w:tcPr>
          <w:p>
            <w:pPr>
              <w:spacing w:after="0"/>
              <w:rPr>
                <w:sz w:val="1"/>
                <w:szCs w:val="1"/>
                <w:color w:val="auto"/>
              </w:rPr>
            </w:pPr>
          </w:p>
        </w:tc>
      </w:tr>
      <w:tr>
        <w:trPr>
          <w:trHeight w:val="76"/>
        </w:trPr>
        <w:tc>
          <w:tcPr>
            <w:tcW w:w="180" w:type="dxa"/>
            <w:vAlign w:val="bottom"/>
          </w:tcPr>
          <w:p>
            <w:pPr>
              <w:spacing w:after="0"/>
              <w:rPr>
                <w:sz w:val="20"/>
                <w:szCs w:val="20"/>
                <w:color w:val="auto"/>
              </w:rPr>
            </w:pPr>
            <w:r>
              <w:rPr>
                <w:rFonts w:ascii="Arial" w:cs="Arial" w:eastAsia="Arial" w:hAnsi="Arial"/>
                <w:sz w:val="6"/>
                <w:szCs w:val="6"/>
                <w:color w:val="auto"/>
              </w:rPr>
              <w:t>(1)</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Population Data Source: ESRI</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
        </w:trPr>
        <w:tc>
          <w:tcPr>
            <w:tcW w:w="180" w:type="dxa"/>
            <w:vAlign w:val="bottom"/>
          </w:tcPr>
          <w:p>
            <w:pPr>
              <w:spacing w:after="0"/>
              <w:rPr>
                <w:sz w:val="20"/>
                <w:szCs w:val="20"/>
                <w:color w:val="auto"/>
              </w:rPr>
            </w:pPr>
            <w:r>
              <w:rPr>
                <w:rFonts w:ascii="Arial" w:cs="Arial" w:eastAsia="Arial" w:hAnsi="Arial"/>
                <w:sz w:val="6"/>
                <w:szCs w:val="6"/>
                <w:color w:val="auto"/>
              </w:rPr>
              <w:t>(2)</w:t>
            </w:r>
          </w:p>
        </w:tc>
        <w:tc>
          <w:tcPr>
            <w:tcW w:w="11120" w:type="dxa"/>
            <w:vAlign w:val="bottom"/>
            <w:vMerge w:val="restart"/>
          </w:tcPr>
          <w:p>
            <w:pPr>
              <w:ind w:left="120"/>
              <w:spacing w:after="0"/>
              <w:rPr>
                <w:sz w:val="20"/>
                <w:szCs w:val="20"/>
                <w:color w:val="auto"/>
              </w:rPr>
            </w:pPr>
            <w:r>
              <w:rPr>
                <w:rFonts w:ascii="Arial" w:cs="Arial" w:eastAsia="Arial" w:hAnsi="Arial"/>
                <w:sz w:val="8"/>
                <w:szCs w:val="8"/>
                <w:color w:val="auto"/>
              </w:rPr>
              <w:t>Includes Properties in Development and leases that are executed but have not commenced.</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1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80" w:type="dxa"/>
            <w:vAlign w:val="bottom"/>
          </w:tcPr>
          <w:p>
            <w:pPr>
              <w:spacing w:after="0"/>
              <w:rPr>
                <w:sz w:val="24"/>
                <w:szCs w:val="24"/>
                <w:color w:val="auto"/>
              </w:rPr>
            </w:pPr>
          </w:p>
        </w:tc>
        <w:tc>
          <w:tcPr>
            <w:tcW w:w="11120" w:type="dxa"/>
            <w:vAlign w:val="bottom"/>
          </w:tcPr>
          <w:p>
            <w:pPr>
              <w:ind w:left="10040"/>
              <w:spacing w:after="0"/>
              <w:rPr>
                <w:sz w:val="20"/>
                <w:szCs w:val="20"/>
                <w:color w:val="auto"/>
              </w:rPr>
            </w:pPr>
            <w:r>
              <w:rPr>
                <w:rFonts w:ascii="Arial" w:cs="Arial" w:eastAsia="Arial" w:hAnsi="Arial"/>
                <w:sz w:val="7"/>
                <w:szCs w:val="7"/>
                <w:color w:val="404040"/>
              </w:rPr>
              <w:t xml:space="preserve">Supplemental Information   </w:t>
            </w:r>
            <w:r>
              <w:rPr>
                <w:rFonts w:ascii="Arial" w:cs="Arial" w:eastAsia="Arial" w:hAnsi="Arial"/>
                <w:sz w:val="12"/>
                <w:szCs w:val="12"/>
                <w:color w:val="000000"/>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307975</wp:posOffset>
            </wp:positionV>
            <wp:extent cx="720280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column">
              <wp:posOffset>3067050</wp:posOffset>
            </wp:positionH>
            <wp:positionV relativeFrom="paragraph">
              <wp:posOffset>-178435</wp:posOffset>
            </wp:positionV>
            <wp:extent cx="287020" cy="154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44" w:name="page45"/>
    <w:bookmarkEnd w:id="44"/>
    <w:tbl>
      <w:tblPr>
        <w:tblLayout w:type="fixed"/>
        <w:tblInd w:w="1120" w:type="dxa"/>
        <w:tblCellMar>
          <w:top w:w="0" w:type="dxa"/>
          <w:left w:w="0" w:type="dxa"/>
          <w:bottom w:w="0" w:type="dxa"/>
          <w:right w:w="0" w:type="dxa"/>
        </w:tblCellMar>
      </w:tblPr>
      <w:tr>
        <w:trPr>
          <w:trHeight w:val="138"/>
        </w:trPr>
        <w:tc>
          <w:tcPr>
            <w:tcW w:w="2680" w:type="dxa"/>
            <w:vAlign w:val="bottom"/>
          </w:tcPr>
          <w:p>
            <w:pPr>
              <w:spacing w:after="0"/>
              <w:rPr>
                <w:sz w:val="12"/>
                <w:szCs w:val="12"/>
                <w:color w:val="auto"/>
              </w:rPr>
            </w:pPr>
          </w:p>
        </w:tc>
        <w:tc>
          <w:tcPr>
            <w:tcW w:w="6360" w:type="dxa"/>
            <w:vAlign w:val="bottom"/>
          </w:tcPr>
          <w:p>
            <w:pPr>
              <w:jc w:val="center"/>
              <w:ind w:right="2606"/>
              <w:spacing w:after="0"/>
              <w:rPr>
                <w:sz w:val="20"/>
                <w:szCs w:val="20"/>
                <w:color w:val="auto"/>
              </w:rPr>
            </w:pPr>
            <w:r>
              <w:rPr>
                <w:rFonts w:ascii="Arial" w:cs="Arial" w:eastAsia="Arial" w:hAnsi="Arial"/>
                <w:sz w:val="12"/>
                <w:szCs w:val="12"/>
                <w:color w:val="auto"/>
                <w:highlight w:val="black"/>
                <w:w w:val="97"/>
              </w:rPr>
              <w:t xml:space="preserve">Annual </w:t>
            </w:r>
            <w:r>
              <w:rPr>
                <w:rFonts w:ascii="Arial" w:cs="Arial" w:eastAsia="Arial" w:hAnsi="Arial"/>
                <w:sz w:val="12"/>
                <w:szCs w:val="12"/>
                <w:color w:val="auto"/>
                <w:w w:val="97"/>
              </w:rPr>
              <w:t>Base Rent By Tenant Category</w:t>
            </w:r>
          </w:p>
        </w:tc>
      </w:tr>
      <w:tr>
        <w:trPr>
          <w:trHeight w:val="145"/>
        </w:trPr>
        <w:tc>
          <w:tcPr>
            <w:tcW w:w="2680" w:type="dxa"/>
            <w:vAlign w:val="bottom"/>
          </w:tcPr>
          <w:p>
            <w:pPr>
              <w:spacing w:after="0"/>
              <w:rPr>
                <w:sz w:val="12"/>
                <w:szCs w:val="12"/>
                <w:color w:val="auto"/>
              </w:rPr>
            </w:pPr>
          </w:p>
        </w:tc>
        <w:tc>
          <w:tcPr>
            <w:tcW w:w="6360" w:type="dxa"/>
            <w:vAlign w:val="bottom"/>
          </w:tcPr>
          <w:p>
            <w:pPr>
              <w:jc w:val="center"/>
              <w:ind w:right="2626"/>
              <w:spacing w:after="0"/>
              <w:rPr>
                <w:sz w:val="20"/>
                <w:szCs w:val="20"/>
                <w:color w:val="auto"/>
              </w:rPr>
            </w:pPr>
            <w:r>
              <w:rPr>
                <w:rFonts w:ascii="Arial" w:cs="Arial" w:eastAsia="Arial" w:hAnsi="Arial"/>
                <w:sz w:val="12"/>
                <w:szCs w:val="12"/>
                <w:color w:val="auto"/>
              </w:rPr>
              <w:t>March 31, 2026</w:t>
            </w:r>
          </w:p>
        </w:tc>
      </w:tr>
      <w:tr>
        <w:trPr>
          <w:trHeight w:val="581"/>
        </w:trPr>
        <w:tc>
          <w:tcPr>
            <w:tcW w:w="2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Tenant Category Exposure</w:t>
            </w:r>
          </w:p>
        </w:tc>
        <w:tc>
          <w:tcPr>
            <w:tcW w:w="6360" w:type="dxa"/>
            <w:vAlign w:val="bottom"/>
            <w:tcBorders>
              <w:bottom w:val="single" w:sz="8" w:color="auto"/>
            </w:tcBorders>
          </w:tcPr>
          <w:p>
            <w:pPr>
              <w:jc w:val="center"/>
              <w:ind w:left="4166"/>
              <w:spacing w:after="0"/>
              <w:rPr>
                <w:sz w:val="20"/>
                <w:szCs w:val="20"/>
                <w:color w:val="auto"/>
              </w:rPr>
            </w:pPr>
            <w:r>
              <w:rPr>
                <w:rFonts w:ascii="Arial" w:cs="Arial" w:eastAsia="Arial" w:hAnsi="Arial"/>
                <w:sz w:val="12"/>
                <w:szCs w:val="12"/>
                <w:color w:val="auto"/>
                <w:highlight w:val="black"/>
                <w:w w:val="96"/>
              </w:rPr>
              <w:t>% of ABR</w:t>
            </w:r>
            <w:r>
              <w:rPr>
                <w:rFonts w:ascii="Arial" w:cs="Arial" w:eastAsia="Arial" w:hAnsi="Arial"/>
                <w:sz w:val="15"/>
                <w:szCs w:val="15"/>
                <w:color w:val="auto"/>
                <w:highlight w:val="black"/>
                <w:w w:val="96"/>
                <w:vertAlign w:val="superscript"/>
              </w:rPr>
              <w:t>(</w:t>
            </w:r>
            <w:r>
              <w:rPr>
                <w:rFonts w:ascii="Arial" w:cs="Arial" w:eastAsia="Arial" w:hAnsi="Arial"/>
                <w:sz w:val="15"/>
                <w:szCs w:val="15"/>
                <w:color w:val="auto"/>
                <w:w w:val="96"/>
                <w:vertAlign w:val="superscript"/>
              </w:rPr>
              <w:t>1)</w:t>
            </w:r>
          </w:p>
        </w:tc>
      </w:tr>
      <w:tr>
        <w:trPr>
          <w:trHeight w:val="116"/>
        </w:trPr>
        <w:tc>
          <w:tcPr>
            <w:tcW w:w="2680" w:type="dxa"/>
            <w:vAlign w:val="bottom"/>
            <w:shd w:val="clear" w:color="auto" w:fill="BFBFBF"/>
          </w:tcPr>
          <w:p>
            <w:pPr>
              <w:spacing w:after="0" w:line="106" w:lineRule="exact"/>
              <w:rPr>
                <w:sz w:val="20"/>
                <w:szCs w:val="20"/>
                <w:color w:val="auto"/>
              </w:rPr>
            </w:pPr>
            <w:r>
              <w:rPr>
                <w:rFonts w:ascii="Arial" w:cs="Arial" w:eastAsia="Arial" w:hAnsi="Arial"/>
                <w:sz w:val="11"/>
                <w:szCs w:val="11"/>
                <w:color w:val="auto"/>
              </w:rPr>
              <w:t>Grocery</w:t>
            </w:r>
          </w:p>
        </w:tc>
        <w:tc>
          <w:tcPr>
            <w:tcW w:w="6360" w:type="dxa"/>
            <w:vAlign w:val="bottom"/>
            <w:shd w:val="clear" w:color="auto" w:fill="BFBFBF"/>
          </w:tcPr>
          <w:p>
            <w:pPr>
              <w:jc w:val="center"/>
              <w:ind w:left="4166"/>
              <w:spacing w:after="0" w:line="106" w:lineRule="exact"/>
              <w:rPr>
                <w:sz w:val="20"/>
                <w:szCs w:val="20"/>
                <w:color w:val="auto"/>
              </w:rPr>
            </w:pPr>
            <w:r>
              <w:rPr>
                <w:rFonts w:ascii="Arial" w:cs="Arial" w:eastAsia="Arial" w:hAnsi="Arial"/>
                <w:sz w:val="11"/>
                <w:szCs w:val="11"/>
                <w:color w:val="auto"/>
                <w:w w:val="99"/>
              </w:rPr>
              <w:t>20%</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Restaurant - Quick Service/Fast Casual</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w w:val="99"/>
              </w:rPr>
              <w:t>14%</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Personal Services</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7%</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Medical</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7%</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Restaurant - Full Service</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6%</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Fitness</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6%</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Off-Price</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5%</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Apparel/Accessories</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5%</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Banks</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4%</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Business Services</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4%</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Hobby/Sports</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3%</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Pet</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3%</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Other</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3%</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Home</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3%</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Pharmacy</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2%</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Office/Communications</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2%</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Home Improvement/Auto</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2%</w:t>
            </w:r>
          </w:p>
        </w:tc>
      </w:tr>
      <w:tr>
        <w:trPr>
          <w:trHeight w:val="127"/>
        </w:trPr>
        <w:tc>
          <w:tcPr>
            <w:tcW w:w="2680" w:type="dxa"/>
            <w:vAlign w:val="bottom"/>
          </w:tcPr>
          <w:p>
            <w:pPr>
              <w:spacing w:after="0" w:line="107" w:lineRule="exact"/>
              <w:rPr>
                <w:sz w:val="20"/>
                <w:szCs w:val="20"/>
                <w:color w:val="auto"/>
              </w:rPr>
            </w:pPr>
            <w:r>
              <w:rPr>
                <w:rFonts w:ascii="Arial" w:cs="Arial" w:eastAsia="Arial" w:hAnsi="Arial"/>
                <w:sz w:val="11"/>
                <w:szCs w:val="11"/>
                <w:color w:val="auto"/>
              </w:rPr>
              <w:t>Liquor/Wine/Beer</w:t>
            </w:r>
          </w:p>
        </w:tc>
        <w:tc>
          <w:tcPr>
            <w:tcW w:w="6360" w:type="dxa"/>
            <w:vAlign w:val="bottom"/>
          </w:tcPr>
          <w:p>
            <w:pPr>
              <w:jc w:val="center"/>
              <w:ind w:left="4166"/>
              <w:spacing w:after="0" w:line="107" w:lineRule="exact"/>
              <w:rPr>
                <w:sz w:val="20"/>
                <w:szCs w:val="20"/>
                <w:color w:val="auto"/>
              </w:rPr>
            </w:pPr>
            <w:r>
              <w:rPr>
                <w:rFonts w:ascii="Arial" w:cs="Arial" w:eastAsia="Arial" w:hAnsi="Arial"/>
                <w:sz w:val="11"/>
                <w:szCs w:val="11"/>
                <w:color w:val="auto"/>
              </w:rPr>
              <w:t>2%</w:t>
            </w:r>
          </w:p>
        </w:tc>
      </w:tr>
      <w:tr>
        <w:trPr>
          <w:trHeight w:val="127"/>
        </w:trPr>
        <w:tc>
          <w:tcPr>
            <w:tcW w:w="2680" w:type="dxa"/>
            <w:vAlign w:val="bottom"/>
            <w:shd w:val="clear" w:color="auto" w:fill="BFBFBF"/>
          </w:tcPr>
          <w:p>
            <w:pPr>
              <w:spacing w:after="0" w:line="107" w:lineRule="exact"/>
              <w:rPr>
                <w:sz w:val="20"/>
                <w:szCs w:val="20"/>
                <w:color w:val="auto"/>
              </w:rPr>
            </w:pPr>
            <w:r>
              <w:rPr>
                <w:rFonts w:ascii="Arial" w:cs="Arial" w:eastAsia="Arial" w:hAnsi="Arial"/>
                <w:sz w:val="11"/>
                <w:szCs w:val="11"/>
                <w:color w:val="auto"/>
              </w:rPr>
              <w:t>Beauty/Cosmetics</w:t>
            </w:r>
          </w:p>
        </w:tc>
        <w:tc>
          <w:tcPr>
            <w:tcW w:w="6360" w:type="dxa"/>
            <w:vAlign w:val="bottom"/>
            <w:shd w:val="clear" w:color="auto" w:fill="BFBFBF"/>
          </w:tcPr>
          <w:p>
            <w:pPr>
              <w:jc w:val="center"/>
              <w:ind w:left="4166"/>
              <w:spacing w:after="0" w:line="107" w:lineRule="exact"/>
              <w:rPr>
                <w:sz w:val="20"/>
                <w:szCs w:val="20"/>
                <w:color w:val="auto"/>
              </w:rPr>
            </w:pPr>
            <w:r>
              <w:rPr>
                <w:rFonts w:ascii="Arial" w:cs="Arial" w:eastAsia="Arial" w:hAnsi="Arial"/>
                <w:sz w:val="11"/>
                <w:szCs w:val="11"/>
                <w:color w:val="auto"/>
              </w:rPr>
              <w:t>1%</w:t>
            </w:r>
          </w:p>
        </w:tc>
      </w:tr>
      <w:tr>
        <w:trPr>
          <w:trHeight w:val="127"/>
        </w:trPr>
        <w:tc>
          <w:tcPr>
            <w:tcW w:w="2680" w:type="dxa"/>
            <w:vAlign w:val="bottom"/>
            <w:tcBorders>
              <w:bottom w:val="single" w:sz="8" w:color="auto"/>
            </w:tcBorders>
          </w:tcPr>
          <w:p>
            <w:pPr>
              <w:spacing w:after="0" w:line="107" w:lineRule="exact"/>
              <w:rPr>
                <w:sz w:val="20"/>
                <w:szCs w:val="20"/>
                <w:color w:val="auto"/>
              </w:rPr>
            </w:pPr>
            <w:r>
              <w:rPr>
                <w:rFonts w:ascii="Arial" w:cs="Arial" w:eastAsia="Arial" w:hAnsi="Arial"/>
                <w:sz w:val="11"/>
                <w:szCs w:val="11"/>
                <w:color w:val="auto"/>
              </w:rPr>
              <w:t>Entertainment</w:t>
            </w:r>
          </w:p>
        </w:tc>
        <w:tc>
          <w:tcPr>
            <w:tcW w:w="6360" w:type="dxa"/>
            <w:vAlign w:val="bottom"/>
            <w:tcBorders>
              <w:bottom w:val="single" w:sz="8" w:color="auto"/>
            </w:tcBorders>
          </w:tcPr>
          <w:p>
            <w:pPr>
              <w:jc w:val="center"/>
              <w:ind w:left="4166"/>
              <w:spacing w:after="0" w:line="107" w:lineRule="exact"/>
              <w:rPr>
                <w:sz w:val="20"/>
                <w:szCs w:val="20"/>
                <w:color w:val="auto"/>
              </w:rPr>
            </w:pPr>
            <w:r>
              <w:rPr>
                <w:rFonts w:ascii="Arial" w:cs="Arial" w:eastAsia="Arial" w:hAnsi="Arial"/>
                <w:sz w:val="11"/>
                <w:szCs w:val="11"/>
                <w:color w:val="auto"/>
              </w:rPr>
              <w:t>1%</w:t>
            </w:r>
          </w:p>
        </w:tc>
      </w:tr>
      <w:tr>
        <w:trPr>
          <w:trHeight w:val="495"/>
        </w:trPr>
        <w:tc>
          <w:tcPr>
            <w:tcW w:w="2680" w:type="dxa"/>
            <w:vAlign w:val="bottom"/>
            <w:tcBorders>
              <w:bottom w:val="single" w:sz="8" w:color="auto"/>
            </w:tcBorders>
          </w:tcPr>
          <w:p>
            <w:pPr>
              <w:spacing w:after="0"/>
              <w:rPr>
                <w:sz w:val="20"/>
                <w:szCs w:val="20"/>
                <w:color w:val="auto"/>
              </w:rPr>
            </w:pPr>
            <w:r>
              <w:rPr>
                <w:rFonts w:ascii="Arial" w:cs="Arial" w:eastAsia="Arial" w:hAnsi="Arial"/>
                <w:sz w:val="11"/>
                <w:szCs w:val="11"/>
                <w:color w:val="auto"/>
                <w:highlight w:val="black"/>
              </w:rPr>
              <w:t>Anchor/Shop Exposure</w:t>
            </w:r>
          </w:p>
        </w:tc>
        <w:tc>
          <w:tcPr>
            <w:tcW w:w="6360" w:type="dxa"/>
            <w:vAlign w:val="bottom"/>
            <w:tcBorders>
              <w:bottom w:val="single" w:sz="8" w:color="auto"/>
            </w:tcBorders>
          </w:tcPr>
          <w:p>
            <w:pPr>
              <w:jc w:val="center"/>
              <w:ind w:left="4166"/>
              <w:spacing w:after="0"/>
              <w:rPr>
                <w:sz w:val="20"/>
                <w:szCs w:val="20"/>
                <w:color w:val="auto"/>
              </w:rPr>
            </w:pPr>
            <w:r>
              <w:rPr>
                <w:rFonts w:ascii="Arial" w:cs="Arial" w:eastAsia="Arial" w:hAnsi="Arial"/>
                <w:sz w:val="11"/>
                <w:szCs w:val="11"/>
                <w:color w:val="auto"/>
                <w:highlight w:val="black"/>
                <w:w w:val="96"/>
              </w:rPr>
              <w:t>% of ABR</w:t>
            </w:r>
          </w:p>
        </w:tc>
      </w:tr>
      <w:tr>
        <w:trPr>
          <w:trHeight w:val="116"/>
        </w:trPr>
        <w:tc>
          <w:tcPr>
            <w:tcW w:w="2680" w:type="dxa"/>
            <w:vAlign w:val="bottom"/>
            <w:shd w:val="clear" w:color="auto" w:fill="BFBFBF"/>
          </w:tcPr>
          <w:p>
            <w:pPr>
              <w:spacing w:after="0" w:line="106" w:lineRule="exact"/>
              <w:rPr>
                <w:sz w:val="20"/>
                <w:szCs w:val="20"/>
                <w:color w:val="auto"/>
              </w:rPr>
            </w:pPr>
            <w:r>
              <w:rPr>
                <w:rFonts w:ascii="Arial" w:cs="Arial" w:eastAsia="Arial" w:hAnsi="Arial"/>
                <w:sz w:val="11"/>
                <w:szCs w:val="11"/>
                <w:color w:val="auto"/>
              </w:rPr>
              <w:t>Shop</w:t>
            </w:r>
          </w:p>
        </w:tc>
        <w:tc>
          <w:tcPr>
            <w:tcW w:w="6360" w:type="dxa"/>
            <w:vAlign w:val="bottom"/>
            <w:shd w:val="clear" w:color="auto" w:fill="BFBFBF"/>
          </w:tcPr>
          <w:p>
            <w:pPr>
              <w:jc w:val="center"/>
              <w:ind w:left="4166"/>
              <w:spacing w:after="0" w:line="106" w:lineRule="exact"/>
              <w:rPr>
                <w:sz w:val="20"/>
                <w:szCs w:val="20"/>
                <w:color w:val="auto"/>
              </w:rPr>
            </w:pPr>
            <w:r>
              <w:rPr>
                <w:rFonts w:ascii="Arial" w:cs="Arial" w:eastAsia="Arial" w:hAnsi="Arial"/>
                <w:sz w:val="11"/>
                <w:szCs w:val="11"/>
                <w:color w:val="auto"/>
                <w:w w:val="99"/>
              </w:rPr>
              <w:t>58%</w:t>
            </w:r>
          </w:p>
        </w:tc>
      </w:tr>
      <w:tr>
        <w:trPr>
          <w:trHeight w:val="127"/>
        </w:trPr>
        <w:tc>
          <w:tcPr>
            <w:tcW w:w="2680" w:type="dxa"/>
            <w:vAlign w:val="bottom"/>
            <w:tcBorders>
              <w:bottom w:val="single" w:sz="8" w:color="auto"/>
            </w:tcBorders>
          </w:tcPr>
          <w:p>
            <w:pPr>
              <w:spacing w:after="0" w:line="107" w:lineRule="exact"/>
              <w:rPr>
                <w:sz w:val="20"/>
                <w:szCs w:val="20"/>
                <w:color w:val="auto"/>
              </w:rPr>
            </w:pPr>
            <w:r>
              <w:rPr>
                <w:rFonts w:ascii="Arial" w:cs="Arial" w:eastAsia="Arial" w:hAnsi="Arial"/>
                <w:sz w:val="11"/>
                <w:szCs w:val="11"/>
                <w:color w:val="auto"/>
              </w:rPr>
              <w:t>Anchor</w:t>
            </w:r>
          </w:p>
        </w:tc>
        <w:tc>
          <w:tcPr>
            <w:tcW w:w="6360" w:type="dxa"/>
            <w:vAlign w:val="bottom"/>
            <w:tcBorders>
              <w:bottom w:val="single" w:sz="8" w:color="auto"/>
            </w:tcBorders>
          </w:tcPr>
          <w:p>
            <w:pPr>
              <w:jc w:val="center"/>
              <w:ind w:left="4166"/>
              <w:spacing w:after="0" w:line="107" w:lineRule="exact"/>
              <w:rPr>
                <w:sz w:val="20"/>
                <w:szCs w:val="20"/>
                <w:color w:val="auto"/>
              </w:rPr>
            </w:pPr>
            <w:r>
              <w:rPr>
                <w:rFonts w:ascii="Arial" w:cs="Arial" w:eastAsia="Arial" w:hAnsi="Arial"/>
                <w:sz w:val="11"/>
                <w:szCs w:val="11"/>
                <w:color w:val="auto"/>
                <w:w w:val="99"/>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5891530</wp:posOffset>
            </wp:positionH>
            <wp:positionV relativeFrom="paragraph">
              <wp:posOffset>-2218055</wp:posOffset>
            </wp:positionV>
            <wp:extent cx="89535" cy="768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9535" cy="76835"/>
                    </a:xfrm>
                    <a:prstGeom prst="rect">
                      <a:avLst/>
                    </a:prstGeom>
                    <a:noFill/>
                  </pic:spPr>
                </pic:pic>
              </a:graphicData>
            </a:graphic>
          </wp:anchor>
        </w:drawing>
      </w:r>
    </w:p>
    <w:p>
      <w:pPr>
        <w:spacing w:after="0" w:line="196" w:lineRule="exact"/>
        <w:rPr>
          <w:sz w:val="20"/>
          <w:szCs w:val="20"/>
          <w:color w:val="auto"/>
        </w:rPr>
      </w:pPr>
    </w:p>
    <w:p>
      <w:pPr>
        <w:ind w:left="1380" w:hanging="275"/>
        <w:spacing w:after="0"/>
        <w:tabs>
          <w:tab w:leader="none" w:pos="1380" w:val="left"/>
        </w:tabs>
        <w:numPr>
          <w:ilvl w:val="0"/>
          <w:numId w:val="51"/>
        </w:numPr>
        <w:rPr>
          <w:rFonts w:ascii="Arial" w:cs="Arial" w:eastAsia="Arial" w:hAnsi="Arial"/>
          <w:sz w:val="11"/>
          <w:szCs w:val="11"/>
          <w:color w:val="auto"/>
          <w:vertAlign w:val="superscript"/>
        </w:rPr>
      </w:pPr>
      <w:r>
        <w:rPr>
          <w:rFonts w:ascii="Arial" w:cs="Arial" w:eastAsia="Arial" w:hAnsi="Arial"/>
          <w:sz w:val="8"/>
          <w:szCs w:val="8"/>
          <w:color w:val="auto"/>
        </w:rPr>
        <w:t>Represents Regency's consolidated and pro-rata share of real estate partnerships; includes properties in development, excludes leases that are executed but have not rent commenced.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97790</wp:posOffset>
            </wp:positionV>
            <wp:extent cx="287020" cy="154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45" w:name="page46"/>
    <w:bookmarkEnd w:id="45"/>
    <w:p>
      <w:pPr>
        <w:jc w:val="center"/>
        <w:ind w:right="-7"/>
        <w:spacing w:after="0"/>
        <w:rPr>
          <w:sz w:val="20"/>
          <w:szCs w:val="20"/>
          <w:color w:val="auto"/>
        </w:rPr>
      </w:pPr>
      <w:r>
        <w:rPr>
          <w:rFonts w:ascii="Arial" w:cs="Arial" w:eastAsia="Arial" w:hAnsi="Arial"/>
          <w:sz w:val="12"/>
          <w:szCs w:val="12"/>
          <w:color w:val="auto"/>
          <w:highlight w:val="black"/>
        </w:rPr>
        <w:t xml:space="preserve">Significant </w:t>
      </w:r>
      <w:r>
        <w:rPr>
          <w:rFonts w:ascii="Arial" w:cs="Arial" w:eastAsia="Arial" w:hAnsi="Arial"/>
          <w:sz w:val="12"/>
          <w:szCs w:val="12"/>
          <w:color w:val="auto"/>
        </w:rPr>
        <w:t>Tenant Rents</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(Includes Tenants ≥ 0.5% of ABR)</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(in thousands)</w:t>
      </w:r>
    </w:p>
    <w:p>
      <w:pPr>
        <w:spacing w:after="0" w:line="136"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4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20" w:type="dxa"/>
            <w:vAlign w:val="bottom"/>
          </w:tcPr>
          <w:p>
            <w:pPr>
              <w:jc w:val="center"/>
              <w:spacing w:after="0"/>
              <w:rPr>
                <w:sz w:val="20"/>
                <w:szCs w:val="20"/>
                <w:color w:val="auto"/>
              </w:rPr>
            </w:pPr>
            <w:r>
              <w:rPr>
                <w:rFonts w:ascii="Arial" w:cs="Arial" w:eastAsia="Arial" w:hAnsi="Arial"/>
                <w:sz w:val="9"/>
                <w:szCs w:val="9"/>
                <w:color w:val="auto"/>
              </w:rPr>
              <w:t>% of Total Annualized Base</w:t>
            </w:r>
          </w:p>
        </w:tc>
        <w:tc>
          <w:tcPr>
            <w:tcW w:w="1320" w:type="dxa"/>
            <w:vAlign w:val="bottom"/>
          </w:tcPr>
          <w:p>
            <w:pPr>
              <w:spacing w:after="0"/>
              <w:rPr>
                <w:sz w:val="8"/>
                <w:szCs w:val="8"/>
                <w:color w:val="auto"/>
              </w:rPr>
            </w:pPr>
          </w:p>
        </w:tc>
      </w:tr>
      <w:tr>
        <w:trPr>
          <w:trHeight w:val="116"/>
        </w:trPr>
        <w:tc>
          <w:tcPr>
            <w:tcW w:w="400" w:type="dxa"/>
            <w:vAlign w:val="bottom"/>
            <w:tcBorders>
              <w:bottom w:val="single" w:sz="8" w:color="auto"/>
            </w:tcBorders>
          </w:tcPr>
          <w:p>
            <w:pPr>
              <w:jc w:val="center"/>
              <w:ind w:left="33"/>
              <w:spacing w:after="0" w:line="96" w:lineRule="exact"/>
              <w:rPr>
                <w:sz w:val="20"/>
                <w:szCs w:val="20"/>
                <w:color w:val="auto"/>
              </w:rPr>
            </w:pPr>
            <w:r>
              <w:rPr>
                <w:rFonts w:ascii="Arial" w:cs="Arial" w:eastAsia="Arial" w:hAnsi="Arial"/>
                <w:sz w:val="9"/>
                <w:szCs w:val="9"/>
                <w:color w:val="auto"/>
              </w:rPr>
              <w:t>#</w:t>
            </w:r>
          </w:p>
        </w:tc>
        <w:tc>
          <w:tcPr>
            <w:tcW w:w="3120" w:type="dxa"/>
            <w:vAlign w:val="bottom"/>
            <w:tcBorders>
              <w:bottom w:val="single" w:sz="8" w:color="auto"/>
            </w:tcBorders>
          </w:tcPr>
          <w:p>
            <w:pPr>
              <w:ind w:left="100"/>
              <w:spacing w:after="0" w:line="96" w:lineRule="exact"/>
              <w:rPr>
                <w:sz w:val="20"/>
                <w:szCs w:val="20"/>
                <w:color w:val="auto"/>
              </w:rPr>
            </w:pPr>
            <w:r>
              <w:rPr>
                <w:rFonts w:ascii="Arial" w:cs="Arial" w:eastAsia="Arial" w:hAnsi="Arial"/>
                <w:sz w:val="9"/>
                <w:szCs w:val="9"/>
                <w:color w:val="auto"/>
                <w:highlight w:val="black"/>
              </w:rPr>
              <w:t>Tenant</w:t>
            </w:r>
          </w:p>
        </w:tc>
        <w:tc>
          <w:tcPr>
            <w:tcW w:w="2000" w:type="dxa"/>
            <w:vAlign w:val="bottom"/>
            <w:tcBorders>
              <w:bottom w:val="single" w:sz="8" w:color="auto"/>
            </w:tcBorders>
          </w:tcPr>
          <w:p>
            <w:pPr>
              <w:ind w:left="1200"/>
              <w:spacing w:after="0" w:line="96" w:lineRule="exact"/>
              <w:rPr>
                <w:sz w:val="20"/>
                <w:szCs w:val="20"/>
                <w:color w:val="auto"/>
              </w:rPr>
            </w:pPr>
            <w:r>
              <w:rPr>
                <w:rFonts w:ascii="Arial" w:cs="Arial" w:eastAsia="Arial" w:hAnsi="Arial"/>
                <w:sz w:val="9"/>
                <w:szCs w:val="9"/>
                <w:color w:val="auto"/>
                <w:highlight w:val="black"/>
              </w:rPr>
              <w:t>Tenant GLA</w:t>
            </w:r>
          </w:p>
        </w:tc>
        <w:tc>
          <w:tcPr>
            <w:tcW w:w="1620" w:type="dxa"/>
            <w:vAlign w:val="bottom"/>
            <w:tcBorders>
              <w:bottom w:val="single" w:sz="8" w:color="auto"/>
            </w:tcBorders>
          </w:tcPr>
          <w:p>
            <w:pPr>
              <w:ind w:left="320"/>
              <w:spacing w:after="0" w:line="96" w:lineRule="exact"/>
              <w:rPr>
                <w:sz w:val="20"/>
                <w:szCs w:val="20"/>
                <w:color w:val="auto"/>
              </w:rPr>
            </w:pPr>
            <w:r>
              <w:rPr>
                <w:rFonts w:ascii="Arial" w:cs="Arial" w:eastAsia="Arial" w:hAnsi="Arial"/>
                <w:sz w:val="9"/>
                <w:szCs w:val="9"/>
                <w:color w:val="auto"/>
              </w:rPr>
              <w:t>% of Company-Owned GLA</w:t>
            </w:r>
          </w:p>
        </w:tc>
        <w:tc>
          <w:tcPr>
            <w:tcW w:w="1420" w:type="dxa"/>
            <w:vAlign w:val="bottom"/>
            <w:tcBorders>
              <w:bottom w:val="single" w:sz="8" w:color="auto"/>
            </w:tcBorders>
          </w:tcPr>
          <w:p>
            <w:pPr>
              <w:ind w:left="140"/>
              <w:spacing w:after="0" w:line="96" w:lineRule="exact"/>
              <w:rPr>
                <w:sz w:val="20"/>
                <w:szCs w:val="20"/>
                <w:color w:val="auto"/>
              </w:rPr>
            </w:pPr>
            <w:r>
              <w:rPr>
                <w:rFonts w:ascii="Arial" w:cs="Arial" w:eastAsia="Arial" w:hAnsi="Arial"/>
                <w:sz w:val="9"/>
                <w:szCs w:val="9"/>
                <w:color w:val="auto"/>
              </w:rPr>
              <w:t>Total Annualized Base Rent</w:t>
            </w:r>
          </w:p>
        </w:tc>
        <w:tc>
          <w:tcPr>
            <w:tcW w:w="1420" w:type="dxa"/>
            <w:vAlign w:val="bottom"/>
            <w:tcBorders>
              <w:bottom w:val="single" w:sz="8" w:color="auto"/>
            </w:tcBorders>
          </w:tcPr>
          <w:p>
            <w:pPr>
              <w:jc w:val="center"/>
              <w:ind w:left="13"/>
              <w:spacing w:after="0" w:line="96" w:lineRule="exact"/>
              <w:rPr>
                <w:sz w:val="20"/>
                <w:szCs w:val="20"/>
                <w:color w:val="auto"/>
              </w:rPr>
            </w:pPr>
            <w:r>
              <w:rPr>
                <w:rFonts w:ascii="Arial" w:cs="Arial" w:eastAsia="Arial" w:hAnsi="Arial"/>
                <w:sz w:val="9"/>
                <w:szCs w:val="9"/>
                <w:color w:val="auto"/>
                <w:highlight w:val="black"/>
              </w:rPr>
              <w:t>Rent</w:t>
            </w:r>
          </w:p>
        </w:tc>
        <w:tc>
          <w:tcPr>
            <w:tcW w:w="1320" w:type="dxa"/>
            <w:vAlign w:val="bottom"/>
            <w:tcBorders>
              <w:bottom w:val="single" w:sz="8" w:color="auto"/>
            </w:tcBorders>
          </w:tcPr>
          <w:p>
            <w:pPr>
              <w:ind w:left="100"/>
              <w:spacing w:after="0" w:line="96" w:lineRule="exact"/>
              <w:rPr>
                <w:sz w:val="20"/>
                <w:szCs w:val="20"/>
                <w:color w:val="auto"/>
              </w:rPr>
            </w:pPr>
            <w:r>
              <w:rPr>
                <w:rFonts w:ascii="Arial" w:cs="Arial" w:eastAsia="Arial" w:hAnsi="Arial"/>
                <w:sz w:val="9"/>
                <w:szCs w:val="9"/>
                <w:color w:val="auto"/>
              </w:rPr>
              <w:t>Total # of Leased Stores</w:t>
            </w:r>
          </w:p>
        </w:tc>
      </w:tr>
      <w:tr>
        <w:trPr>
          <w:trHeight w:val="107"/>
        </w:trPr>
        <w:tc>
          <w:tcPr>
            <w:tcW w:w="400" w:type="dxa"/>
            <w:vAlign w:val="bottom"/>
            <w:shd w:val="clear" w:color="auto" w:fill="BFBFBF"/>
          </w:tcPr>
          <w:p>
            <w:pPr>
              <w:jc w:val="center"/>
              <w:ind w:left="33"/>
              <w:spacing w:after="0" w:line="94" w:lineRule="exact"/>
              <w:rPr>
                <w:sz w:val="20"/>
                <w:szCs w:val="20"/>
                <w:color w:val="auto"/>
              </w:rPr>
            </w:pPr>
            <w:r>
              <w:rPr>
                <w:rFonts w:ascii="Arial" w:cs="Arial" w:eastAsia="Arial" w:hAnsi="Arial"/>
                <w:sz w:val="9"/>
                <w:szCs w:val="9"/>
                <w:color w:val="auto"/>
                <w:w w:val="78"/>
              </w:rPr>
              <w:t>1</w:t>
            </w:r>
          </w:p>
        </w:tc>
        <w:tc>
          <w:tcPr>
            <w:tcW w:w="3120" w:type="dxa"/>
            <w:vAlign w:val="bottom"/>
            <w:shd w:val="clear" w:color="auto" w:fill="BFBFBF"/>
          </w:tcPr>
          <w:p>
            <w:pPr>
              <w:ind w:left="100"/>
              <w:spacing w:after="0" w:line="94" w:lineRule="exact"/>
              <w:rPr>
                <w:sz w:val="20"/>
                <w:szCs w:val="20"/>
                <w:color w:val="auto"/>
              </w:rPr>
            </w:pPr>
            <w:r>
              <w:rPr>
                <w:rFonts w:ascii="Arial" w:cs="Arial" w:eastAsia="Arial" w:hAnsi="Arial"/>
                <w:sz w:val="9"/>
                <w:szCs w:val="9"/>
                <w:color w:val="auto"/>
              </w:rPr>
              <w:t>Publix</w:t>
            </w:r>
          </w:p>
        </w:tc>
        <w:tc>
          <w:tcPr>
            <w:tcW w:w="2000" w:type="dxa"/>
            <w:vAlign w:val="bottom"/>
            <w:shd w:val="clear" w:color="auto" w:fill="BFBFBF"/>
          </w:tcPr>
          <w:p>
            <w:pPr>
              <w:jc w:val="center"/>
              <w:ind w:left="873"/>
              <w:spacing w:after="0" w:line="94" w:lineRule="exact"/>
              <w:rPr>
                <w:sz w:val="20"/>
                <w:szCs w:val="20"/>
                <w:color w:val="auto"/>
              </w:rPr>
            </w:pPr>
            <w:r>
              <w:rPr>
                <w:rFonts w:ascii="Arial" w:cs="Arial" w:eastAsia="Arial" w:hAnsi="Arial"/>
                <w:sz w:val="9"/>
                <w:szCs w:val="9"/>
                <w:color w:val="auto"/>
              </w:rPr>
              <w:t>2,936</w:t>
            </w:r>
          </w:p>
        </w:tc>
        <w:tc>
          <w:tcPr>
            <w:tcW w:w="1620" w:type="dxa"/>
            <w:vAlign w:val="bottom"/>
            <w:shd w:val="clear" w:color="auto" w:fill="BFBFBF"/>
          </w:tcPr>
          <w:p>
            <w:pPr>
              <w:jc w:val="center"/>
              <w:ind w:left="133"/>
              <w:spacing w:after="0" w:line="94" w:lineRule="exact"/>
              <w:rPr>
                <w:sz w:val="20"/>
                <w:szCs w:val="20"/>
                <w:color w:val="auto"/>
              </w:rPr>
            </w:pPr>
            <w:r>
              <w:rPr>
                <w:rFonts w:ascii="Arial" w:cs="Arial" w:eastAsia="Arial" w:hAnsi="Arial"/>
                <w:sz w:val="9"/>
                <w:szCs w:val="9"/>
                <w:color w:val="auto"/>
              </w:rPr>
              <w:t>5.8%</w:t>
            </w:r>
          </w:p>
        </w:tc>
        <w:tc>
          <w:tcPr>
            <w:tcW w:w="1420" w:type="dxa"/>
            <w:vAlign w:val="bottom"/>
            <w:shd w:val="clear" w:color="auto" w:fill="BFBFBF"/>
          </w:tcPr>
          <w:p>
            <w:pPr>
              <w:jc w:val="center"/>
              <w:spacing w:after="0" w:line="94" w:lineRule="exact"/>
              <w:rPr>
                <w:sz w:val="20"/>
                <w:szCs w:val="20"/>
                <w:color w:val="auto"/>
              </w:rPr>
            </w:pPr>
            <w:r>
              <w:rPr>
                <w:rFonts w:ascii="Arial" w:cs="Arial" w:eastAsia="Arial" w:hAnsi="Arial"/>
                <w:sz w:val="9"/>
                <w:szCs w:val="9"/>
                <w:color w:val="auto"/>
              </w:rPr>
              <w:t>$36,007</w:t>
            </w:r>
          </w:p>
        </w:tc>
        <w:tc>
          <w:tcPr>
            <w:tcW w:w="1420" w:type="dxa"/>
            <w:vAlign w:val="bottom"/>
            <w:shd w:val="clear" w:color="auto" w:fill="BFBFBF"/>
          </w:tcPr>
          <w:p>
            <w:pPr>
              <w:jc w:val="center"/>
              <w:ind w:left="13"/>
              <w:spacing w:after="0" w:line="94" w:lineRule="exact"/>
              <w:rPr>
                <w:sz w:val="20"/>
                <w:szCs w:val="20"/>
                <w:color w:val="auto"/>
              </w:rPr>
            </w:pPr>
            <w:r>
              <w:rPr>
                <w:rFonts w:ascii="Arial" w:cs="Arial" w:eastAsia="Arial" w:hAnsi="Arial"/>
                <w:sz w:val="9"/>
                <w:szCs w:val="9"/>
                <w:color w:val="auto"/>
              </w:rPr>
              <w:t>2.8%</w:t>
            </w:r>
          </w:p>
        </w:tc>
        <w:tc>
          <w:tcPr>
            <w:tcW w:w="1320" w:type="dxa"/>
            <w:vAlign w:val="bottom"/>
            <w:shd w:val="clear" w:color="auto" w:fill="BFBFBF"/>
          </w:tcPr>
          <w:p>
            <w:pPr>
              <w:jc w:val="center"/>
              <w:ind w:right="13"/>
              <w:spacing w:after="0" w:line="94" w:lineRule="exact"/>
              <w:rPr>
                <w:sz w:val="20"/>
                <w:szCs w:val="20"/>
                <w:color w:val="auto"/>
              </w:rPr>
            </w:pPr>
            <w:r>
              <w:rPr>
                <w:rFonts w:ascii="Arial" w:cs="Arial" w:eastAsia="Arial" w:hAnsi="Arial"/>
                <w:sz w:val="9"/>
                <w:szCs w:val="9"/>
                <w:color w:val="auto"/>
                <w:w w:val="99"/>
              </w:rPr>
              <w:t>67</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w w:val="78"/>
              </w:rPr>
              <w:t>2</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Albertsons Companies, Inc.</w:t>
            </w:r>
            <w:r>
              <w:rPr>
                <w:rFonts w:ascii="Arial" w:cs="Arial" w:eastAsia="Arial" w:hAnsi="Arial"/>
                <w:sz w:val="11"/>
                <w:szCs w:val="11"/>
                <w:color w:val="auto"/>
                <w:vertAlign w:val="superscript"/>
              </w:rPr>
              <w:t>(1)</w:t>
            </w:r>
          </w:p>
        </w:tc>
        <w:tc>
          <w:tcPr>
            <w:tcW w:w="2000" w:type="dxa"/>
            <w:vAlign w:val="bottom"/>
          </w:tcPr>
          <w:p>
            <w:pPr>
              <w:jc w:val="center"/>
              <w:ind w:left="873"/>
              <w:spacing w:after="0" w:line="98" w:lineRule="exact"/>
              <w:rPr>
                <w:sz w:val="20"/>
                <w:szCs w:val="20"/>
                <w:color w:val="auto"/>
              </w:rPr>
            </w:pPr>
            <w:r>
              <w:rPr>
                <w:rFonts w:ascii="Arial" w:cs="Arial" w:eastAsia="Arial" w:hAnsi="Arial"/>
                <w:sz w:val="9"/>
                <w:szCs w:val="9"/>
                <w:color w:val="auto"/>
              </w:rPr>
              <w:t>2,074</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4.1%</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34,552</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2.7%</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52</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w w:val="78"/>
              </w:rPr>
              <w:t>3</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TJX Companies, Inc.</w:t>
            </w:r>
            <w:r>
              <w:rPr>
                <w:rFonts w:ascii="Arial" w:cs="Arial" w:eastAsia="Arial" w:hAnsi="Arial"/>
                <w:sz w:val="11"/>
                <w:szCs w:val="11"/>
                <w:color w:val="auto"/>
                <w:vertAlign w:val="superscript"/>
              </w:rPr>
              <w:t>(2)</w:t>
            </w:r>
          </w:p>
        </w:tc>
        <w:tc>
          <w:tcPr>
            <w:tcW w:w="2000" w:type="dxa"/>
            <w:vAlign w:val="bottom"/>
            <w:shd w:val="clear" w:color="auto" w:fill="BFBFBF"/>
          </w:tcPr>
          <w:p>
            <w:pPr>
              <w:jc w:val="center"/>
              <w:ind w:left="873"/>
              <w:spacing w:after="0" w:line="98" w:lineRule="exact"/>
              <w:rPr>
                <w:sz w:val="20"/>
                <w:szCs w:val="20"/>
                <w:color w:val="auto"/>
              </w:rPr>
            </w:pPr>
            <w:r>
              <w:rPr>
                <w:rFonts w:ascii="Arial" w:cs="Arial" w:eastAsia="Arial" w:hAnsi="Arial"/>
                <w:sz w:val="9"/>
                <w:szCs w:val="9"/>
                <w:color w:val="auto"/>
              </w:rPr>
              <w:t>1,840</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3.6%</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34,154</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2.7%</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76</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w w:val="78"/>
              </w:rPr>
              <w:t>4</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Amazon/Whole Foods</w:t>
            </w:r>
            <w:r>
              <w:rPr>
                <w:rFonts w:ascii="Arial" w:cs="Arial" w:eastAsia="Arial" w:hAnsi="Arial"/>
                <w:sz w:val="11"/>
                <w:szCs w:val="11"/>
                <w:color w:val="auto"/>
                <w:vertAlign w:val="superscript"/>
              </w:rPr>
              <w:t>(3)</w:t>
            </w:r>
          </w:p>
        </w:tc>
        <w:tc>
          <w:tcPr>
            <w:tcW w:w="2000" w:type="dxa"/>
            <w:vAlign w:val="bottom"/>
          </w:tcPr>
          <w:p>
            <w:pPr>
              <w:jc w:val="center"/>
              <w:ind w:left="873"/>
              <w:spacing w:after="0" w:line="98" w:lineRule="exact"/>
              <w:rPr>
                <w:sz w:val="20"/>
                <w:szCs w:val="20"/>
                <w:color w:val="auto"/>
              </w:rPr>
            </w:pPr>
            <w:r>
              <w:rPr>
                <w:rFonts w:ascii="Arial" w:cs="Arial" w:eastAsia="Arial" w:hAnsi="Arial"/>
                <w:sz w:val="9"/>
                <w:szCs w:val="9"/>
                <w:color w:val="auto"/>
              </w:rPr>
              <w:t>1,347</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2.7%</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33,053</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2.6%</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40</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w w:val="78"/>
              </w:rPr>
              <w:t>5</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Kroger Co.</w:t>
            </w:r>
            <w:r>
              <w:rPr>
                <w:rFonts w:ascii="Arial" w:cs="Arial" w:eastAsia="Arial" w:hAnsi="Arial"/>
                <w:sz w:val="11"/>
                <w:szCs w:val="11"/>
                <w:color w:val="auto"/>
                <w:vertAlign w:val="superscript"/>
              </w:rPr>
              <w:t>(4)</w:t>
            </w:r>
          </w:p>
        </w:tc>
        <w:tc>
          <w:tcPr>
            <w:tcW w:w="2000" w:type="dxa"/>
            <w:vAlign w:val="bottom"/>
            <w:shd w:val="clear" w:color="auto" w:fill="BFBFBF"/>
          </w:tcPr>
          <w:p>
            <w:pPr>
              <w:jc w:val="center"/>
              <w:ind w:left="873"/>
              <w:spacing w:after="0" w:line="98" w:lineRule="exact"/>
              <w:rPr>
                <w:sz w:val="20"/>
                <w:szCs w:val="20"/>
                <w:color w:val="auto"/>
              </w:rPr>
            </w:pPr>
            <w:r>
              <w:rPr>
                <w:rFonts w:ascii="Arial" w:cs="Arial" w:eastAsia="Arial" w:hAnsi="Arial"/>
                <w:sz w:val="9"/>
                <w:szCs w:val="9"/>
                <w:color w:val="auto"/>
              </w:rPr>
              <w:t>2,974</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5.9%</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31,246</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2.5%</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51</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w w:val="78"/>
              </w:rPr>
              <w:t>6</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Ahold Delhaize</w:t>
            </w:r>
            <w:r>
              <w:rPr>
                <w:rFonts w:ascii="Arial" w:cs="Arial" w:eastAsia="Arial" w:hAnsi="Arial"/>
                <w:sz w:val="11"/>
                <w:szCs w:val="11"/>
                <w:color w:val="auto"/>
                <w:vertAlign w:val="superscript"/>
              </w:rPr>
              <w:t>(5)</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924</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1.8%</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23,211</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1.8%</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20</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w w:val="78"/>
              </w:rPr>
              <w:t>7</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CVS</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804</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1.6%</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22,051</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1.7%</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65</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w w:val="78"/>
              </w:rPr>
              <w:t>8</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JPMorgan Chase Bank</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231</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0.5%</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12,877</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1.0%</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65</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w w:val="78"/>
              </w:rPr>
              <w:t>9</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Trader Joe's</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346</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0.7%</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12,221</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1.0%</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32</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10</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Nordstrom</w:t>
            </w:r>
            <w:r>
              <w:rPr>
                <w:rFonts w:ascii="Arial" w:cs="Arial" w:eastAsia="Arial" w:hAnsi="Arial"/>
                <w:sz w:val="11"/>
                <w:szCs w:val="11"/>
                <w:color w:val="auto"/>
                <w:vertAlign w:val="superscript"/>
              </w:rPr>
              <w:t>(6)</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402</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0.8%</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11,134</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0.9%</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12</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11</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L.A. Fitness Sports Club</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482</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1.0%</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10,888</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0.9%</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13</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12</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Starbucks</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158</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0.3%</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10,397</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0.8%</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98</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13</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H.E. Butt Grocery Company</w:t>
            </w:r>
            <w:r>
              <w:rPr>
                <w:rFonts w:ascii="Arial" w:cs="Arial" w:eastAsia="Arial" w:hAnsi="Arial"/>
                <w:sz w:val="11"/>
                <w:szCs w:val="11"/>
                <w:color w:val="auto"/>
                <w:vertAlign w:val="superscript"/>
              </w:rPr>
              <w:t>(7)</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702</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1.4%</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10,125</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0.8%</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rPr>
              <w:t>8</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14</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Ross Dress For Less</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570</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1.1%</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9,477</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0.7%</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24</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15</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Target</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919</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1.8%</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9,412</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0.7%</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rPr>
              <w:t>8</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16</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Bank of America</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159</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0.3%</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8,852</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0.7%</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40</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17</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Gap, Inc.</w:t>
            </w:r>
            <w:r>
              <w:rPr>
                <w:rFonts w:ascii="Arial" w:cs="Arial" w:eastAsia="Arial" w:hAnsi="Arial"/>
                <w:sz w:val="11"/>
                <w:szCs w:val="11"/>
                <w:color w:val="auto"/>
                <w:vertAlign w:val="superscript"/>
              </w:rPr>
              <w:t>(8)</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259</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0.5%</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8,788</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0.7%</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20</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18</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Wells Fargo Bank</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152</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0.3%</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8,757</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0.7%</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49</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19</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JAB Holding Company</w:t>
            </w:r>
            <w:r>
              <w:rPr>
                <w:rFonts w:ascii="Arial" w:cs="Arial" w:eastAsia="Arial" w:hAnsi="Arial"/>
                <w:sz w:val="11"/>
                <w:szCs w:val="11"/>
                <w:color w:val="auto"/>
                <w:vertAlign w:val="superscript"/>
              </w:rPr>
              <w:t>(9)</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164</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0.3%</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7,223</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0.6%</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58</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20</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Walgreens Boots Alliance</w:t>
            </w:r>
            <w:r>
              <w:rPr>
                <w:rFonts w:ascii="Arial" w:cs="Arial" w:eastAsia="Arial" w:hAnsi="Arial"/>
                <w:sz w:val="11"/>
                <w:szCs w:val="11"/>
                <w:color w:val="auto"/>
                <w:vertAlign w:val="superscript"/>
              </w:rPr>
              <w:t>(10)</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255</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0.5%</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6,796</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22</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21</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Petco Health &amp; Wellness Company, Inc.</w:t>
            </w:r>
            <w:r>
              <w:rPr>
                <w:rFonts w:ascii="Arial" w:cs="Arial" w:eastAsia="Arial" w:hAnsi="Arial"/>
                <w:sz w:val="11"/>
                <w:szCs w:val="11"/>
                <w:color w:val="auto"/>
                <w:vertAlign w:val="superscript"/>
              </w:rPr>
              <w:t>(11)</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275</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0.5%</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6,762</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26</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22</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Ulta</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224</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0.4%</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6,751</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25</w:t>
            </w:r>
          </w:p>
        </w:tc>
      </w:tr>
      <w:tr>
        <w:trPr>
          <w:trHeight w:val="118"/>
        </w:trPr>
        <w:tc>
          <w:tcPr>
            <w:tcW w:w="400" w:type="dxa"/>
            <w:vAlign w:val="bottom"/>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23</w:t>
            </w:r>
          </w:p>
        </w:tc>
        <w:tc>
          <w:tcPr>
            <w:tcW w:w="3120" w:type="dxa"/>
            <w:vAlign w:val="bottom"/>
            <w:shd w:val="clear" w:color="auto" w:fill="BFBFBF"/>
          </w:tcPr>
          <w:p>
            <w:pPr>
              <w:ind w:left="100"/>
              <w:spacing w:after="0" w:line="98" w:lineRule="exact"/>
              <w:rPr>
                <w:sz w:val="20"/>
                <w:szCs w:val="20"/>
                <w:color w:val="auto"/>
              </w:rPr>
            </w:pPr>
            <w:r>
              <w:rPr>
                <w:rFonts w:ascii="Arial" w:cs="Arial" w:eastAsia="Arial" w:hAnsi="Arial"/>
                <w:sz w:val="9"/>
                <w:szCs w:val="9"/>
                <w:color w:val="auto"/>
              </w:rPr>
              <w:t>Kohl's</w:t>
            </w:r>
          </w:p>
        </w:tc>
        <w:tc>
          <w:tcPr>
            <w:tcW w:w="2000" w:type="dxa"/>
            <w:vAlign w:val="bottom"/>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526</w:t>
            </w:r>
          </w:p>
        </w:tc>
        <w:tc>
          <w:tcPr>
            <w:tcW w:w="1620" w:type="dxa"/>
            <w:vAlign w:val="bottom"/>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1.0%</w:t>
            </w:r>
          </w:p>
        </w:tc>
        <w:tc>
          <w:tcPr>
            <w:tcW w:w="1420" w:type="dxa"/>
            <w:vAlign w:val="bottom"/>
            <w:shd w:val="clear" w:color="auto" w:fill="BFBFBF"/>
          </w:tcPr>
          <w:p>
            <w:pPr>
              <w:jc w:val="center"/>
              <w:spacing w:after="0" w:line="98" w:lineRule="exact"/>
              <w:rPr>
                <w:sz w:val="20"/>
                <w:szCs w:val="20"/>
                <w:color w:val="auto"/>
              </w:rPr>
            </w:pPr>
            <w:r>
              <w:rPr>
                <w:rFonts w:ascii="Arial" w:cs="Arial" w:eastAsia="Arial" w:hAnsi="Arial"/>
                <w:sz w:val="9"/>
                <w:szCs w:val="9"/>
                <w:color w:val="auto"/>
              </w:rPr>
              <w:t>6,419</w:t>
            </w:r>
          </w:p>
        </w:tc>
        <w:tc>
          <w:tcPr>
            <w:tcW w:w="1420" w:type="dxa"/>
            <w:vAlign w:val="bottom"/>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rPr>
              <w:t>7</w:t>
            </w:r>
          </w:p>
        </w:tc>
      </w:tr>
      <w:tr>
        <w:trPr>
          <w:trHeight w:val="118"/>
        </w:trPr>
        <w:tc>
          <w:tcPr>
            <w:tcW w:w="400" w:type="dxa"/>
            <w:vAlign w:val="bottom"/>
          </w:tcPr>
          <w:p>
            <w:pPr>
              <w:jc w:val="center"/>
              <w:ind w:left="33"/>
              <w:spacing w:after="0" w:line="98" w:lineRule="exact"/>
              <w:rPr>
                <w:sz w:val="20"/>
                <w:szCs w:val="20"/>
                <w:color w:val="auto"/>
              </w:rPr>
            </w:pPr>
            <w:r>
              <w:rPr>
                <w:rFonts w:ascii="Arial" w:cs="Arial" w:eastAsia="Arial" w:hAnsi="Arial"/>
                <w:sz w:val="9"/>
                <w:szCs w:val="9"/>
                <w:color w:val="auto"/>
              </w:rPr>
              <w:t>24</w:t>
            </w:r>
          </w:p>
        </w:tc>
        <w:tc>
          <w:tcPr>
            <w:tcW w:w="3120" w:type="dxa"/>
            <w:vAlign w:val="bottom"/>
          </w:tcPr>
          <w:p>
            <w:pPr>
              <w:ind w:left="100"/>
              <w:spacing w:after="0" w:line="98" w:lineRule="exact"/>
              <w:rPr>
                <w:sz w:val="20"/>
                <w:szCs w:val="20"/>
                <w:color w:val="auto"/>
              </w:rPr>
            </w:pPr>
            <w:r>
              <w:rPr>
                <w:rFonts w:ascii="Arial" w:cs="Arial" w:eastAsia="Arial" w:hAnsi="Arial"/>
                <w:sz w:val="9"/>
                <w:szCs w:val="9"/>
                <w:color w:val="auto"/>
              </w:rPr>
              <w:t>Xponential Fitness</w:t>
            </w:r>
            <w:r>
              <w:rPr>
                <w:rFonts w:ascii="Arial" w:cs="Arial" w:eastAsia="Arial" w:hAnsi="Arial"/>
                <w:sz w:val="11"/>
                <w:szCs w:val="11"/>
                <w:color w:val="auto"/>
                <w:vertAlign w:val="superscript"/>
              </w:rPr>
              <w:t>(12)</w:t>
            </w:r>
          </w:p>
        </w:tc>
        <w:tc>
          <w:tcPr>
            <w:tcW w:w="2000" w:type="dxa"/>
            <w:vAlign w:val="bottom"/>
          </w:tcPr>
          <w:p>
            <w:pPr>
              <w:jc w:val="center"/>
              <w:ind w:left="853"/>
              <w:spacing w:after="0" w:line="98" w:lineRule="exact"/>
              <w:rPr>
                <w:sz w:val="20"/>
                <w:szCs w:val="20"/>
                <w:color w:val="auto"/>
              </w:rPr>
            </w:pPr>
            <w:r>
              <w:rPr>
                <w:rFonts w:ascii="Arial" w:cs="Arial" w:eastAsia="Arial" w:hAnsi="Arial"/>
                <w:sz w:val="9"/>
                <w:szCs w:val="9"/>
                <w:color w:val="auto"/>
                <w:w w:val="92"/>
              </w:rPr>
              <w:t>149</w:t>
            </w:r>
          </w:p>
        </w:tc>
        <w:tc>
          <w:tcPr>
            <w:tcW w:w="1620" w:type="dxa"/>
            <w:vAlign w:val="bottom"/>
          </w:tcPr>
          <w:p>
            <w:pPr>
              <w:jc w:val="center"/>
              <w:ind w:left="133"/>
              <w:spacing w:after="0" w:line="98" w:lineRule="exact"/>
              <w:rPr>
                <w:sz w:val="20"/>
                <w:szCs w:val="20"/>
                <w:color w:val="auto"/>
              </w:rPr>
            </w:pPr>
            <w:r>
              <w:rPr>
                <w:rFonts w:ascii="Arial" w:cs="Arial" w:eastAsia="Arial" w:hAnsi="Arial"/>
                <w:sz w:val="9"/>
                <w:szCs w:val="9"/>
                <w:color w:val="auto"/>
              </w:rPr>
              <w:t>0.3%</w:t>
            </w:r>
          </w:p>
        </w:tc>
        <w:tc>
          <w:tcPr>
            <w:tcW w:w="1420" w:type="dxa"/>
            <w:vAlign w:val="bottom"/>
          </w:tcPr>
          <w:p>
            <w:pPr>
              <w:jc w:val="center"/>
              <w:spacing w:after="0" w:line="98" w:lineRule="exact"/>
              <w:rPr>
                <w:sz w:val="20"/>
                <w:szCs w:val="20"/>
                <w:color w:val="auto"/>
              </w:rPr>
            </w:pPr>
            <w:r>
              <w:rPr>
                <w:rFonts w:ascii="Arial" w:cs="Arial" w:eastAsia="Arial" w:hAnsi="Arial"/>
                <w:sz w:val="9"/>
                <w:szCs w:val="9"/>
                <w:color w:val="auto"/>
              </w:rPr>
              <w:t>6,137</w:t>
            </w:r>
          </w:p>
        </w:tc>
        <w:tc>
          <w:tcPr>
            <w:tcW w:w="1420" w:type="dxa"/>
            <w:vAlign w:val="bottom"/>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tcPr>
          <w:p>
            <w:pPr>
              <w:jc w:val="center"/>
              <w:ind w:right="13"/>
              <w:spacing w:after="0" w:line="98" w:lineRule="exact"/>
              <w:rPr>
                <w:sz w:val="20"/>
                <w:szCs w:val="20"/>
                <w:color w:val="auto"/>
              </w:rPr>
            </w:pPr>
            <w:r>
              <w:rPr>
                <w:rFonts w:ascii="Arial" w:cs="Arial" w:eastAsia="Arial" w:hAnsi="Arial"/>
                <w:sz w:val="9"/>
                <w:szCs w:val="9"/>
                <w:color w:val="auto"/>
                <w:w w:val="99"/>
              </w:rPr>
              <w:t>91</w:t>
            </w:r>
          </w:p>
        </w:tc>
      </w:tr>
      <w:tr>
        <w:trPr>
          <w:trHeight w:val="118"/>
        </w:trPr>
        <w:tc>
          <w:tcPr>
            <w:tcW w:w="400" w:type="dxa"/>
            <w:vAlign w:val="bottom"/>
            <w:tcBorders>
              <w:bottom w:val="single" w:sz="8" w:color="auto"/>
            </w:tcBorders>
            <w:shd w:val="clear" w:color="auto" w:fill="BFBFBF"/>
          </w:tcPr>
          <w:p>
            <w:pPr>
              <w:jc w:val="center"/>
              <w:ind w:left="33"/>
              <w:spacing w:after="0" w:line="98" w:lineRule="exact"/>
              <w:rPr>
                <w:sz w:val="20"/>
                <w:szCs w:val="20"/>
                <w:color w:val="auto"/>
              </w:rPr>
            </w:pPr>
            <w:r>
              <w:rPr>
                <w:rFonts w:ascii="Arial" w:cs="Arial" w:eastAsia="Arial" w:hAnsi="Arial"/>
                <w:sz w:val="9"/>
                <w:szCs w:val="9"/>
                <w:color w:val="auto"/>
              </w:rPr>
              <w:t>25</w:t>
            </w:r>
          </w:p>
        </w:tc>
        <w:tc>
          <w:tcPr>
            <w:tcW w:w="3120" w:type="dxa"/>
            <w:vAlign w:val="bottom"/>
            <w:tcBorders>
              <w:bottom w:val="single" w:sz="8" w:color="auto"/>
            </w:tcBorders>
            <w:shd w:val="clear" w:color="auto" w:fill="BFBFBF"/>
          </w:tcPr>
          <w:p>
            <w:pPr>
              <w:ind w:left="100"/>
              <w:spacing w:after="0" w:line="98" w:lineRule="exact"/>
              <w:rPr>
                <w:sz w:val="20"/>
                <w:szCs w:val="20"/>
                <w:color w:val="auto"/>
              </w:rPr>
            </w:pPr>
            <w:r>
              <w:rPr>
                <w:rFonts w:ascii="Arial" w:cs="Arial" w:eastAsia="Arial" w:hAnsi="Arial"/>
                <w:sz w:val="9"/>
                <w:szCs w:val="9"/>
                <w:color w:val="auto"/>
              </w:rPr>
              <w:t>Five Below</w:t>
            </w:r>
          </w:p>
        </w:tc>
        <w:tc>
          <w:tcPr>
            <w:tcW w:w="2000" w:type="dxa"/>
            <w:vAlign w:val="bottom"/>
            <w:tcBorders>
              <w:bottom w:val="single" w:sz="8" w:color="auto"/>
            </w:tcBorders>
            <w:shd w:val="clear" w:color="auto" w:fill="BFBFBF"/>
          </w:tcPr>
          <w:p>
            <w:pPr>
              <w:jc w:val="center"/>
              <w:ind w:left="853"/>
              <w:spacing w:after="0" w:line="98" w:lineRule="exact"/>
              <w:rPr>
                <w:sz w:val="20"/>
                <w:szCs w:val="20"/>
                <w:color w:val="auto"/>
              </w:rPr>
            </w:pPr>
            <w:r>
              <w:rPr>
                <w:rFonts w:ascii="Arial" w:cs="Arial" w:eastAsia="Arial" w:hAnsi="Arial"/>
                <w:sz w:val="9"/>
                <w:szCs w:val="9"/>
                <w:color w:val="auto"/>
                <w:w w:val="92"/>
              </w:rPr>
              <w:t>201</w:t>
            </w:r>
          </w:p>
        </w:tc>
        <w:tc>
          <w:tcPr>
            <w:tcW w:w="1620" w:type="dxa"/>
            <w:vAlign w:val="bottom"/>
            <w:tcBorders>
              <w:bottom w:val="single" w:sz="8" w:color="auto"/>
            </w:tcBorders>
            <w:shd w:val="clear" w:color="auto" w:fill="BFBFBF"/>
          </w:tcPr>
          <w:p>
            <w:pPr>
              <w:jc w:val="center"/>
              <w:ind w:left="133"/>
              <w:spacing w:after="0" w:line="98" w:lineRule="exact"/>
              <w:rPr>
                <w:sz w:val="20"/>
                <w:szCs w:val="20"/>
                <w:color w:val="auto"/>
              </w:rPr>
            </w:pPr>
            <w:r>
              <w:rPr>
                <w:rFonts w:ascii="Arial" w:cs="Arial" w:eastAsia="Arial" w:hAnsi="Arial"/>
                <w:sz w:val="9"/>
                <w:szCs w:val="9"/>
                <w:color w:val="auto"/>
              </w:rPr>
              <w:t>0.4%</w:t>
            </w:r>
          </w:p>
        </w:tc>
        <w:tc>
          <w:tcPr>
            <w:tcW w:w="1420" w:type="dxa"/>
            <w:vAlign w:val="bottom"/>
            <w:tcBorders>
              <w:bottom w:val="single" w:sz="8" w:color="auto"/>
            </w:tcBorders>
            <w:shd w:val="clear" w:color="auto" w:fill="BFBFBF"/>
          </w:tcPr>
          <w:p>
            <w:pPr>
              <w:jc w:val="center"/>
              <w:spacing w:after="0" w:line="98" w:lineRule="exact"/>
              <w:rPr>
                <w:sz w:val="20"/>
                <w:szCs w:val="20"/>
                <w:color w:val="auto"/>
              </w:rPr>
            </w:pPr>
            <w:r>
              <w:rPr>
                <w:rFonts w:ascii="Arial" w:cs="Arial" w:eastAsia="Arial" w:hAnsi="Arial"/>
                <w:sz w:val="9"/>
                <w:szCs w:val="9"/>
                <w:color w:val="auto"/>
              </w:rPr>
              <w:t>5,853</w:t>
            </w:r>
          </w:p>
        </w:tc>
        <w:tc>
          <w:tcPr>
            <w:tcW w:w="1420" w:type="dxa"/>
            <w:vAlign w:val="bottom"/>
            <w:tcBorders>
              <w:bottom w:val="single" w:sz="8" w:color="auto"/>
            </w:tcBorders>
            <w:shd w:val="clear" w:color="auto" w:fill="BFBFBF"/>
          </w:tcPr>
          <w:p>
            <w:pPr>
              <w:jc w:val="center"/>
              <w:ind w:left="13"/>
              <w:spacing w:after="0" w:line="98" w:lineRule="exact"/>
              <w:rPr>
                <w:sz w:val="20"/>
                <w:szCs w:val="20"/>
                <w:color w:val="auto"/>
              </w:rPr>
            </w:pPr>
            <w:r>
              <w:rPr>
                <w:rFonts w:ascii="Arial" w:cs="Arial" w:eastAsia="Arial" w:hAnsi="Arial"/>
                <w:sz w:val="9"/>
                <w:szCs w:val="9"/>
                <w:color w:val="auto"/>
              </w:rPr>
              <w:t>0.5%</w:t>
            </w:r>
          </w:p>
        </w:tc>
        <w:tc>
          <w:tcPr>
            <w:tcW w:w="1320" w:type="dxa"/>
            <w:vAlign w:val="bottom"/>
            <w:tcBorders>
              <w:bottom w:val="single" w:sz="8" w:color="auto"/>
            </w:tcBorders>
            <w:shd w:val="clear" w:color="auto" w:fill="BFBFBF"/>
          </w:tcPr>
          <w:p>
            <w:pPr>
              <w:jc w:val="center"/>
              <w:ind w:right="13"/>
              <w:spacing w:after="0" w:line="98" w:lineRule="exact"/>
              <w:rPr>
                <w:sz w:val="20"/>
                <w:szCs w:val="20"/>
                <w:color w:val="auto"/>
              </w:rPr>
            </w:pPr>
            <w:r>
              <w:rPr>
                <w:rFonts w:ascii="Arial" w:cs="Arial" w:eastAsia="Arial" w:hAnsi="Arial"/>
                <w:sz w:val="9"/>
                <w:szCs w:val="9"/>
                <w:color w:val="auto"/>
                <w:w w:val="99"/>
              </w:rPr>
              <w:t>26</w:t>
            </w:r>
          </w:p>
        </w:tc>
      </w:tr>
      <w:tr>
        <w:trPr>
          <w:trHeight w:val="114"/>
        </w:trPr>
        <w:tc>
          <w:tcPr>
            <w:tcW w:w="4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ind w:left="100"/>
              <w:spacing w:after="0" w:line="94" w:lineRule="exact"/>
              <w:rPr>
                <w:sz w:val="20"/>
                <w:szCs w:val="20"/>
                <w:color w:val="auto"/>
              </w:rPr>
            </w:pPr>
            <w:r>
              <w:rPr>
                <w:rFonts w:ascii="Arial" w:cs="Arial" w:eastAsia="Arial" w:hAnsi="Arial"/>
                <w:sz w:val="9"/>
                <w:szCs w:val="9"/>
                <w:color w:val="auto"/>
                <w:highlight w:val="black"/>
              </w:rPr>
              <w:t>Top Tenants</w:t>
            </w:r>
          </w:p>
        </w:tc>
        <w:tc>
          <w:tcPr>
            <w:tcW w:w="2000" w:type="dxa"/>
            <w:vAlign w:val="bottom"/>
            <w:tcBorders>
              <w:bottom w:val="single" w:sz="8" w:color="auto"/>
            </w:tcBorders>
          </w:tcPr>
          <w:p>
            <w:pPr>
              <w:jc w:val="center"/>
              <w:ind w:left="853"/>
              <w:spacing w:after="0" w:line="94" w:lineRule="exact"/>
              <w:rPr>
                <w:sz w:val="20"/>
                <w:szCs w:val="20"/>
                <w:color w:val="auto"/>
              </w:rPr>
            </w:pPr>
            <w:r>
              <w:rPr>
                <w:rFonts w:ascii="Arial" w:cs="Arial" w:eastAsia="Arial" w:hAnsi="Arial"/>
                <w:sz w:val="9"/>
                <w:szCs w:val="9"/>
                <w:color w:val="auto"/>
                <w:highlight w:val="black"/>
              </w:rPr>
              <w:t>19,073</w:t>
            </w:r>
          </w:p>
        </w:tc>
        <w:tc>
          <w:tcPr>
            <w:tcW w:w="1620" w:type="dxa"/>
            <w:vAlign w:val="bottom"/>
            <w:tcBorders>
              <w:bottom w:val="single" w:sz="8" w:color="auto"/>
            </w:tcBorders>
          </w:tcPr>
          <w:p>
            <w:pPr>
              <w:jc w:val="center"/>
              <w:ind w:left="133"/>
              <w:spacing w:after="0" w:line="94" w:lineRule="exact"/>
              <w:rPr>
                <w:sz w:val="20"/>
                <w:szCs w:val="20"/>
                <w:color w:val="auto"/>
              </w:rPr>
            </w:pPr>
            <w:r>
              <w:rPr>
                <w:rFonts w:ascii="Arial" w:cs="Arial" w:eastAsia="Arial" w:hAnsi="Arial"/>
                <w:sz w:val="9"/>
                <w:szCs w:val="9"/>
                <w:color w:val="auto"/>
                <w:highlight w:val="black"/>
              </w:rPr>
              <w:t>37.6%</w:t>
            </w:r>
          </w:p>
        </w:tc>
        <w:tc>
          <w:tcPr>
            <w:tcW w:w="142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$373,143</w:t>
            </w:r>
          </w:p>
        </w:tc>
        <w:tc>
          <w:tcPr>
            <w:tcW w:w="1420" w:type="dxa"/>
            <w:vAlign w:val="bottom"/>
            <w:tcBorders>
              <w:bottom w:val="single" w:sz="8" w:color="auto"/>
            </w:tcBorders>
          </w:tcPr>
          <w:p>
            <w:pPr>
              <w:jc w:val="center"/>
              <w:ind w:left="13"/>
              <w:spacing w:after="0" w:line="94" w:lineRule="exact"/>
              <w:rPr>
                <w:sz w:val="20"/>
                <w:szCs w:val="20"/>
                <w:color w:val="auto"/>
              </w:rPr>
            </w:pPr>
            <w:r>
              <w:rPr>
                <w:rFonts w:ascii="Arial" w:cs="Arial" w:eastAsia="Arial" w:hAnsi="Arial"/>
                <w:sz w:val="9"/>
                <w:szCs w:val="9"/>
                <w:color w:val="auto"/>
                <w:highlight w:val="black"/>
              </w:rPr>
              <w:t>29.3%</w:t>
            </w:r>
          </w:p>
        </w:tc>
        <w:tc>
          <w:tcPr>
            <w:tcW w:w="1320" w:type="dxa"/>
            <w:vAlign w:val="bottom"/>
            <w:tcBorders>
              <w:bottom w:val="single" w:sz="8" w:color="auto"/>
            </w:tcBorders>
          </w:tcPr>
          <w:p>
            <w:pPr>
              <w:jc w:val="center"/>
              <w:ind w:right="33"/>
              <w:spacing w:after="0" w:line="94" w:lineRule="exact"/>
              <w:rPr>
                <w:sz w:val="20"/>
                <w:szCs w:val="20"/>
                <w:color w:val="auto"/>
              </w:rPr>
            </w:pPr>
            <w:r>
              <w:rPr>
                <w:rFonts w:ascii="Arial" w:cs="Arial" w:eastAsia="Arial" w:hAnsi="Arial"/>
                <w:sz w:val="9"/>
                <w:szCs w:val="9"/>
                <w:color w:val="auto"/>
                <w:highlight w:val="black"/>
              </w:rPr>
              <w:t>995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-2040255</wp:posOffset>
            </wp:positionV>
            <wp:extent cx="64135" cy="723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35" cy="72390"/>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-2042160</wp:posOffset>
            </wp:positionV>
            <wp:extent cx="766445" cy="869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6445" cy="86995"/>
                    </a:xfrm>
                    <a:prstGeom prst="rect">
                      <a:avLst/>
                    </a:prstGeom>
                    <a:noFill/>
                  </pic:spPr>
                </pic:pic>
              </a:graphicData>
            </a:graphic>
          </wp:anchor>
        </w:drawing>
      </w:r>
    </w:p>
    <w:p>
      <w:pPr>
        <w:spacing w:after="0" w:line="133" w:lineRule="exact"/>
        <w:rPr>
          <w:sz w:val="20"/>
          <w:szCs w:val="20"/>
          <w:color w:val="auto"/>
        </w:rPr>
      </w:pPr>
    </w:p>
    <w:p>
      <w:pPr>
        <w:ind w:left="308" w:hanging="308"/>
        <w:spacing w:after="0"/>
        <w:tabs>
          <w:tab w:leader="none" w:pos="308" w:val="left"/>
        </w:tabs>
        <w:numPr>
          <w:ilvl w:val="0"/>
          <w:numId w:val="52"/>
        </w:numPr>
        <w:rPr>
          <w:rFonts w:ascii="Arial" w:cs="Arial" w:eastAsia="Arial" w:hAnsi="Arial"/>
          <w:sz w:val="11"/>
          <w:szCs w:val="11"/>
          <w:color w:val="auto"/>
          <w:vertAlign w:val="superscript"/>
        </w:rPr>
      </w:pPr>
      <w:r>
        <w:rPr>
          <w:rFonts w:ascii="Arial" w:cs="Arial" w:eastAsia="Arial" w:hAnsi="Arial"/>
          <w:sz w:val="8"/>
          <w:szCs w:val="8"/>
          <w:color w:val="auto"/>
        </w:rPr>
        <w:t>Safeway 21 / VONS 8 / Acme 7 / Albertson's 5 / Shaw's 3 / Tom Thumb 3 / Randalls 1 / Star Market 1 / Pavilions 1 / King's Food Market 1 / Jewel-Osco 1</w:t>
      </w:r>
    </w:p>
    <w:p>
      <w:pPr>
        <w:spacing w:after="0" w:line="50" w:lineRule="exact"/>
        <w:rPr>
          <w:rFonts w:ascii="Arial" w:cs="Arial" w:eastAsia="Arial" w:hAnsi="Arial"/>
          <w:sz w:val="11"/>
          <w:szCs w:val="11"/>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TJ Maxx 28 / Marshalls 24 / Homegoods 21 / Homesense 2 / Sierra Trading Post 1</w:t>
      </w:r>
    </w:p>
    <w:p>
      <w:pPr>
        <w:spacing w:after="0" w:line="50" w:lineRule="exact"/>
        <w:rPr>
          <w:rFonts w:ascii="Arial" w:cs="Arial" w:eastAsia="Arial" w:hAnsi="Arial"/>
          <w:sz w:val="9"/>
          <w:szCs w:val="9"/>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Whole Foods 35 / Amazon Fresh 4 / Amazon 1</w:t>
      </w:r>
    </w:p>
    <w:p>
      <w:pPr>
        <w:spacing w:after="0" w:line="50" w:lineRule="exact"/>
        <w:rPr>
          <w:rFonts w:ascii="Arial" w:cs="Arial" w:eastAsia="Arial" w:hAnsi="Arial"/>
          <w:sz w:val="9"/>
          <w:szCs w:val="9"/>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Kroger 18 / King Soopers 11 / Ralphs 9 / Harris Teeter 8 / Mariano's Fresh Market 3 / Quality Food Centers 2</w:t>
      </w:r>
    </w:p>
    <w:p>
      <w:pPr>
        <w:spacing w:after="0" w:line="50" w:lineRule="exact"/>
        <w:rPr>
          <w:rFonts w:ascii="Arial" w:cs="Arial" w:eastAsia="Arial" w:hAnsi="Arial"/>
          <w:sz w:val="9"/>
          <w:szCs w:val="9"/>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Stop &amp; Shop 10 / Giant 9 / Food Lion 1</w:t>
      </w:r>
    </w:p>
    <w:p>
      <w:pPr>
        <w:spacing w:after="0" w:line="50" w:lineRule="exact"/>
        <w:rPr>
          <w:rFonts w:ascii="Arial" w:cs="Arial" w:eastAsia="Arial" w:hAnsi="Arial"/>
          <w:sz w:val="9"/>
          <w:szCs w:val="9"/>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Nordstrom Rack 12</w:t>
      </w:r>
    </w:p>
    <w:p>
      <w:pPr>
        <w:spacing w:after="0" w:line="50" w:lineRule="exact"/>
        <w:rPr>
          <w:rFonts w:ascii="Arial" w:cs="Arial" w:eastAsia="Arial" w:hAnsi="Arial"/>
          <w:sz w:val="9"/>
          <w:szCs w:val="9"/>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H.E.B. 7 / Central Market 1</w:t>
      </w:r>
    </w:p>
    <w:p>
      <w:pPr>
        <w:spacing w:after="0" w:line="47" w:lineRule="exact"/>
        <w:rPr>
          <w:rFonts w:ascii="Arial" w:cs="Arial" w:eastAsia="Arial" w:hAnsi="Arial"/>
          <w:sz w:val="9"/>
          <w:szCs w:val="9"/>
          <w:color w:val="auto"/>
          <w:vertAlign w:val="superscript"/>
        </w:rPr>
      </w:pPr>
    </w:p>
    <w:p>
      <w:pPr>
        <w:ind w:left="308" w:hanging="308"/>
        <w:spacing w:after="0" w:line="183" w:lineRule="auto"/>
        <w:tabs>
          <w:tab w:leader="none" w:pos="308" w:val="left"/>
        </w:tabs>
        <w:numPr>
          <w:ilvl w:val="0"/>
          <w:numId w:val="52"/>
        </w:numPr>
        <w:rPr>
          <w:rFonts w:ascii="Arial" w:cs="Arial" w:eastAsia="Arial" w:hAnsi="Arial"/>
          <w:sz w:val="10"/>
          <w:szCs w:val="10"/>
          <w:color w:val="auto"/>
          <w:vertAlign w:val="superscript"/>
        </w:rPr>
      </w:pPr>
      <w:r>
        <w:rPr>
          <w:rFonts w:ascii="Arial" w:cs="Arial" w:eastAsia="Arial" w:hAnsi="Arial"/>
          <w:sz w:val="7"/>
          <w:szCs w:val="7"/>
          <w:color w:val="auto"/>
        </w:rPr>
        <w:t>Old Navy 12 / Athleta 2 / The Gap 4 / Banana Republic 2</w:t>
      </w:r>
    </w:p>
    <w:p>
      <w:pPr>
        <w:spacing w:after="0" w:line="50" w:lineRule="exact"/>
        <w:rPr>
          <w:rFonts w:ascii="Arial" w:cs="Arial" w:eastAsia="Arial" w:hAnsi="Arial"/>
          <w:sz w:val="10"/>
          <w:szCs w:val="10"/>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Panera 26 / Peet's' Coffee &amp; Tea 11 / Einstein Bros Bagels 10 / Bruegger's Bagel 5 / Krispy Kreme 3 / Noah's NY Bagels 3</w:t>
      </w:r>
    </w:p>
    <w:p>
      <w:pPr>
        <w:spacing w:after="0" w:line="47" w:lineRule="exact"/>
        <w:rPr>
          <w:rFonts w:ascii="Arial" w:cs="Arial" w:eastAsia="Arial" w:hAnsi="Arial"/>
          <w:sz w:val="9"/>
          <w:szCs w:val="9"/>
          <w:color w:val="auto"/>
          <w:vertAlign w:val="superscript"/>
        </w:rPr>
      </w:pPr>
    </w:p>
    <w:p>
      <w:pPr>
        <w:ind w:left="308" w:hanging="308"/>
        <w:spacing w:after="0" w:line="183" w:lineRule="auto"/>
        <w:tabs>
          <w:tab w:leader="none" w:pos="308" w:val="left"/>
        </w:tabs>
        <w:numPr>
          <w:ilvl w:val="0"/>
          <w:numId w:val="52"/>
        </w:numPr>
        <w:rPr>
          <w:rFonts w:ascii="Arial" w:cs="Arial" w:eastAsia="Arial" w:hAnsi="Arial"/>
          <w:sz w:val="10"/>
          <w:szCs w:val="10"/>
          <w:color w:val="auto"/>
          <w:vertAlign w:val="superscript"/>
        </w:rPr>
      </w:pPr>
      <w:r>
        <w:rPr>
          <w:rFonts w:ascii="Arial" w:cs="Arial" w:eastAsia="Arial" w:hAnsi="Arial"/>
          <w:sz w:val="7"/>
          <w:szCs w:val="7"/>
          <w:color w:val="auto"/>
        </w:rPr>
        <w:t>Walgreens 22</w:t>
      </w:r>
    </w:p>
    <w:p>
      <w:pPr>
        <w:spacing w:after="0" w:line="50" w:lineRule="exact"/>
        <w:rPr>
          <w:rFonts w:ascii="Arial" w:cs="Arial" w:eastAsia="Arial" w:hAnsi="Arial"/>
          <w:sz w:val="10"/>
          <w:szCs w:val="10"/>
          <w:color w:val="auto"/>
          <w:vertAlign w:val="superscript"/>
        </w:rPr>
      </w:pPr>
    </w:p>
    <w:p>
      <w:pPr>
        <w:ind w:left="308" w:hanging="308"/>
        <w:spacing w:after="0" w:line="198" w:lineRule="auto"/>
        <w:tabs>
          <w:tab w:leader="none" w:pos="308" w:val="left"/>
        </w:tabs>
        <w:numPr>
          <w:ilvl w:val="0"/>
          <w:numId w:val="52"/>
        </w:numPr>
        <w:rPr>
          <w:rFonts w:ascii="Arial" w:cs="Arial" w:eastAsia="Arial" w:hAnsi="Arial"/>
          <w:sz w:val="9"/>
          <w:szCs w:val="9"/>
          <w:color w:val="auto"/>
          <w:vertAlign w:val="superscript"/>
        </w:rPr>
      </w:pPr>
      <w:r>
        <w:rPr>
          <w:rFonts w:ascii="Arial" w:cs="Arial" w:eastAsia="Arial" w:hAnsi="Arial"/>
          <w:sz w:val="7"/>
          <w:szCs w:val="7"/>
          <w:color w:val="auto"/>
        </w:rPr>
        <w:t>Petco 23 / Unleashed by Petco 3</w:t>
      </w:r>
    </w:p>
    <w:p>
      <w:pPr>
        <w:spacing w:after="0" w:line="47" w:lineRule="exact"/>
        <w:rPr>
          <w:rFonts w:ascii="Arial" w:cs="Arial" w:eastAsia="Arial" w:hAnsi="Arial"/>
          <w:sz w:val="9"/>
          <w:szCs w:val="9"/>
          <w:color w:val="auto"/>
          <w:vertAlign w:val="superscript"/>
        </w:rPr>
      </w:pPr>
    </w:p>
    <w:p>
      <w:pPr>
        <w:ind w:left="308" w:hanging="308"/>
        <w:spacing w:after="0" w:line="183" w:lineRule="auto"/>
        <w:tabs>
          <w:tab w:leader="none" w:pos="308" w:val="left"/>
        </w:tabs>
        <w:numPr>
          <w:ilvl w:val="0"/>
          <w:numId w:val="52"/>
        </w:numPr>
        <w:rPr>
          <w:rFonts w:ascii="Arial" w:cs="Arial" w:eastAsia="Arial" w:hAnsi="Arial"/>
          <w:sz w:val="10"/>
          <w:szCs w:val="10"/>
          <w:color w:val="auto"/>
          <w:vertAlign w:val="superscript"/>
        </w:rPr>
      </w:pPr>
      <w:r>
        <w:rPr>
          <w:rFonts w:ascii="Arial" w:cs="Arial" w:eastAsia="Arial" w:hAnsi="Arial"/>
          <w:sz w:val="7"/>
          <w:szCs w:val="7"/>
          <w:color w:val="auto"/>
        </w:rPr>
        <w:t>Club Pilates 50 / Pure Barre 17 / Stretchlab 13 / Yoga Six 9 / BFT 2</w:t>
      </w:r>
    </w:p>
    <w:p>
      <w:pPr>
        <w:spacing w:after="0" w:line="188" w:lineRule="exact"/>
        <w:rPr>
          <w:sz w:val="20"/>
          <w:szCs w:val="20"/>
          <w:color w:val="auto"/>
        </w:rPr>
      </w:pPr>
    </w:p>
    <w:p>
      <w:pPr>
        <w:ind w:left="8"/>
        <w:spacing w:after="0"/>
        <w:rPr>
          <w:sz w:val="20"/>
          <w:szCs w:val="20"/>
          <w:color w:val="auto"/>
        </w:rPr>
      </w:pPr>
      <w:r>
        <w:rPr>
          <w:rFonts w:ascii="Arial" w:cs="Arial" w:eastAsia="Arial" w:hAnsi="Arial"/>
          <w:sz w:val="9"/>
          <w:szCs w:val="9"/>
          <w:color w:val="auto"/>
        </w:rPr>
        <w:t>Note: Represents Regency's consolidated and pro-rata share of real estate partnerships, includes properties in development and leases that are executed but have not rent commenced. Amounts may not foot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-635</wp:posOffset>
            </wp:positionV>
            <wp:extent cx="287020" cy="154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32" w:right="29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60"/>
        <w:spacing w:after="0"/>
        <w:rPr>
          <w:sz w:val="20"/>
          <w:szCs w:val="20"/>
          <w:color w:val="auto"/>
        </w:rPr>
      </w:pPr>
      <w:r>
        <w:rPr>
          <w:rFonts w:ascii="Arial" w:cs="Arial" w:eastAsia="Arial" w:hAnsi="Arial"/>
          <w:sz w:val="9"/>
          <w:szCs w:val="9"/>
          <w:color w:val="auto"/>
          <w:highlight w:val="black"/>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-635</wp:posOffset>
            </wp:positionV>
            <wp:extent cx="1056640" cy="10680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56640" cy="106807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9"/>
          <w:szCs w:val="9"/>
          <w:color w:val="auto"/>
        </w:rPr>
        <w:t>MTM</w:t>
      </w:r>
      <w:r>
        <w:rPr>
          <w:rFonts w:ascii="Arial" w:cs="Arial" w:eastAsia="Arial" w:hAnsi="Arial"/>
          <w:sz w:val="12"/>
          <w:szCs w:val="12"/>
          <w:color w:val="auto"/>
          <w:vertAlign w:val="superscript"/>
        </w:rPr>
        <w:t>(2)</w:t>
      </w:r>
    </w:p>
    <w:p>
      <w:pPr>
        <w:ind w:left="1840"/>
        <w:spacing w:after="0" w:line="218" w:lineRule="auto"/>
        <w:rPr>
          <w:sz w:val="20"/>
          <w:szCs w:val="20"/>
          <w:color w:val="auto"/>
        </w:rPr>
      </w:pPr>
      <w:r>
        <w:rPr>
          <w:rFonts w:ascii="Arial" w:cs="Arial" w:eastAsia="Arial" w:hAnsi="Arial"/>
          <w:sz w:val="9"/>
          <w:szCs w:val="9"/>
          <w:color w:val="auto"/>
        </w:rPr>
        <w:t>2026</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2027</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2028</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2029</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2030</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2031</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2032</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2033</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2034</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2035</w:t>
      </w:r>
    </w:p>
    <w:p>
      <w:pPr>
        <w:spacing w:after="0" w:line="23"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10 Year Total</w:t>
      </w:r>
    </w:p>
    <w:p>
      <w:pPr>
        <w:spacing w:after="0" w:line="14"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Thereafter</w:t>
      </w:r>
    </w:p>
    <w:p>
      <w:pPr>
        <w:spacing w:after="0" w:line="200" w:lineRule="exact"/>
        <w:rPr>
          <w:sz w:val="20"/>
          <w:szCs w:val="20"/>
          <w:color w:val="auto"/>
        </w:rPr>
      </w:pPr>
    </w:p>
    <w:p>
      <w:pPr>
        <w:spacing w:after="0" w:line="329" w:lineRule="exact"/>
        <w:rPr>
          <w:sz w:val="20"/>
          <w:szCs w:val="20"/>
          <w:color w:val="auto"/>
        </w:rPr>
      </w:pPr>
    </w:p>
    <w:p>
      <w:pPr>
        <w:ind w:left="1860"/>
        <w:spacing w:after="0"/>
        <w:rPr>
          <w:sz w:val="20"/>
          <w:szCs w:val="20"/>
          <w:color w:val="auto"/>
        </w:rPr>
      </w:pPr>
      <w:r>
        <w:rPr>
          <w:rFonts w:ascii="Arial" w:cs="Arial" w:eastAsia="Arial" w:hAnsi="Arial"/>
          <w:sz w:val="9"/>
          <w:szCs w:val="9"/>
          <w:color w:val="auto"/>
          <w:highlight w:val="black"/>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-635</wp:posOffset>
            </wp:positionV>
            <wp:extent cx="1056640" cy="10680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56640" cy="106807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9"/>
          <w:szCs w:val="9"/>
          <w:color w:val="auto"/>
        </w:rPr>
        <w:t>MTM</w:t>
      </w:r>
      <w:r>
        <w:rPr>
          <w:rFonts w:ascii="Arial" w:cs="Arial" w:eastAsia="Arial" w:hAnsi="Arial"/>
          <w:sz w:val="12"/>
          <w:szCs w:val="12"/>
          <w:color w:val="auto"/>
          <w:vertAlign w:val="superscript"/>
        </w:rPr>
        <w:t>(2)</w:t>
      </w:r>
    </w:p>
    <w:p>
      <w:pPr>
        <w:ind w:left="1840"/>
        <w:spacing w:after="0" w:line="218" w:lineRule="auto"/>
        <w:rPr>
          <w:sz w:val="20"/>
          <w:szCs w:val="20"/>
          <w:color w:val="auto"/>
        </w:rPr>
      </w:pPr>
      <w:r>
        <w:rPr>
          <w:rFonts w:ascii="Arial" w:cs="Arial" w:eastAsia="Arial" w:hAnsi="Arial"/>
          <w:sz w:val="9"/>
          <w:szCs w:val="9"/>
          <w:color w:val="auto"/>
        </w:rPr>
        <w:t>2026</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2027</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2028</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2029</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2030</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2031</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2032</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2033</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2034</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2035</w:t>
      </w:r>
    </w:p>
    <w:p>
      <w:pPr>
        <w:spacing w:after="0" w:line="23"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10 Year Total</w:t>
      </w:r>
    </w:p>
    <w:p>
      <w:pPr>
        <w:spacing w:after="0" w:line="14"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Thereafter</w:t>
      </w:r>
    </w:p>
    <w:p>
      <w:pPr>
        <w:spacing w:after="0" w:line="200" w:lineRule="exact"/>
        <w:rPr>
          <w:sz w:val="20"/>
          <w:szCs w:val="20"/>
          <w:color w:val="auto"/>
        </w:rPr>
      </w:pPr>
    </w:p>
    <w:p>
      <w:pPr>
        <w:spacing w:after="0" w:line="329" w:lineRule="exact"/>
        <w:rPr>
          <w:sz w:val="20"/>
          <w:szCs w:val="20"/>
          <w:color w:val="auto"/>
        </w:rPr>
      </w:pPr>
    </w:p>
    <w:p>
      <w:pPr>
        <w:ind w:left="1860"/>
        <w:spacing w:after="0"/>
        <w:rPr>
          <w:sz w:val="20"/>
          <w:szCs w:val="20"/>
          <w:color w:val="auto"/>
        </w:rPr>
      </w:pPr>
      <w:r>
        <w:rPr>
          <w:rFonts w:ascii="Arial" w:cs="Arial" w:eastAsia="Arial" w:hAnsi="Arial"/>
          <w:sz w:val="9"/>
          <w:szCs w:val="9"/>
          <w:color w:val="auto"/>
          <w:highlight w:val="black"/>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-635</wp:posOffset>
            </wp:positionV>
            <wp:extent cx="1056640" cy="10680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56640" cy="106807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9"/>
          <w:szCs w:val="9"/>
          <w:color w:val="auto"/>
        </w:rPr>
        <w:t>MTM</w:t>
      </w:r>
      <w:r>
        <w:rPr>
          <w:rFonts w:ascii="Arial" w:cs="Arial" w:eastAsia="Arial" w:hAnsi="Arial"/>
          <w:sz w:val="12"/>
          <w:szCs w:val="12"/>
          <w:color w:val="auto"/>
          <w:vertAlign w:val="superscript"/>
        </w:rPr>
        <w:t>(2)</w:t>
      </w:r>
    </w:p>
    <w:p>
      <w:pPr>
        <w:ind w:left="1840"/>
        <w:spacing w:after="0" w:line="218" w:lineRule="auto"/>
        <w:rPr>
          <w:sz w:val="20"/>
          <w:szCs w:val="20"/>
          <w:color w:val="auto"/>
        </w:rPr>
      </w:pPr>
      <w:r>
        <w:rPr>
          <w:rFonts w:ascii="Arial" w:cs="Arial" w:eastAsia="Arial" w:hAnsi="Arial"/>
          <w:sz w:val="9"/>
          <w:szCs w:val="9"/>
          <w:color w:val="auto"/>
        </w:rPr>
        <w:t>2026</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2027</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2028</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2029</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2030</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2031</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2032</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2033</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2034</w:t>
      </w:r>
    </w:p>
    <w:p>
      <w:pPr>
        <w:spacing w:after="0" w:line="14" w:lineRule="exact"/>
        <w:rPr>
          <w:sz w:val="20"/>
          <w:szCs w:val="20"/>
          <w:color w:val="auto"/>
        </w:rPr>
      </w:pPr>
    </w:p>
    <w:p>
      <w:pPr>
        <w:ind w:left="1840"/>
        <w:spacing w:after="0"/>
        <w:rPr>
          <w:sz w:val="20"/>
          <w:szCs w:val="20"/>
          <w:color w:val="auto"/>
        </w:rPr>
      </w:pPr>
      <w:r>
        <w:rPr>
          <w:rFonts w:ascii="Arial" w:cs="Arial" w:eastAsia="Arial" w:hAnsi="Arial"/>
          <w:sz w:val="9"/>
          <w:szCs w:val="9"/>
          <w:color w:val="auto"/>
        </w:rPr>
        <w:t>2035</w:t>
      </w:r>
    </w:p>
    <w:p>
      <w:pPr>
        <w:spacing w:after="0" w:line="23"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10 Year Total</w:t>
      </w:r>
    </w:p>
    <w:p>
      <w:pPr>
        <w:spacing w:after="0" w:line="14" w:lineRule="exact"/>
        <w:rPr>
          <w:sz w:val="20"/>
          <w:szCs w:val="20"/>
          <w:color w:val="auto"/>
        </w:rPr>
      </w:pPr>
    </w:p>
    <w:p>
      <w:pPr>
        <w:jc w:val="center"/>
        <w:ind w:left="1660"/>
        <w:spacing w:after="0"/>
        <w:rPr>
          <w:sz w:val="20"/>
          <w:szCs w:val="20"/>
          <w:color w:val="auto"/>
        </w:rPr>
      </w:pPr>
      <w:r>
        <w:rPr>
          <w:rFonts w:ascii="Arial" w:cs="Arial" w:eastAsia="Arial" w:hAnsi="Arial"/>
          <w:sz w:val="9"/>
          <w:szCs w:val="9"/>
          <w:color w:val="auto"/>
        </w:rPr>
        <w:t>Thereafter</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Arial" w:cs="Arial" w:eastAsia="Arial" w:hAnsi="Arial"/>
          <w:sz w:val="12"/>
          <w:szCs w:val="12"/>
          <w:color w:val="auto"/>
          <w:highlight w:val="black"/>
        </w:rPr>
        <w:t xml:space="preserve">Tenant </w:t>
      </w:r>
      <w:r>
        <w:rPr>
          <w:rFonts w:ascii="Arial" w:cs="Arial" w:eastAsia="Arial" w:hAnsi="Arial"/>
          <w:sz w:val="12"/>
          <w:szCs w:val="12"/>
          <w:color w:val="auto"/>
        </w:rPr>
        <w:t>Lease Expirations</w:t>
      </w:r>
    </w:p>
    <w:p>
      <w:pPr>
        <w:spacing w:after="0" w:line="7" w:lineRule="exact"/>
        <w:rPr>
          <w:sz w:val="20"/>
          <w:szCs w:val="20"/>
          <w:color w:val="auto"/>
        </w:rPr>
      </w:pPr>
    </w:p>
    <w:p>
      <w:pPr>
        <w:jc w:val="center"/>
        <w:ind w:right="2980"/>
        <w:spacing w:after="0"/>
        <w:rPr>
          <w:sz w:val="20"/>
          <w:szCs w:val="20"/>
          <w:color w:val="auto"/>
        </w:rPr>
      </w:pPr>
      <w:r>
        <w:rPr>
          <w:rFonts w:ascii="Arial" w:cs="Arial" w:eastAsia="Arial" w:hAnsi="Arial"/>
          <w:sz w:val="12"/>
          <w:szCs w:val="12"/>
          <w:color w:val="auto"/>
        </w:rPr>
        <w:t>March 31, 2026</w:t>
      </w:r>
    </w:p>
    <w:p>
      <w:pPr>
        <w:spacing w:after="0" w:line="7" w:lineRule="exact"/>
        <w:rPr>
          <w:sz w:val="20"/>
          <w:szCs w:val="20"/>
          <w:color w:val="auto"/>
        </w:rPr>
      </w:pPr>
    </w:p>
    <w:p>
      <w:pPr>
        <w:ind w:left="2180"/>
        <w:spacing w:after="0"/>
        <w:rPr>
          <w:sz w:val="20"/>
          <w:szCs w:val="20"/>
          <w:color w:val="auto"/>
        </w:rPr>
      </w:pPr>
      <w:r>
        <w:rPr>
          <w:rFonts w:ascii="Arial" w:cs="Arial" w:eastAsia="Arial" w:hAnsi="Arial"/>
          <w:sz w:val="12"/>
          <w:szCs w:val="12"/>
          <w:color w:val="auto"/>
        </w:rPr>
        <w:t>(GLA in thousands)</w:t>
      </w:r>
    </w:p>
    <w:p>
      <w:pPr>
        <w:spacing w:after="0" w:line="106" w:lineRule="exact"/>
        <w:rPr>
          <w:sz w:val="20"/>
          <w:szCs w:val="20"/>
          <w:color w:val="auto"/>
        </w:rPr>
      </w:pPr>
    </w:p>
    <w:p>
      <w:pPr>
        <w:ind w:left="2180"/>
        <w:spacing w:after="0"/>
        <w:rPr>
          <w:sz w:val="20"/>
          <w:szCs w:val="20"/>
          <w:color w:val="auto"/>
        </w:rPr>
      </w:pPr>
      <w:r>
        <w:rPr>
          <w:rFonts w:ascii="Arial" w:cs="Arial" w:eastAsia="Arial" w:hAnsi="Arial"/>
          <w:sz w:val="14"/>
          <w:szCs w:val="14"/>
          <w:color w:val="auto"/>
          <w:highlight w:val="black"/>
        </w:rPr>
        <w:t>Anchor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-12700</wp:posOffset>
            </wp:positionV>
            <wp:extent cx="63627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627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jc w:val="center"/>
              <w:spacing w:after="0"/>
              <w:rPr>
                <w:sz w:val="20"/>
                <w:szCs w:val="20"/>
                <w:color w:val="auto"/>
              </w:rPr>
            </w:pPr>
            <w:r>
              <w:rPr>
                <w:rFonts w:ascii="Arial" w:cs="Arial" w:eastAsia="Arial" w:hAnsi="Arial"/>
                <w:sz w:val="9"/>
                <w:szCs w:val="9"/>
                <w:color w:val="auto"/>
                <w:highlight w:val="black"/>
              </w:rPr>
              <w:t>Percent of</w:t>
            </w:r>
          </w:p>
        </w:tc>
        <w:tc>
          <w:tcPr>
            <w:tcW w:w="1920" w:type="dxa"/>
            <w:vAlign w:val="bottom"/>
          </w:tcPr>
          <w:p>
            <w:pPr>
              <w:ind w:left="700"/>
              <w:spacing w:after="0"/>
              <w:rPr>
                <w:sz w:val="20"/>
                <w:szCs w:val="20"/>
                <w:color w:val="auto"/>
              </w:rPr>
            </w:pPr>
            <w:r>
              <w:rPr>
                <w:rFonts w:ascii="Arial" w:cs="Arial" w:eastAsia="Arial" w:hAnsi="Arial"/>
                <w:sz w:val="9"/>
                <w:szCs w:val="9"/>
                <w:color w:val="auto"/>
                <w:highlight w:val="black"/>
              </w:rPr>
              <w:t>Percent of</w:t>
            </w:r>
          </w:p>
        </w:tc>
        <w:tc>
          <w:tcPr>
            <w:tcW w:w="1720" w:type="dxa"/>
            <w:vAlign w:val="bottom"/>
          </w:tcPr>
          <w:p>
            <w:pPr>
              <w:spacing w:after="0"/>
              <w:rPr>
                <w:sz w:val="8"/>
                <w:szCs w:val="8"/>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ind w:left="740"/>
              <w:spacing w:after="0" w:line="96" w:lineRule="exact"/>
              <w:rPr>
                <w:sz w:val="20"/>
                <w:szCs w:val="20"/>
                <w:color w:val="auto"/>
              </w:rPr>
            </w:pPr>
            <w:r>
              <w:rPr>
                <w:rFonts w:ascii="Arial" w:cs="Arial" w:eastAsia="Arial" w:hAnsi="Arial"/>
                <w:sz w:val="9"/>
                <w:szCs w:val="9"/>
                <w:color w:val="auto"/>
                <w:highlight w:val="black"/>
              </w:rPr>
              <w:t>GLA</w:t>
            </w:r>
          </w:p>
        </w:tc>
        <w:tc>
          <w:tcPr>
            <w:tcW w:w="1860" w:type="dxa"/>
            <w:vAlign w:val="bottom"/>
            <w:tcBorders>
              <w:bottom w:val="single" w:sz="8" w:color="auto"/>
            </w:tcBorders>
          </w:tcPr>
          <w:p>
            <w:pPr>
              <w:jc w:val="center"/>
              <w:ind w:left="13"/>
              <w:spacing w:after="0" w:line="96" w:lineRule="exact"/>
              <w:rPr>
                <w:sz w:val="20"/>
                <w:szCs w:val="20"/>
                <w:color w:val="auto"/>
              </w:rPr>
            </w:pPr>
            <w:r>
              <w:rPr>
                <w:rFonts w:ascii="Arial" w:cs="Arial" w:eastAsia="Arial" w:hAnsi="Arial"/>
                <w:sz w:val="9"/>
                <w:szCs w:val="9"/>
                <w:color w:val="auto"/>
                <w:highlight w:val="black"/>
                <w:w w:val="88"/>
              </w:rPr>
              <w:t>GLA</w:t>
            </w:r>
          </w:p>
        </w:tc>
        <w:tc>
          <w:tcPr>
            <w:tcW w:w="1920" w:type="dxa"/>
            <w:vAlign w:val="bottom"/>
            <w:tcBorders>
              <w:bottom w:val="single" w:sz="8" w:color="auto"/>
            </w:tcBorders>
          </w:tcPr>
          <w:p>
            <w:pPr>
              <w:ind w:left="700"/>
              <w:spacing w:after="0" w:line="96" w:lineRule="exact"/>
              <w:rPr>
                <w:sz w:val="20"/>
                <w:szCs w:val="20"/>
                <w:color w:val="auto"/>
              </w:rPr>
            </w:pPr>
            <w:r>
              <w:rPr>
                <w:rFonts w:ascii="Arial" w:cs="Arial" w:eastAsia="Arial" w:hAnsi="Arial"/>
                <w:sz w:val="9"/>
                <w:szCs w:val="9"/>
                <w:color w:val="auto"/>
                <w:highlight w:val="black"/>
              </w:rPr>
              <w:t>Total ABR</w:t>
            </w:r>
            <w:r>
              <w:rPr>
                <w:rFonts w:ascii="Arial" w:cs="Arial" w:eastAsia="Arial" w:hAnsi="Arial"/>
                <w:sz w:val="11"/>
                <w:szCs w:val="11"/>
                <w:color w:val="auto"/>
                <w:highlight w:val="black"/>
                <w:vertAlign w:val="superscript"/>
              </w:rPr>
              <w:t>(</w:t>
            </w:r>
            <w:r>
              <w:rPr>
                <w:rFonts w:ascii="Arial" w:cs="Arial" w:eastAsia="Arial" w:hAnsi="Arial"/>
                <w:sz w:val="11"/>
                <w:szCs w:val="11"/>
                <w:color w:val="auto"/>
                <w:vertAlign w:val="superscript"/>
              </w:rPr>
              <w:t>1)</w:t>
            </w:r>
          </w:p>
        </w:tc>
        <w:tc>
          <w:tcPr>
            <w:tcW w:w="1720" w:type="dxa"/>
            <w:vAlign w:val="bottom"/>
            <w:tcBorders>
              <w:bottom w:val="single" w:sz="8" w:color="auto"/>
            </w:tcBorders>
          </w:tcPr>
          <w:p>
            <w:pPr>
              <w:ind w:left="780"/>
              <w:spacing w:after="0" w:line="96" w:lineRule="exact"/>
              <w:rPr>
                <w:sz w:val="20"/>
                <w:szCs w:val="20"/>
                <w:color w:val="auto"/>
              </w:rPr>
            </w:pPr>
            <w:r>
              <w:rPr>
                <w:rFonts w:ascii="Arial" w:cs="Arial" w:eastAsia="Arial" w:hAnsi="Arial"/>
                <w:sz w:val="9"/>
                <w:szCs w:val="9"/>
                <w:color w:val="auto"/>
                <w:highlight w:val="black"/>
              </w:rPr>
              <w:t>ABR</w:t>
            </w:r>
          </w:p>
        </w:tc>
      </w:tr>
      <w:tr>
        <w:trPr>
          <w:trHeight w:val="107"/>
        </w:trPr>
        <w:tc>
          <w:tcPr>
            <w:tcW w:w="20" w:type="dxa"/>
            <w:vAlign w:val="bottom"/>
            <w:shd w:val="clear" w:color="auto" w:fill="000000"/>
          </w:tcPr>
          <w:p>
            <w:pPr>
              <w:spacing w:after="0"/>
              <w:rPr>
                <w:sz w:val="9"/>
                <w:szCs w:val="9"/>
                <w:color w:val="auto"/>
              </w:rPr>
            </w:pPr>
          </w:p>
        </w:tc>
        <w:tc>
          <w:tcPr>
            <w:tcW w:w="1700" w:type="dxa"/>
            <w:vAlign w:val="bottom"/>
            <w:shd w:val="clear" w:color="auto" w:fill="D9D9D9"/>
          </w:tcPr>
          <w:p>
            <w:pPr>
              <w:jc w:val="center"/>
              <w:ind w:right="13"/>
              <w:spacing w:after="0" w:line="94" w:lineRule="exact"/>
              <w:rPr>
                <w:sz w:val="20"/>
                <w:szCs w:val="20"/>
                <w:color w:val="auto"/>
              </w:rPr>
            </w:pPr>
            <w:r>
              <w:rPr>
                <w:rFonts w:ascii="Arial" w:cs="Arial" w:eastAsia="Arial" w:hAnsi="Arial"/>
                <w:sz w:val="9"/>
                <w:szCs w:val="9"/>
                <w:color w:val="auto"/>
              </w:rPr>
              <w:t>31</w:t>
            </w:r>
          </w:p>
        </w:tc>
        <w:tc>
          <w:tcPr>
            <w:tcW w:w="1860" w:type="dxa"/>
            <w:vAlign w:val="bottom"/>
            <w:shd w:val="clear" w:color="auto" w:fill="D9D9D9"/>
          </w:tcPr>
          <w:p>
            <w:pPr>
              <w:jc w:val="center"/>
              <w:ind w:left="13"/>
              <w:spacing w:after="0" w:line="94" w:lineRule="exact"/>
              <w:rPr>
                <w:sz w:val="20"/>
                <w:szCs w:val="20"/>
                <w:color w:val="auto"/>
              </w:rPr>
            </w:pPr>
            <w:r>
              <w:rPr>
                <w:rFonts w:ascii="Arial" w:cs="Arial" w:eastAsia="Arial" w:hAnsi="Arial"/>
                <w:sz w:val="9"/>
                <w:szCs w:val="9"/>
                <w:color w:val="auto"/>
              </w:rPr>
              <w:t>0.1%</w:t>
            </w:r>
          </w:p>
        </w:tc>
        <w:tc>
          <w:tcPr>
            <w:tcW w:w="1920" w:type="dxa"/>
            <w:vAlign w:val="bottom"/>
            <w:shd w:val="clear" w:color="auto" w:fill="D9D9D9"/>
          </w:tcPr>
          <w:p>
            <w:pPr>
              <w:jc w:val="center"/>
              <w:spacing w:after="0" w:line="94" w:lineRule="exact"/>
              <w:rPr>
                <w:sz w:val="20"/>
                <w:szCs w:val="20"/>
                <w:color w:val="auto"/>
              </w:rPr>
            </w:pPr>
            <w:r>
              <w:rPr>
                <w:rFonts w:ascii="Arial" w:cs="Arial" w:eastAsia="Arial" w:hAnsi="Arial"/>
                <w:sz w:val="9"/>
                <w:szCs w:val="9"/>
                <w:color w:val="auto"/>
              </w:rPr>
              <w:t>0.0%</w:t>
            </w:r>
          </w:p>
        </w:tc>
        <w:tc>
          <w:tcPr>
            <w:tcW w:w="1720" w:type="dxa"/>
            <w:vAlign w:val="bottom"/>
            <w:tcBorders>
              <w:right w:val="single" w:sz="8" w:color="auto"/>
            </w:tcBorders>
            <w:shd w:val="clear" w:color="auto" w:fill="D9D9D9"/>
          </w:tcPr>
          <w:p>
            <w:pPr>
              <w:jc w:val="center"/>
              <w:spacing w:after="0" w:line="94" w:lineRule="exact"/>
              <w:rPr>
                <w:sz w:val="20"/>
                <w:szCs w:val="20"/>
                <w:color w:val="auto"/>
              </w:rPr>
            </w:pPr>
            <w:r>
              <w:rPr>
                <w:rFonts w:ascii="Arial" w:cs="Arial" w:eastAsia="Arial" w:hAnsi="Arial"/>
                <w:sz w:val="9"/>
                <w:szCs w:val="9"/>
                <w:color w:val="auto"/>
              </w:rPr>
              <w:t>$11.34</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884</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1.8%</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1.1%</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15.04</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3,522</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7.4%</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4.7%</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16.70</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3,463</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7.2%</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5.0%</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18.04</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4,439</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9.3%</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5.5%</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15.55</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3,729</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7.8%</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5.5%</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18.50</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3,157</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6.6%</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4.4%</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17.33</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1,211</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2.5%</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1.9%</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19.15</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1,163</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2.4%</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1.9%</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20.17</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1,039</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2.2%</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1.6%</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18.77</w:t>
            </w:r>
          </w:p>
        </w:tc>
      </w:tr>
      <w:tr>
        <w:trPr>
          <w:trHeight w:val="118"/>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1,469</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3.1%</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2.1%</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17.67</w:t>
            </w:r>
          </w:p>
        </w:tc>
      </w:tr>
      <w:tr>
        <w:trPr>
          <w:trHeight w:val="107"/>
        </w:trPr>
        <w:tc>
          <w:tcPr>
            <w:tcW w:w="20" w:type="dxa"/>
            <w:vAlign w:val="bottom"/>
            <w:shd w:val="clear" w:color="auto" w:fill="000000"/>
          </w:tcPr>
          <w:p>
            <w:pPr>
              <w:spacing w:after="0"/>
              <w:rPr>
                <w:sz w:val="9"/>
                <w:szCs w:val="9"/>
                <w:color w:val="auto"/>
              </w:rPr>
            </w:pPr>
          </w:p>
        </w:tc>
        <w:tc>
          <w:tcPr>
            <w:tcW w:w="1700" w:type="dxa"/>
            <w:vAlign w:val="bottom"/>
          </w:tcPr>
          <w:p>
            <w:pPr>
              <w:jc w:val="center"/>
              <w:ind w:right="13"/>
              <w:spacing w:after="0" w:line="94" w:lineRule="exact"/>
              <w:rPr>
                <w:sz w:val="20"/>
                <w:szCs w:val="20"/>
                <w:color w:val="auto"/>
              </w:rPr>
            </w:pPr>
            <w:r>
              <w:rPr>
                <w:rFonts w:ascii="Arial" w:cs="Arial" w:eastAsia="Arial" w:hAnsi="Arial"/>
                <w:sz w:val="9"/>
                <w:szCs w:val="9"/>
                <w:color w:val="auto"/>
              </w:rPr>
              <w:t>24,109</w:t>
            </w:r>
          </w:p>
        </w:tc>
        <w:tc>
          <w:tcPr>
            <w:tcW w:w="1860" w:type="dxa"/>
            <w:vAlign w:val="bottom"/>
          </w:tcPr>
          <w:p>
            <w:pPr>
              <w:jc w:val="center"/>
              <w:ind w:left="13"/>
              <w:spacing w:after="0" w:line="94" w:lineRule="exact"/>
              <w:rPr>
                <w:sz w:val="20"/>
                <w:szCs w:val="20"/>
                <w:color w:val="auto"/>
              </w:rPr>
            </w:pPr>
            <w:r>
              <w:rPr>
                <w:rFonts w:ascii="Arial" w:cs="Arial" w:eastAsia="Arial" w:hAnsi="Arial"/>
                <w:sz w:val="9"/>
                <w:szCs w:val="9"/>
                <w:color w:val="auto"/>
              </w:rPr>
              <w:t>50.3%</w:t>
            </w:r>
          </w:p>
        </w:tc>
        <w:tc>
          <w:tcPr>
            <w:tcW w:w="1920" w:type="dxa"/>
            <w:vAlign w:val="bottom"/>
          </w:tcPr>
          <w:p>
            <w:pPr>
              <w:jc w:val="center"/>
              <w:spacing w:after="0" w:line="94" w:lineRule="exact"/>
              <w:rPr>
                <w:sz w:val="20"/>
                <w:szCs w:val="20"/>
                <w:color w:val="auto"/>
              </w:rPr>
            </w:pPr>
            <w:r>
              <w:rPr>
                <w:rFonts w:ascii="Arial" w:cs="Arial" w:eastAsia="Arial" w:hAnsi="Arial"/>
                <w:sz w:val="9"/>
                <w:szCs w:val="9"/>
                <w:color w:val="auto"/>
              </w:rPr>
              <w:t>33.5%</w:t>
            </w:r>
          </w:p>
        </w:tc>
        <w:tc>
          <w:tcPr>
            <w:tcW w:w="17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9"/>
                <w:szCs w:val="9"/>
                <w:color w:val="auto"/>
              </w:rPr>
              <w:t>$17.41</w:t>
            </w:r>
          </w:p>
        </w:tc>
      </w:tr>
      <w:tr>
        <w:trPr>
          <w:trHeight w:val="118"/>
        </w:trPr>
        <w:tc>
          <w:tcPr>
            <w:tcW w:w="20" w:type="dxa"/>
            <w:vAlign w:val="bottom"/>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5,798</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12.1%</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8.1%</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17.53</w:t>
            </w:r>
          </w:p>
        </w:tc>
      </w:tr>
      <w:tr>
        <w:trPr>
          <w:trHeight w:val="107"/>
        </w:trPr>
        <w:tc>
          <w:tcPr>
            <w:tcW w:w="20" w:type="dxa"/>
            <w:vAlign w:val="bottom"/>
          </w:tcPr>
          <w:p>
            <w:pPr>
              <w:spacing w:after="0"/>
              <w:rPr>
                <w:sz w:val="9"/>
                <w:szCs w:val="9"/>
                <w:color w:val="auto"/>
              </w:rPr>
            </w:pPr>
          </w:p>
        </w:tc>
        <w:tc>
          <w:tcPr>
            <w:tcW w:w="1700" w:type="dxa"/>
            <w:vAlign w:val="bottom"/>
            <w:tcBorders>
              <w:bottom w:val="single" w:sz="8" w:color="auto"/>
            </w:tcBorders>
          </w:tcPr>
          <w:p>
            <w:pPr>
              <w:jc w:val="center"/>
              <w:ind w:right="13"/>
              <w:spacing w:after="0" w:line="94" w:lineRule="exact"/>
              <w:rPr>
                <w:sz w:val="20"/>
                <w:szCs w:val="20"/>
                <w:color w:val="auto"/>
              </w:rPr>
            </w:pPr>
            <w:r>
              <w:rPr>
                <w:rFonts w:ascii="Arial" w:cs="Arial" w:eastAsia="Arial" w:hAnsi="Arial"/>
                <w:sz w:val="9"/>
                <w:szCs w:val="9"/>
                <w:color w:val="auto"/>
                <w:highlight w:val="black"/>
              </w:rPr>
              <w:t>29,907</w:t>
            </w:r>
          </w:p>
        </w:tc>
        <w:tc>
          <w:tcPr>
            <w:tcW w:w="1860" w:type="dxa"/>
            <w:vAlign w:val="bottom"/>
            <w:tcBorders>
              <w:bottom w:val="single" w:sz="8" w:color="auto"/>
            </w:tcBorders>
          </w:tcPr>
          <w:p>
            <w:pPr>
              <w:jc w:val="center"/>
              <w:ind w:left="13"/>
              <w:spacing w:after="0" w:line="94" w:lineRule="exact"/>
              <w:rPr>
                <w:sz w:val="20"/>
                <w:szCs w:val="20"/>
                <w:color w:val="auto"/>
              </w:rPr>
            </w:pPr>
            <w:r>
              <w:rPr>
                <w:rFonts w:ascii="Arial" w:cs="Arial" w:eastAsia="Arial" w:hAnsi="Arial"/>
                <w:sz w:val="9"/>
                <w:szCs w:val="9"/>
                <w:color w:val="auto"/>
              </w:rPr>
              <w:t>62.4%</w:t>
            </w:r>
          </w:p>
        </w:tc>
        <w:tc>
          <w:tcPr>
            <w:tcW w:w="192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rPr>
              <w:t>41.7%</w:t>
            </w:r>
          </w:p>
        </w:tc>
        <w:tc>
          <w:tcPr>
            <w:tcW w:w="1720" w:type="dxa"/>
            <w:vAlign w:val="bottom"/>
            <w:tcBorders>
              <w:bottom w:val="single" w:sz="8" w:color="auto"/>
              <w:right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$17.43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-327660</wp:posOffset>
            </wp:positionV>
            <wp:extent cx="31115" cy="1060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1115" cy="1060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-172720</wp:posOffset>
            </wp:positionV>
            <wp:extent cx="31115" cy="1860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1604645</wp:posOffset>
            </wp:positionH>
            <wp:positionV relativeFrom="paragraph">
              <wp:posOffset>-77470</wp:posOffset>
            </wp:positionV>
            <wp:extent cx="200660" cy="742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0660" cy="7429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-77470</wp:posOffset>
            </wp:positionV>
            <wp:extent cx="201930" cy="742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1930" cy="7429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-1153160</wp:posOffset>
            </wp:positionV>
            <wp:extent cx="76200" cy="666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84" w:lineRule="exact"/>
        <w:rPr>
          <w:sz w:val="20"/>
          <w:szCs w:val="20"/>
          <w:color w:val="auto"/>
        </w:rPr>
      </w:pPr>
    </w:p>
    <w:p>
      <w:pPr>
        <w:ind w:left="2240"/>
        <w:spacing w:after="0"/>
        <w:rPr>
          <w:sz w:val="20"/>
          <w:szCs w:val="20"/>
          <w:color w:val="auto"/>
        </w:rPr>
      </w:pPr>
      <w:r>
        <w:rPr>
          <w:rFonts w:ascii="Arial" w:cs="Arial" w:eastAsia="Arial" w:hAnsi="Arial"/>
          <w:sz w:val="14"/>
          <w:szCs w:val="14"/>
          <w:color w:val="auto"/>
          <w:highlight w:val="black"/>
        </w:rPr>
        <w:t>Shop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-12700</wp:posOffset>
            </wp:positionV>
            <wp:extent cx="5562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56260"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jc w:val="center"/>
              <w:spacing w:after="0"/>
              <w:rPr>
                <w:sz w:val="20"/>
                <w:szCs w:val="20"/>
                <w:color w:val="auto"/>
              </w:rPr>
            </w:pPr>
            <w:r>
              <w:rPr>
                <w:rFonts w:ascii="Arial" w:cs="Arial" w:eastAsia="Arial" w:hAnsi="Arial"/>
                <w:sz w:val="9"/>
                <w:szCs w:val="9"/>
                <w:color w:val="auto"/>
                <w:highlight w:val="black"/>
              </w:rPr>
              <w:t>Percent of</w:t>
            </w:r>
          </w:p>
        </w:tc>
        <w:tc>
          <w:tcPr>
            <w:tcW w:w="1920" w:type="dxa"/>
            <w:vAlign w:val="bottom"/>
          </w:tcPr>
          <w:p>
            <w:pPr>
              <w:ind w:left="700"/>
              <w:spacing w:after="0"/>
              <w:rPr>
                <w:sz w:val="20"/>
                <w:szCs w:val="20"/>
                <w:color w:val="auto"/>
              </w:rPr>
            </w:pPr>
            <w:r>
              <w:rPr>
                <w:rFonts w:ascii="Arial" w:cs="Arial" w:eastAsia="Arial" w:hAnsi="Arial"/>
                <w:sz w:val="9"/>
                <w:szCs w:val="9"/>
                <w:color w:val="auto"/>
                <w:highlight w:val="black"/>
              </w:rPr>
              <w:t>Percent of</w:t>
            </w:r>
          </w:p>
        </w:tc>
        <w:tc>
          <w:tcPr>
            <w:tcW w:w="1720" w:type="dxa"/>
            <w:vAlign w:val="bottom"/>
          </w:tcPr>
          <w:p>
            <w:pPr>
              <w:spacing w:after="0"/>
              <w:rPr>
                <w:sz w:val="8"/>
                <w:szCs w:val="8"/>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ind w:left="740"/>
              <w:spacing w:after="0" w:line="96" w:lineRule="exact"/>
              <w:rPr>
                <w:sz w:val="20"/>
                <w:szCs w:val="20"/>
                <w:color w:val="auto"/>
              </w:rPr>
            </w:pPr>
            <w:r>
              <w:rPr>
                <w:rFonts w:ascii="Arial" w:cs="Arial" w:eastAsia="Arial" w:hAnsi="Arial"/>
                <w:sz w:val="9"/>
                <w:szCs w:val="9"/>
                <w:color w:val="auto"/>
                <w:highlight w:val="black"/>
              </w:rPr>
              <w:t>GLA</w:t>
            </w:r>
          </w:p>
        </w:tc>
        <w:tc>
          <w:tcPr>
            <w:tcW w:w="1860" w:type="dxa"/>
            <w:vAlign w:val="bottom"/>
            <w:tcBorders>
              <w:bottom w:val="single" w:sz="8" w:color="auto"/>
            </w:tcBorders>
          </w:tcPr>
          <w:p>
            <w:pPr>
              <w:jc w:val="center"/>
              <w:ind w:left="13"/>
              <w:spacing w:after="0" w:line="96" w:lineRule="exact"/>
              <w:rPr>
                <w:sz w:val="20"/>
                <w:szCs w:val="20"/>
                <w:color w:val="auto"/>
              </w:rPr>
            </w:pPr>
            <w:r>
              <w:rPr>
                <w:rFonts w:ascii="Arial" w:cs="Arial" w:eastAsia="Arial" w:hAnsi="Arial"/>
                <w:sz w:val="9"/>
                <w:szCs w:val="9"/>
                <w:color w:val="auto"/>
                <w:highlight w:val="black"/>
                <w:w w:val="88"/>
              </w:rPr>
              <w:t>GLA</w:t>
            </w:r>
          </w:p>
        </w:tc>
        <w:tc>
          <w:tcPr>
            <w:tcW w:w="1920" w:type="dxa"/>
            <w:vAlign w:val="bottom"/>
            <w:tcBorders>
              <w:bottom w:val="single" w:sz="8" w:color="auto"/>
            </w:tcBorders>
          </w:tcPr>
          <w:p>
            <w:pPr>
              <w:ind w:left="700"/>
              <w:spacing w:after="0" w:line="96" w:lineRule="exact"/>
              <w:rPr>
                <w:sz w:val="20"/>
                <w:szCs w:val="20"/>
                <w:color w:val="auto"/>
              </w:rPr>
            </w:pPr>
            <w:r>
              <w:rPr>
                <w:rFonts w:ascii="Arial" w:cs="Arial" w:eastAsia="Arial" w:hAnsi="Arial"/>
                <w:sz w:val="9"/>
                <w:szCs w:val="9"/>
                <w:color w:val="auto"/>
                <w:highlight w:val="black"/>
              </w:rPr>
              <w:t>Total ABR</w:t>
            </w:r>
            <w:r>
              <w:rPr>
                <w:rFonts w:ascii="Arial" w:cs="Arial" w:eastAsia="Arial" w:hAnsi="Arial"/>
                <w:sz w:val="11"/>
                <w:szCs w:val="11"/>
                <w:color w:val="auto"/>
                <w:highlight w:val="black"/>
                <w:vertAlign w:val="superscript"/>
              </w:rPr>
              <w:t>(</w:t>
            </w:r>
            <w:r>
              <w:rPr>
                <w:rFonts w:ascii="Arial" w:cs="Arial" w:eastAsia="Arial" w:hAnsi="Arial"/>
                <w:sz w:val="11"/>
                <w:szCs w:val="11"/>
                <w:color w:val="auto"/>
                <w:vertAlign w:val="superscript"/>
              </w:rPr>
              <w:t>1)</w:t>
            </w:r>
          </w:p>
        </w:tc>
        <w:tc>
          <w:tcPr>
            <w:tcW w:w="1720" w:type="dxa"/>
            <w:vAlign w:val="bottom"/>
            <w:tcBorders>
              <w:bottom w:val="single" w:sz="8" w:color="auto"/>
            </w:tcBorders>
          </w:tcPr>
          <w:p>
            <w:pPr>
              <w:ind w:left="780"/>
              <w:spacing w:after="0" w:line="96" w:lineRule="exact"/>
              <w:rPr>
                <w:sz w:val="20"/>
                <w:szCs w:val="20"/>
                <w:color w:val="auto"/>
              </w:rPr>
            </w:pPr>
            <w:r>
              <w:rPr>
                <w:rFonts w:ascii="Arial" w:cs="Arial" w:eastAsia="Arial" w:hAnsi="Arial"/>
                <w:sz w:val="9"/>
                <w:szCs w:val="9"/>
                <w:color w:val="auto"/>
                <w:highlight w:val="black"/>
              </w:rPr>
              <w:t>ABR</w:t>
            </w:r>
          </w:p>
        </w:tc>
      </w:tr>
      <w:tr>
        <w:trPr>
          <w:trHeight w:val="107"/>
        </w:trPr>
        <w:tc>
          <w:tcPr>
            <w:tcW w:w="20" w:type="dxa"/>
            <w:vAlign w:val="bottom"/>
            <w:shd w:val="clear" w:color="auto" w:fill="000000"/>
          </w:tcPr>
          <w:p>
            <w:pPr>
              <w:spacing w:after="0"/>
              <w:rPr>
                <w:sz w:val="9"/>
                <w:szCs w:val="9"/>
                <w:color w:val="auto"/>
              </w:rPr>
            </w:pPr>
          </w:p>
        </w:tc>
        <w:tc>
          <w:tcPr>
            <w:tcW w:w="1700" w:type="dxa"/>
            <w:vAlign w:val="bottom"/>
            <w:shd w:val="clear" w:color="auto" w:fill="D9D9D9"/>
          </w:tcPr>
          <w:p>
            <w:pPr>
              <w:jc w:val="center"/>
              <w:ind w:right="13"/>
              <w:spacing w:after="0" w:line="94" w:lineRule="exact"/>
              <w:rPr>
                <w:sz w:val="20"/>
                <w:szCs w:val="20"/>
                <w:color w:val="auto"/>
              </w:rPr>
            </w:pPr>
            <w:r>
              <w:rPr>
                <w:rFonts w:ascii="Arial" w:cs="Arial" w:eastAsia="Arial" w:hAnsi="Arial"/>
                <w:sz w:val="9"/>
                <w:szCs w:val="9"/>
                <w:color w:val="auto"/>
              </w:rPr>
              <w:t>171</w:t>
            </w:r>
          </w:p>
        </w:tc>
        <w:tc>
          <w:tcPr>
            <w:tcW w:w="1860" w:type="dxa"/>
            <w:vAlign w:val="bottom"/>
            <w:shd w:val="clear" w:color="auto" w:fill="D9D9D9"/>
          </w:tcPr>
          <w:p>
            <w:pPr>
              <w:jc w:val="center"/>
              <w:ind w:left="13"/>
              <w:spacing w:after="0" w:line="94" w:lineRule="exact"/>
              <w:rPr>
                <w:sz w:val="20"/>
                <w:szCs w:val="20"/>
                <w:color w:val="auto"/>
              </w:rPr>
            </w:pPr>
            <w:r>
              <w:rPr>
                <w:rFonts w:ascii="Arial" w:cs="Arial" w:eastAsia="Arial" w:hAnsi="Arial"/>
                <w:sz w:val="9"/>
                <w:szCs w:val="9"/>
                <w:color w:val="auto"/>
              </w:rPr>
              <w:t>0.4%</w:t>
            </w:r>
          </w:p>
        </w:tc>
        <w:tc>
          <w:tcPr>
            <w:tcW w:w="1920" w:type="dxa"/>
            <w:vAlign w:val="bottom"/>
            <w:shd w:val="clear" w:color="auto" w:fill="D9D9D9"/>
          </w:tcPr>
          <w:p>
            <w:pPr>
              <w:jc w:val="center"/>
              <w:spacing w:after="0" w:line="94" w:lineRule="exact"/>
              <w:rPr>
                <w:sz w:val="20"/>
                <w:szCs w:val="20"/>
                <w:color w:val="auto"/>
              </w:rPr>
            </w:pPr>
            <w:r>
              <w:rPr>
                <w:rFonts w:ascii="Arial" w:cs="Arial" w:eastAsia="Arial" w:hAnsi="Arial"/>
                <w:sz w:val="9"/>
                <w:szCs w:val="9"/>
                <w:color w:val="auto"/>
              </w:rPr>
              <w:t>0.4%</w:t>
            </w:r>
          </w:p>
        </w:tc>
        <w:tc>
          <w:tcPr>
            <w:tcW w:w="1720" w:type="dxa"/>
            <w:vAlign w:val="bottom"/>
            <w:tcBorders>
              <w:right w:val="single" w:sz="8" w:color="auto"/>
            </w:tcBorders>
            <w:shd w:val="clear" w:color="auto" w:fill="D9D9D9"/>
          </w:tcPr>
          <w:p>
            <w:pPr>
              <w:jc w:val="center"/>
              <w:spacing w:after="0" w:line="94" w:lineRule="exact"/>
              <w:rPr>
                <w:sz w:val="20"/>
                <w:szCs w:val="20"/>
                <w:color w:val="auto"/>
              </w:rPr>
            </w:pPr>
            <w:r>
              <w:rPr>
                <w:rFonts w:ascii="Arial" w:cs="Arial" w:eastAsia="Arial" w:hAnsi="Arial"/>
                <w:sz w:val="9"/>
                <w:szCs w:val="9"/>
                <w:color w:val="auto"/>
              </w:rPr>
              <w:t>$28.25</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1,111</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2.3%</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3.5%</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38.88</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2,545</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5.3%</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7.7%</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38.07</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2,545</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5.3%</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8.2%</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40.28</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2,345</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4.9%</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7.5%</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40.06</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2,264</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4.7%</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7.4%</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41.13</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1,907</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4.0%</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5.9%</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38.92</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1,123</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2.3%</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3.7%</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40.95</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1,053</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2.2%</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3.5%</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41.54</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850</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1.8%</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2.9%</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43.03</w:t>
            </w:r>
          </w:p>
        </w:tc>
      </w:tr>
      <w:tr>
        <w:trPr>
          <w:trHeight w:val="118"/>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987</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2.1%</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3.4%</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42.78</w:t>
            </w:r>
          </w:p>
        </w:tc>
      </w:tr>
      <w:tr>
        <w:trPr>
          <w:trHeight w:val="107"/>
        </w:trPr>
        <w:tc>
          <w:tcPr>
            <w:tcW w:w="20" w:type="dxa"/>
            <w:vAlign w:val="bottom"/>
            <w:shd w:val="clear" w:color="auto" w:fill="000000"/>
          </w:tcPr>
          <w:p>
            <w:pPr>
              <w:spacing w:after="0"/>
              <w:rPr>
                <w:sz w:val="9"/>
                <w:szCs w:val="9"/>
                <w:color w:val="auto"/>
              </w:rPr>
            </w:pPr>
          </w:p>
        </w:tc>
        <w:tc>
          <w:tcPr>
            <w:tcW w:w="1700" w:type="dxa"/>
            <w:vAlign w:val="bottom"/>
          </w:tcPr>
          <w:p>
            <w:pPr>
              <w:jc w:val="center"/>
              <w:ind w:right="13"/>
              <w:spacing w:after="0" w:line="94" w:lineRule="exact"/>
              <w:rPr>
                <w:sz w:val="20"/>
                <w:szCs w:val="20"/>
                <w:color w:val="auto"/>
              </w:rPr>
            </w:pPr>
            <w:r>
              <w:rPr>
                <w:rFonts w:ascii="Arial" w:cs="Arial" w:eastAsia="Arial" w:hAnsi="Arial"/>
                <w:sz w:val="9"/>
                <w:szCs w:val="9"/>
                <w:color w:val="auto"/>
              </w:rPr>
              <w:t>16,899</w:t>
            </w:r>
          </w:p>
        </w:tc>
        <w:tc>
          <w:tcPr>
            <w:tcW w:w="1860" w:type="dxa"/>
            <w:vAlign w:val="bottom"/>
          </w:tcPr>
          <w:p>
            <w:pPr>
              <w:jc w:val="center"/>
              <w:ind w:left="13"/>
              <w:spacing w:after="0" w:line="94" w:lineRule="exact"/>
              <w:rPr>
                <w:sz w:val="20"/>
                <w:szCs w:val="20"/>
                <w:color w:val="auto"/>
              </w:rPr>
            </w:pPr>
            <w:r>
              <w:rPr>
                <w:rFonts w:ascii="Arial" w:cs="Arial" w:eastAsia="Arial" w:hAnsi="Arial"/>
                <w:sz w:val="9"/>
                <w:szCs w:val="9"/>
                <w:color w:val="auto"/>
              </w:rPr>
              <w:t>35.3%</w:t>
            </w:r>
          </w:p>
        </w:tc>
        <w:tc>
          <w:tcPr>
            <w:tcW w:w="1920" w:type="dxa"/>
            <w:vAlign w:val="bottom"/>
          </w:tcPr>
          <w:p>
            <w:pPr>
              <w:jc w:val="center"/>
              <w:spacing w:after="0" w:line="94" w:lineRule="exact"/>
              <w:rPr>
                <w:sz w:val="20"/>
                <w:szCs w:val="20"/>
                <w:color w:val="auto"/>
              </w:rPr>
            </w:pPr>
            <w:r>
              <w:rPr>
                <w:rFonts w:ascii="Arial" w:cs="Arial" w:eastAsia="Arial" w:hAnsi="Arial"/>
                <w:sz w:val="9"/>
                <w:szCs w:val="9"/>
                <w:color w:val="auto"/>
              </w:rPr>
              <w:t>54.1%</w:t>
            </w:r>
          </w:p>
        </w:tc>
        <w:tc>
          <w:tcPr>
            <w:tcW w:w="17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9"/>
                <w:szCs w:val="9"/>
                <w:color w:val="auto"/>
              </w:rPr>
              <w:t>$40.07</w:t>
            </w:r>
          </w:p>
        </w:tc>
      </w:tr>
      <w:tr>
        <w:trPr>
          <w:trHeight w:val="118"/>
        </w:trPr>
        <w:tc>
          <w:tcPr>
            <w:tcW w:w="20" w:type="dxa"/>
            <w:vAlign w:val="bottom"/>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1,099</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2.3%</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4.2%</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48.25</w:t>
            </w:r>
          </w:p>
        </w:tc>
      </w:tr>
      <w:tr>
        <w:trPr>
          <w:trHeight w:val="107"/>
        </w:trPr>
        <w:tc>
          <w:tcPr>
            <w:tcW w:w="20" w:type="dxa"/>
            <w:vAlign w:val="bottom"/>
          </w:tcPr>
          <w:p>
            <w:pPr>
              <w:spacing w:after="0"/>
              <w:rPr>
                <w:sz w:val="9"/>
                <w:szCs w:val="9"/>
                <w:color w:val="auto"/>
              </w:rPr>
            </w:pPr>
          </w:p>
        </w:tc>
        <w:tc>
          <w:tcPr>
            <w:tcW w:w="1700" w:type="dxa"/>
            <w:vAlign w:val="bottom"/>
            <w:tcBorders>
              <w:bottom w:val="single" w:sz="8" w:color="auto"/>
            </w:tcBorders>
          </w:tcPr>
          <w:p>
            <w:pPr>
              <w:jc w:val="center"/>
              <w:ind w:right="13"/>
              <w:spacing w:after="0" w:line="94" w:lineRule="exact"/>
              <w:rPr>
                <w:sz w:val="20"/>
                <w:szCs w:val="20"/>
                <w:color w:val="auto"/>
              </w:rPr>
            </w:pPr>
            <w:r>
              <w:rPr>
                <w:rFonts w:ascii="Arial" w:cs="Arial" w:eastAsia="Arial" w:hAnsi="Arial"/>
                <w:sz w:val="9"/>
                <w:szCs w:val="9"/>
                <w:color w:val="auto"/>
                <w:highlight w:val="black"/>
              </w:rPr>
              <w:t>17,998</w:t>
            </w:r>
          </w:p>
        </w:tc>
        <w:tc>
          <w:tcPr>
            <w:tcW w:w="1860" w:type="dxa"/>
            <w:vAlign w:val="bottom"/>
            <w:tcBorders>
              <w:bottom w:val="single" w:sz="8" w:color="auto"/>
            </w:tcBorders>
          </w:tcPr>
          <w:p>
            <w:pPr>
              <w:jc w:val="center"/>
              <w:ind w:left="13"/>
              <w:spacing w:after="0" w:line="94" w:lineRule="exact"/>
              <w:rPr>
                <w:sz w:val="20"/>
                <w:szCs w:val="20"/>
                <w:color w:val="auto"/>
              </w:rPr>
            </w:pPr>
            <w:r>
              <w:rPr>
                <w:rFonts w:ascii="Arial" w:cs="Arial" w:eastAsia="Arial" w:hAnsi="Arial"/>
                <w:sz w:val="9"/>
                <w:szCs w:val="9"/>
                <w:color w:val="auto"/>
                <w:highlight w:val="black"/>
              </w:rPr>
              <w:t>37.6%</w:t>
            </w:r>
          </w:p>
        </w:tc>
        <w:tc>
          <w:tcPr>
            <w:tcW w:w="192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58.3%</w:t>
            </w:r>
          </w:p>
        </w:tc>
        <w:tc>
          <w:tcPr>
            <w:tcW w:w="1720" w:type="dxa"/>
            <w:vAlign w:val="bottom"/>
            <w:tcBorders>
              <w:bottom w:val="single" w:sz="8" w:color="auto"/>
              <w:right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$40.57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-327660</wp:posOffset>
            </wp:positionV>
            <wp:extent cx="31115" cy="1060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1115" cy="1060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-172720</wp:posOffset>
            </wp:positionV>
            <wp:extent cx="31115" cy="1860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-1153160</wp:posOffset>
            </wp:positionV>
            <wp:extent cx="76200" cy="666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84" w:lineRule="exact"/>
        <w:rPr>
          <w:sz w:val="20"/>
          <w:szCs w:val="20"/>
          <w:color w:val="auto"/>
        </w:rPr>
      </w:pPr>
    </w:p>
    <w:p>
      <w:pPr>
        <w:ind w:left="2320"/>
        <w:spacing w:after="0"/>
        <w:rPr>
          <w:sz w:val="20"/>
          <w:szCs w:val="20"/>
          <w:color w:val="auto"/>
        </w:rPr>
      </w:pPr>
      <w:r>
        <w:rPr>
          <w:rFonts w:ascii="Arial" w:cs="Arial" w:eastAsia="Arial" w:hAnsi="Arial"/>
          <w:sz w:val="14"/>
          <w:szCs w:val="14"/>
          <w:color w:val="auto"/>
          <w:highlight w:val="black"/>
        </w:rPr>
        <w:t>All Tenants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1478915</wp:posOffset>
            </wp:positionH>
            <wp:positionV relativeFrom="paragraph">
              <wp:posOffset>-12700</wp:posOffset>
            </wp:positionV>
            <wp:extent cx="45021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0215" cy="5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860" w:type="dxa"/>
            <w:vAlign w:val="bottom"/>
          </w:tcPr>
          <w:p>
            <w:pPr>
              <w:jc w:val="center"/>
              <w:spacing w:after="0"/>
              <w:rPr>
                <w:sz w:val="20"/>
                <w:szCs w:val="20"/>
                <w:color w:val="auto"/>
              </w:rPr>
            </w:pPr>
            <w:r>
              <w:rPr>
                <w:rFonts w:ascii="Arial" w:cs="Arial" w:eastAsia="Arial" w:hAnsi="Arial"/>
                <w:sz w:val="9"/>
                <w:szCs w:val="9"/>
                <w:color w:val="auto"/>
                <w:highlight w:val="black"/>
              </w:rPr>
              <w:t>Percent of</w:t>
            </w:r>
          </w:p>
        </w:tc>
        <w:tc>
          <w:tcPr>
            <w:tcW w:w="1920" w:type="dxa"/>
            <w:vAlign w:val="bottom"/>
          </w:tcPr>
          <w:p>
            <w:pPr>
              <w:ind w:left="700"/>
              <w:spacing w:after="0"/>
              <w:rPr>
                <w:sz w:val="20"/>
                <w:szCs w:val="20"/>
                <w:color w:val="auto"/>
              </w:rPr>
            </w:pPr>
            <w:r>
              <w:rPr>
                <w:rFonts w:ascii="Arial" w:cs="Arial" w:eastAsia="Arial" w:hAnsi="Arial"/>
                <w:sz w:val="9"/>
                <w:szCs w:val="9"/>
                <w:color w:val="auto"/>
                <w:highlight w:val="black"/>
              </w:rPr>
              <w:t>Percent of</w:t>
            </w:r>
          </w:p>
        </w:tc>
        <w:tc>
          <w:tcPr>
            <w:tcW w:w="1720" w:type="dxa"/>
            <w:vAlign w:val="bottom"/>
          </w:tcPr>
          <w:p>
            <w:pPr>
              <w:spacing w:after="0"/>
              <w:rPr>
                <w:sz w:val="8"/>
                <w:szCs w:val="8"/>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ind w:left="740"/>
              <w:spacing w:after="0" w:line="96" w:lineRule="exact"/>
              <w:rPr>
                <w:sz w:val="20"/>
                <w:szCs w:val="20"/>
                <w:color w:val="auto"/>
              </w:rPr>
            </w:pPr>
            <w:r>
              <w:rPr>
                <w:rFonts w:ascii="Arial" w:cs="Arial" w:eastAsia="Arial" w:hAnsi="Arial"/>
                <w:sz w:val="9"/>
                <w:szCs w:val="9"/>
                <w:color w:val="auto"/>
                <w:highlight w:val="black"/>
              </w:rPr>
              <w:t>GLA</w:t>
            </w:r>
          </w:p>
        </w:tc>
        <w:tc>
          <w:tcPr>
            <w:tcW w:w="1860" w:type="dxa"/>
            <w:vAlign w:val="bottom"/>
            <w:tcBorders>
              <w:bottom w:val="single" w:sz="8" w:color="auto"/>
            </w:tcBorders>
          </w:tcPr>
          <w:p>
            <w:pPr>
              <w:jc w:val="center"/>
              <w:ind w:left="13"/>
              <w:spacing w:after="0" w:line="96" w:lineRule="exact"/>
              <w:rPr>
                <w:sz w:val="20"/>
                <w:szCs w:val="20"/>
                <w:color w:val="auto"/>
              </w:rPr>
            </w:pPr>
            <w:r>
              <w:rPr>
                <w:rFonts w:ascii="Arial" w:cs="Arial" w:eastAsia="Arial" w:hAnsi="Arial"/>
                <w:sz w:val="9"/>
                <w:szCs w:val="9"/>
                <w:color w:val="auto"/>
                <w:highlight w:val="black"/>
                <w:w w:val="88"/>
              </w:rPr>
              <w:t>GLA</w:t>
            </w:r>
          </w:p>
        </w:tc>
        <w:tc>
          <w:tcPr>
            <w:tcW w:w="1920" w:type="dxa"/>
            <w:vAlign w:val="bottom"/>
            <w:tcBorders>
              <w:bottom w:val="single" w:sz="8" w:color="auto"/>
            </w:tcBorders>
          </w:tcPr>
          <w:p>
            <w:pPr>
              <w:ind w:left="700"/>
              <w:spacing w:after="0" w:line="96" w:lineRule="exact"/>
              <w:rPr>
                <w:sz w:val="20"/>
                <w:szCs w:val="20"/>
                <w:color w:val="auto"/>
              </w:rPr>
            </w:pPr>
            <w:r>
              <w:rPr>
                <w:rFonts w:ascii="Arial" w:cs="Arial" w:eastAsia="Arial" w:hAnsi="Arial"/>
                <w:sz w:val="9"/>
                <w:szCs w:val="9"/>
                <w:color w:val="auto"/>
                <w:highlight w:val="black"/>
              </w:rPr>
              <w:t>Total ABR</w:t>
            </w:r>
            <w:r>
              <w:rPr>
                <w:rFonts w:ascii="Arial" w:cs="Arial" w:eastAsia="Arial" w:hAnsi="Arial"/>
                <w:sz w:val="11"/>
                <w:szCs w:val="11"/>
                <w:color w:val="auto"/>
                <w:highlight w:val="black"/>
                <w:vertAlign w:val="superscript"/>
              </w:rPr>
              <w:t>(</w:t>
            </w:r>
            <w:r>
              <w:rPr>
                <w:rFonts w:ascii="Arial" w:cs="Arial" w:eastAsia="Arial" w:hAnsi="Arial"/>
                <w:sz w:val="11"/>
                <w:szCs w:val="11"/>
                <w:color w:val="auto"/>
                <w:vertAlign w:val="superscript"/>
              </w:rPr>
              <w:t>1)</w:t>
            </w:r>
          </w:p>
        </w:tc>
        <w:tc>
          <w:tcPr>
            <w:tcW w:w="1720" w:type="dxa"/>
            <w:vAlign w:val="bottom"/>
            <w:tcBorders>
              <w:bottom w:val="single" w:sz="8" w:color="auto"/>
            </w:tcBorders>
          </w:tcPr>
          <w:p>
            <w:pPr>
              <w:ind w:left="780"/>
              <w:spacing w:after="0" w:line="96" w:lineRule="exact"/>
              <w:rPr>
                <w:sz w:val="20"/>
                <w:szCs w:val="20"/>
                <w:color w:val="auto"/>
              </w:rPr>
            </w:pPr>
            <w:r>
              <w:rPr>
                <w:rFonts w:ascii="Arial" w:cs="Arial" w:eastAsia="Arial" w:hAnsi="Arial"/>
                <w:sz w:val="9"/>
                <w:szCs w:val="9"/>
                <w:color w:val="auto"/>
                <w:highlight w:val="black"/>
              </w:rPr>
              <w:t>ABR</w:t>
            </w:r>
          </w:p>
        </w:tc>
      </w:tr>
      <w:tr>
        <w:trPr>
          <w:trHeight w:val="107"/>
        </w:trPr>
        <w:tc>
          <w:tcPr>
            <w:tcW w:w="20" w:type="dxa"/>
            <w:vAlign w:val="bottom"/>
            <w:shd w:val="clear" w:color="auto" w:fill="000000"/>
          </w:tcPr>
          <w:p>
            <w:pPr>
              <w:spacing w:after="0"/>
              <w:rPr>
                <w:sz w:val="9"/>
                <w:szCs w:val="9"/>
                <w:color w:val="auto"/>
              </w:rPr>
            </w:pPr>
          </w:p>
        </w:tc>
        <w:tc>
          <w:tcPr>
            <w:tcW w:w="1700" w:type="dxa"/>
            <w:vAlign w:val="bottom"/>
            <w:shd w:val="clear" w:color="auto" w:fill="D9D9D9"/>
          </w:tcPr>
          <w:p>
            <w:pPr>
              <w:jc w:val="center"/>
              <w:ind w:right="13"/>
              <w:spacing w:after="0" w:line="94" w:lineRule="exact"/>
              <w:rPr>
                <w:sz w:val="20"/>
                <w:szCs w:val="20"/>
                <w:color w:val="auto"/>
              </w:rPr>
            </w:pPr>
            <w:r>
              <w:rPr>
                <w:rFonts w:ascii="Arial" w:cs="Arial" w:eastAsia="Arial" w:hAnsi="Arial"/>
                <w:sz w:val="9"/>
                <w:szCs w:val="9"/>
                <w:color w:val="auto"/>
              </w:rPr>
              <w:t>202</w:t>
            </w:r>
          </w:p>
        </w:tc>
        <w:tc>
          <w:tcPr>
            <w:tcW w:w="1860" w:type="dxa"/>
            <w:vAlign w:val="bottom"/>
            <w:shd w:val="clear" w:color="auto" w:fill="D9D9D9"/>
          </w:tcPr>
          <w:p>
            <w:pPr>
              <w:jc w:val="center"/>
              <w:ind w:left="13"/>
              <w:spacing w:after="0" w:line="94" w:lineRule="exact"/>
              <w:rPr>
                <w:sz w:val="20"/>
                <w:szCs w:val="20"/>
                <w:color w:val="auto"/>
              </w:rPr>
            </w:pPr>
            <w:r>
              <w:rPr>
                <w:rFonts w:ascii="Arial" w:cs="Arial" w:eastAsia="Arial" w:hAnsi="Arial"/>
                <w:sz w:val="9"/>
                <w:szCs w:val="9"/>
                <w:color w:val="auto"/>
              </w:rPr>
              <w:t>0.4%</w:t>
            </w:r>
          </w:p>
        </w:tc>
        <w:tc>
          <w:tcPr>
            <w:tcW w:w="1920" w:type="dxa"/>
            <w:vAlign w:val="bottom"/>
            <w:shd w:val="clear" w:color="auto" w:fill="D9D9D9"/>
          </w:tcPr>
          <w:p>
            <w:pPr>
              <w:jc w:val="center"/>
              <w:spacing w:after="0" w:line="94" w:lineRule="exact"/>
              <w:rPr>
                <w:sz w:val="20"/>
                <w:szCs w:val="20"/>
                <w:color w:val="auto"/>
              </w:rPr>
            </w:pPr>
            <w:r>
              <w:rPr>
                <w:rFonts w:ascii="Arial" w:cs="Arial" w:eastAsia="Arial" w:hAnsi="Arial"/>
                <w:sz w:val="9"/>
                <w:szCs w:val="9"/>
                <w:color w:val="auto"/>
              </w:rPr>
              <w:t>0.4%</w:t>
            </w:r>
          </w:p>
        </w:tc>
        <w:tc>
          <w:tcPr>
            <w:tcW w:w="1720" w:type="dxa"/>
            <w:vAlign w:val="bottom"/>
            <w:tcBorders>
              <w:right w:val="single" w:sz="8" w:color="auto"/>
            </w:tcBorders>
            <w:shd w:val="clear" w:color="auto" w:fill="D9D9D9"/>
          </w:tcPr>
          <w:p>
            <w:pPr>
              <w:jc w:val="center"/>
              <w:spacing w:after="0" w:line="94" w:lineRule="exact"/>
              <w:rPr>
                <w:sz w:val="20"/>
                <w:szCs w:val="20"/>
                <w:color w:val="auto"/>
              </w:rPr>
            </w:pPr>
            <w:r>
              <w:rPr>
                <w:rFonts w:ascii="Arial" w:cs="Arial" w:eastAsia="Arial" w:hAnsi="Arial"/>
                <w:sz w:val="9"/>
                <w:szCs w:val="9"/>
                <w:color w:val="auto"/>
              </w:rPr>
              <w:t>$25.68</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1,995</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4.2%</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4.5%</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28.31</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6,067</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12.7%</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12.4%</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25.66</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6,008</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12.5%</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13.2%</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27.46</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6,784</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14.2%</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13.0%</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24.02</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5,993</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12.5%</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13.0%</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27.05</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5,064</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10.6%</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10.3%</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25.46</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2,334</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4.9%</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5.5%</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29.63</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2,216</w:t>
            </w:r>
          </w:p>
        </w:tc>
        <w:tc>
          <w:tcPr>
            <w:tcW w:w="1860" w:type="dxa"/>
            <w:vAlign w:val="bottom"/>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4.6%</w:t>
            </w:r>
          </w:p>
        </w:tc>
        <w:tc>
          <w:tcPr>
            <w:tcW w:w="1920" w:type="dxa"/>
            <w:vAlign w:val="bottom"/>
            <w:shd w:val="clear" w:color="auto" w:fill="D9D9D9"/>
          </w:tcPr>
          <w:p>
            <w:pPr>
              <w:jc w:val="center"/>
              <w:spacing w:after="0" w:line="98" w:lineRule="exact"/>
              <w:rPr>
                <w:sz w:val="20"/>
                <w:szCs w:val="20"/>
                <w:color w:val="auto"/>
              </w:rPr>
            </w:pPr>
            <w:r>
              <w:rPr>
                <w:rFonts w:ascii="Arial" w:cs="Arial" w:eastAsia="Arial" w:hAnsi="Arial"/>
                <w:sz w:val="9"/>
                <w:szCs w:val="9"/>
                <w:color w:val="auto"/>
              </w:rPr>
              <w:t>5.4%</w:t>
            </w:r>
          </w:p>
        </w:tc>
        <w:tc>
          <w:tcPr>
            <w:tcW w:w="1720" w:type="dxa"/>
            <w:vAlign w:val="bottom"/>
            <w:tcBorders>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30.32</w:t>
            </w:r>
          </w:p>
        </w:tc>
      </w:tr>
      <w:tr>
        <w:trPr>
          <w:trHeight w:val="118"/>
        </w:trPr>
        <w:tc>
          <w:tcPr>
            <w:tcW w:w="20" w:type="dxa"/>
            <w:vAlign w:val="bottom"/>
            <w:shd w:val="clear" w:color="auto" w:fill="000000"/>
          </w:tcPr>
          <w:p>
            <w:pPr>
              <w:spacing w:after="0"/>
              <w:rPr>
                <w:sz w:val="10"/>
                <w:szCs w:val="10"/>
                <w:color w:val="auto"/>
              </w:rPr>
            </w:pPr>
          </w:p>
        </w:tc>
        <w:tc>
          <w:tcPr>
            <w:tcW w:w="1700" w:type="dxa"/>
            <w:vAlign w:val="bottom"/>
          </w:tcPr>
          <w:p>
            <w:pPr>
              <w:jc w:val="center"/>
              <w:ind w:right="13"/>
              <w:spacing w:after="0" w:line="98" w:lineRule="exact"/>
              <w:rPr>
                <w:sz w:val="20"/>
                <w:szCs w:val="20"/>
                <w:color w:val="auto"/>
              </w:rPr>
            </w:pPr>
            <w:r>
              <w:rPr>
                <w:rFonts w:ascii="Arial" w:cs="Arial" w:eastAsia="Arial" w:hAnsi="Arial"/>
                <w:sz w:val="9"/>
                <w:szCs w:val="9"/>
                <w:color w:val="auto"/>
              </w:rPr>
              <w:t>1,889</w:t>
            </w:r>
          </w:p>
        </w:tc>
        <w:tc>
          <w:tcPr>
            <w:tcW w:w="1860" w:type="dxa"/>
            <w:vAlign w:val="bottom"/>
          </w:tcPr>
          <w:p>
            <w:pPr>
              <w:jc w:val="center"/>
              <w:ind w:left="13"/>
              <w:spacing w:after="0" w:line="98" w:lineRule="exact"/>
              <w:rPr>
                <w:sz w:val="20"/>
                <w:szCs w:val="20"/>
                <w:color w:val="auto"/>
              </w:rPr>
            </w:pPr>
            <w:r>
              <w:rPr>
                <w:rFonts w:ascii="Arial" w:cs="Arial" w:eastAsia="Arial" w:hAnsi="Arial"/>
                <w:sz w:val="9"/>
                <w:szCs w:val="9"/>
                <w:color w:val="auto"/>
              </w:rPr>
              <w:t>3.9%</w:t>
            </w:r>
          </w:p>
        </w:tc>
        <w:tc>
          <w:tcPr>
            <w:tcW w:w="1920" w:type="dxa"/>
            <w:vAlign w:val="bottom"/>
          </w:tcPr>
          <w:p>
            <w:pPr>
              <w:jc w:val="center"/>
              <w:spacing w:after="0" w:line="98" w:lineRule="exact"/>
              <w:rPr>
                <w:sz w:val="20"/>
                <w:szCs w:val="20"/>
                <w:color w:val="auto"/>
              </w:rPr>
            </w:pPr>
            <w:r>
              <w:rPr>
                <w:rFonts w:ascii="Arial" w:cs="Arial" w:eastAsia="Arial" w:hAnsi="Arial"/>
                <w:sz w:val="9"/>
                <w:szCs w:val="9"/>
                <w:color w:val="auto"/>
              </w:rPr>
              <w:t>4.5%</w:t>
            </w:r>
          </w:p>
        </w:tc>
        <w:tc>
          <w:tcPr>
            <w:tcW w:w="172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9"/>
                <w:szCs w:val="9"/>
                <w:color w:val="auto"/>
              </w:rPr>
              <w:t>29.69</w:t>
            </w:r>
          </w:p>
        </w:tc>
      </w:tr>
      <w:tr>
        <w:trPr>
          <w:trHeight w:val="118"/>
        </w:trPr>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2,456</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5.1%</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5.4%</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27.76</w:t>
            </w:r>
          </w:p>
        </w:tc>
      </w:tr>
      <w:tr>
        <w:trPr>
          <w:trHeight w:val="107"/>
        </w:trPr>
        <w:tc>
          <w:tcPr>
            <w:tcW w:w="20" w:type="dxa"/>
            <w:vAlign w:val="bottom"/>
            <w:shd w:val="clear" w:color="auto" w:fill="000000"/>
          </w:tcPr>
          <w:p>
            <w:pPr>
              <w:spacing w:after="0"/>
              <w:rPr>
                <w:sz w:val="9"/>
                <w:szCs w:val="9"/>
                <w:color w:val="auto"/>
              </w:rPr>
            </w:pPr>
          </w:p>
        </w:tc>
        <w:tc>
          <w:tcPr>
            <w:tcW w:w="1700" w:type="dxa"/>
            <w:vAlign w:val="bottom"/>
          </w:tcPr>
          <w:p>
            <w:pPr>
              <w:jc w:val="center"/>
              <w:ind w:right="13"/>
              <w:spacing w:after="0" w:line="94" w:lineRule="exact"/>
              <w:rPr>
                <w:sz w:val="20"/>
                <w:szCs w:val="20"/>
                <w:color w:val="auto"/>
              </w:rPr>
            </w:pPr>
            <w:r>
              <w:rPr>
                <w:rFonts w:ascii="Arial" w:cs="Arial" w:eastAsia="Arial" w:hAnsi="Arial"/>
                <w:sz w:val="9"/>
                <w:szCs w:val="9"/>
                <w:color w:val="auto"/>
              </w:rPr>
              <w:t>41,008</w:t>
            </w:r>
          </w:p>
        </w:tc>
        <w:tc>
          <w:tcPr>
            <w:tcW w:w="1860" w:type="dxa"/>
            <w:vAlign w:val="bottom"/>
          </w:tcPr>
          <w:p>
            <w:pPr>
              <w:jc w:val="center"/>
              <w:ind w:left="13"/>
              <w:spacing w:after="0" w:line="94" w:lineRule="exact"/>
              <w:rPr>
                <w:sz w:val="20"/>
                <w:szCs w:val="20"/>
                <w:color w:val="auto"/>
              </w:rPr>
            </w:pPr>
            <w:r>
              <w:rPr>
                <w:rFonts w:ascii="Arial" w:cs="Arial" w:eastAsia="Arial" w:hAnsi="Arial"/>
                <w:sz w:val="9"/>
                <w:szCs w:val="9"/>
                <w:color w:val="auto"/>
              </w:rPr>
              <w:t>85.6%</w:t>
            </w:r>
          </w:p>
        </w:tc>
        <w:tc>
          <w:tcPr>
            <w:tcW w:w="1920" w:type="dxa"/>
            <w:vAlign w:val="bottom"/>
          </w:tcPr>
          <w:p>
            <w:pPr>
              <w:jc w:val="center"/>
              <w:spacing w:after="0" w:line="94" w:lineRule="exact"/>
              <w:rPr>
                <w:sz w:val="20"/>
                <w:szCs w:val="20"/>
                <w:color w:val="auto"/>
              </w:rPr>
            </w:pPr>
            <w:r>
              <w:rPr>
                <w:rFonts w:ascii="Arial" w:cs="Arial" w:eastAsia="Arial" w:hAnsi="Arial"/>
                <w:sz w:val="9"/>
                <w:szCs w:val="9"/>
                <w:color w:val="auto"/>
              </w:rPr>
              <w:t>87.6%</w:t>
            </w:r>
          </w:p>
        </w:tc>
        <w:tc>
          <w:tcPr>
            <w:tcW w:w="172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9"/>
                <w:szCs w:val="9"/>
                <w:color w:val="auto"/>
              </w:rPr>
              <w:t>$26.75</w:t>
            </w:r>
          </w:p>
        </w:tc>
      </w:tr>
      <w:tr>
        <w:trPr>
          <w:trHeight w:val="118"/>
        </w:trPr>
        <w:tc>
          <w:tcPr>
            <w:tcW w:w="20" w:type="dxa"/>
            <w:vAlign w:val="bottom"/>
          </w:tcPr>
          <w:p>
            <w:pPr>
              <w:spacing w:after="0"/>
              <w:rPr>
                <w:sz w:val="10"/>
                <w:szCs w:val="10"/>
                <w:color w:val="auto"/>
              </w:rPr>
            </w:pPr>
          </w:p>
        </w:tc>
        <w:tc>
          <w:tcPr>
            <w:tcW w:w="1700" w:type="dxa"/>
            <w:vAlign w:val="bottom"/>
            <w:tcBorders>
              <w:bottom w:val="single" w:sz="8" w:color="auto"/>
            </w:tcBorders>
            <w:shd w:val="clear" w:color="auto" w:fill="D9D9D9"/>
          </w:tcPr>
          <w:p>
            <w:pPr>
              <w:jc w:val="center"/>
              <w:ind w:right="13"/>
              <w:spacing w:after="0" w:line="98" w:lineRule="exact"/>
              <w:rPr>
                <w:sz w:val="20"/>
                <w:szCs w:val="20"/>
                <w:color w:val="auto"/>
              </w:rPr>
            </w:pPr>
            <w:r>
              <w:rPr>
                <w:rFonts w:ascii="Arial" w:cs="Arial" w:eastAsia="Arial" w:hAnsi="Arial"/>
                <w:sz w:val="9"/>
                <w:szCs w:val="9"/>
                <w:color w:val="auto"/>
              </w:rPr>
              <w:t>6,897</w:t>
            </w:r>
          </w:p>
        </w:tc>
        <w:tc>
          <w:tcPr>
            <w:tcW w:w="1860" w:type="dxa"/>
            <w:vAlign w:val="bottom"/>
            <w:tcBorders>
              <w:bottom w:val="single" w:sz="8" w:color="auto"/>
            </w:tcBorders>
            <w:shd w:val="clear" w:color="auto" w:fill="D9D9D9"/>
          </w:tcPr>
          <w:p>
            <w:pPr>
              <w:jc w:val="center"/>
              <w:ind w:left="13"/>
              <w:spacing w:after="0" w:line="98" w:lineRule="exact"/>
              <w:rPr>
                <w:sz w:val="20"/>
                <w:szCs w:val="20"/>
                <w:color w:val="auto"/>
              </w:rPr>
            </w:pPr>
            <w:r>
              <w:rPr>
                <w:rFonts w:ascii="Arial" w:cs="Arial" w:eastAsia="Arial" w:hAnsi="Arial"/>
                <w:sz w:val="9"/>
                <w:szCs w:val="9"/>
                <w:color w:val="auto"/>
              </w:rPr>
              <w:t>14.4%</w:t>
            </w:r>
          </w:p>
        </w:tc>
        <w:tc>
          <w:tcPr>
            <w:tcW w:w="1920" w:type="dxa"/>
            <w:vAlign w:val="bottom"/>
            <w:tcBorders>
              <w:bottom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12.4%</w:t>
            </w:r>
          </w:p>
        </w:tc>
        <w:tc>
          <w:tcPr>
            <w:tcW w:w="1720" w:type="dxa"/>
            <w:vAlign w:val="bottom"/>
            <w:tcBorders>
              <w:bottom w:val="single" w:sz="8" w:color="auto"/>
              <w:right w:val="single" w:sz="8" w:color="auto"/>
            </w:tcBorders>
            <w:shd w:val="clear" w:color="auto" w:fill="D9D9D9"/>
          </w:tcPr>
          <w:p>
            <w:pPr>
              <w:jc w:val="center"/>
              <w:spacing w:after="0" w:line="98" w:lineRule="exact"/>
              <w:rPr>
                <w:sz w:val="20"/>
                <w:szCs w:val="20"/>
                <w:color w:val="auto"/>
              </w:rPr>
            </w:pPr>
            <w:r>
              <w:rPr>
                <w:rFonts w:ascii="Arial" w:cs="Arial" w:eastAsia="Arial" w:hAnsi="Arial"/>
                <w:sz w:val="9"/>
                <w:szCs w:val="9"/>
                <w:color w:val="auto"/>
              </w:rPr>
              <w:t>22.42</w:t>
            </w:r>
          </w:p>
        </w:tc>
      </w:tr>
      <w:tr>
        <w:trPr>
          <w:trHeight w:val="107"/>
        </w:trPr>
        <w:tc>
          <w:tcPr>
            <w:tcW w:w="20" w:type="dxa"/>
            <w:vAlign w:val="bottom"/>
          </w:tcPr>
          <w:p>
            <w:pPr>
              <w:spacing w:after="0"/>
              <w:rPr>
                <w:sz w:val="9"/>
                <w:szCs w:val="9"/>
                <w:color w:val="auto"/>
              </w:rPr>
            </w:pPr>
          </w:p>
        </w:tc>
        <w:tc>
          <w:tcPr>
            <w:tcW w:w="1700" w:type="dxa"/>
            <w:vAlign w:val="bottom"/>
            <w:tcBorders>
              <w:bottom w:val="single" w:sz="8" w:color="auto"/>
            </w:tcBorders>
          </w:tcPr>
          <w:p>
            <w:pPr>
              <w:jc w:val="center"/>
              <w:ind w:right="13"/>
              <w:spacing w:after="0" w:line="94" w:lineRule="exact"/>
              <w:rPr>
                <w:sz w:val="20"/>
                <w:szCs w:val="20"/>
                <w:color w:val="auto"/>
              </w:rPr>
            </w:pPr>
            <w:r>
              <w:rPr>
                <w:rFonts w:ascii="Arial" w:cs="Arial" w:eastAsia="Arial" w:hAnsi="Arial"/>
                <w:sz w:val="9"/>
                <w:szCs w:val="9"/>
                <w:color w:val="auto"/>
                <w:highlight w:val="black"/>
              </w:rPr>
              <w:t>47,905</w:t>
            </w:r>
          </w:p>
        </w:tc>
        <w:tc>
          <w:tcPr>
            <w:tcW w:w="1860" w:type="dxa"/>
            <w:vAlign w:val="bottom"/>
            <w:tcBorders>
              <w:bottom w:val="single" w:sz="8" w:color="auto"/>
            </w:tcBorders>
          </w:tcPr>
          <w:p>
            <w:pPr>
              <w:jc w:val="center"/>
              <w:ind w:left="33"/>
              <w:spacing w:after="0" w:line="94" w:lineRule="exact"/>
              <w:rPr>
                <w:sz w:val="20"/>
                <w:szCs w:val="20"/>
                <w:color w:val="auto"/>
              </w:rPr>
            </w:pPr>
            <w:r>
              <w:rPr>
                <w:rFonts w:ascii="Arial" w:cs="Arial" w:eastAsia="Arial" w:hAnsi="Arial"/>
                <w:sz w:val="9"/>
                <w:szCs w:val="9"/>
                <w:color w:val="auto"/>
                <w:highlight w:val="black"/>
              </w:rPr>
              <w:t>100%</w:t>
            </w:r>
          </w:p>
        </w:tc>
        <w:tc>
          <w:tcPr>
            <w:tcW w:w="1920" w:type="dxa"/>
            <w:vAlign w:val="bottom"/>
            <w:tcBorders>
              <w:bottom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100%</w:t>
            </w:r>
          </w:p>
        </w:tc>
        <w:tc>
          <w:tcPr>
            <w:tcW w:w="1720" w:type="dxa"/>
            <w:vAlign w:val="bottom"/>
            <w:tcBorders>
              <w:bottom w:val="single" w:sz="8" w:color="auto"/>
              <w:right w:val="single" w:sz="8" w:color="auto"/>
            </w:tcBorders>
          </w:tcPr>
          <w:p>
            <w:pPr>
              <w:jc w:val="center"/>
              <w:spacing w:after="0" w:line="94" w:lineRule="exact"/>
              <w:rPr>
                <w:sz w:val="20"/>
                <w:szCs w:val="20"/>
                <w:color w:val="auto"/>
              </w:rPr>
            </w:pPr>
            <w:r>
              <w:rPr>
                <w:rFonts w:ascii="Arial" w:cs="Arial" w:eastAsia="Arial" w:hAnsi="Arial"/>
                <w:sz w:val="9"/>
                <w:szCs w:val="9"/>
                <w:color w:val="auto"/>
                <w:highlight w:val="black"/>
              </w:rPr>
              <w:t>$26.13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-327660</wp:posOffset>
            </wp:positionV>
            <wp:extent cx="31115" cy="1060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115" cy="1060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-172720</wp:posOffset>
            </wp:positionV>
            <wp:extent cx="31115" cy="1860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-1153160</wp:posOffset>
            </wp:positionV>
            <wp:extent cx="76200" cy="666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00" cy="6667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2240" w:space="720"/>
            <w:col w:w="8340"/>
          </w:cols>
          <w:pgMar w:left="300" w:top="732" w:right="299" w:bottom="1440" w:gutter="0" w:footer="0" w:header="0"/>
        </w:sectPr>
      </w:pPr>
    </w:p>
    <w:p>
      <w:pPr>
        <w:ind w:left="1100"/>
        <w:spacing w:after="0"/>
        <w:rPr>
          <w:sz w:val="20"/>
          <w:szCs w:val="20"/>
          <w:color w:val="auto"/>
        </w:rPr>
      </w:pPr>
      <w:r>
        <w:rPr>
          <w:rFonts w:ascii="Arial" w:cs="Arial" w:eastAsia="Arial" w:hAnsi="Arial"/>
          <w:sz w:val="9"/>
          <w:szCs w:val="9"/>
          <w:color w:val="auto"/>
        </w:rPr>
        <w:t>Notes: Reflects commenced leases only. Does not account for contractual rent steps and assumes that no tenants exercise renewal options. Amounts may not foot due to rounding.</w:t>
      </w:r>
    </w:p>
    <w:p>
      <w:pPr>
        <w:spacing w:after="0" w:line="43" w:lineRule="exact"/>
        <w:rPr>
          <w:sz w:val="20"/>
          <w:szCs w:val="20"/>
          <w:color w:val="auto"/>
        </w:rPr>
      </w:pPr>
    </w:p>
    <w:p>
      <w:pPr>
        <w:ind w:left="1400" w:hanging="295"/>
        <w:spacing w:after="0"/>
        <w:tabs>
          <w:tab w:leader="none" w:pos="1400" w:val="left"/>
        </w:tabs>
        <w:numPr>
          <w:ilvl w:val="0"/>
          <w:numId w:val="53"/>
        </w:numPr>
        <w:rPr>
          <w:rFonts w:ascii="Arial" w:cs="Arial" w:eastAsia="Arial" w:hAnsi="Arial"/>
          <w:sz w:val="11"/>
          <w:szCs w:val="11"/>
          <w:color w:val="auto"/>
          <w:vertAlign w:val="superscript"/>
        </w:rPr>
      </w:pPr>
      <w:r>
        <w:rPr>
          <w:rFonts w:ascii="Arial" w:cs="Arial" w:eastAsia="Arial" w:hAnsi="Arial"/>
          <w:sz w:val="8"/>
          <w:szCs w:val="8"/>
          <w:color w:val="auto"/>
        </w:rPr>
        <w:t>Total Annual Base Rent ("ABR") excludes additional rent such as percentage rent, common area maintenance, real estate taxes, and insurance reimbursements. Represents Regency's consolidated and pro-rata share of real estate partnerships.</w:t>
      </w:r>
    </w:p>
    <w:p>
      <w:pPr>
        <w:spacing w:after="0" w:line="26" w:lineRule="exact"/>
        <w:rPr>
          <w:rFonts w:ascii="Arial" w:cs="Arial" w:eastAsia="Arial" w:hAnsi="Arial"/>
          <w:sz w:val="11"/>
          <w:szCs w:val="11"/>
          <w:color w:val="auto"/>
          <w:vertAlign w:val="superscript"/>
        </w:rPr>
      </w:pPr>
    </w:p>
    <w:p>
      <w:pPr>
        <w:ind w:left="1400" w:hanging="295"/>
        <w:spacing w:after="0" w:line="190" w:lineRule="auto"/>
        <w:tabs>
          <w:tab w:leader="none" w:pos="1400" w:val="left"/>
        </w:tabs>
        <w:numPr>
          <w:ilvl w:val="0"/>
          <w:numId w:val="53"/>
        </w:numPr>
        <w:rPr>
          <w:rFonts w:ascii="Arial" w:cs="Arial" w:eastAsia="Arial" w:hAnsi="Arial"/>
          <w:sz w:val="9"/>
          <w:szCs w:val="9"/>
          <w:color w:val="auto"/>
          <w:vertAlign w:val="superscript"/>
        </w:rPr>
      </w:pPr>
      <w:r>
        <w:rPr>
          <w:rFonts w:ascii="Arial" w:cs="Arial" w:eastAsia="Arial" w:hAnsi="Arial"/>
          <w:sz w:val="7"/>
          <w:szCs w:val="7"/>
          <w:color w:val="auto"/>
        </w:rPr>
        <w:t>Month to month lease or in process of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635</wp:posOffset>
            </wp:positionV>
            <wp:extent cx="287020" cy="154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type w:val="continuous"/>
        </w:sectPr>
      </w:pPr>
    </w:p>
    <w:bookmarkStart w:id="47" w:name="page48"/>
    <w:bookmarkEnd w:id="47"/>
    <w:tbl>
      <w:tblPr>
        <w:tblLayout w:type="fixed"/>
        <w:tblInd w:w="8"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7380" w:type="dxa"/>
            <w:vAlign w:val="bottom"/>
            <w:gridSpan w:val="2"/>
          </w:tcPr>
          <w:p>
            <w:pPr>
              <w:jc w:val="center"/>
              <w:ind w:right="3896"/>
              <w:spacing w:after="0"/>
              <w:rPr>
                <w:sz w:val="20"/>
                <w:szCs w:val="20"/>
                <w:color w:val="auto"/>
              </w:rPr>
            </w:pPr>
            <w:r>
              <w:rPr>
                <w:rFonts w:ascii="Arial" w:cs="Arial" w:eastAsia="Arial" w:hAnsi="Arial"/>
                <w:sz w:val="12"/>
                <w:szCs w:val="12"/>
                <w:color w:val="auto"/>
                <w:highlight w:val="black"/>
                <w:w w:val="98"/>
              </w:rPr>
              <w:t xml:space="preserve">Components </w:t>
            </w:r>
            <w:r>
              <w:rPr>
                <w:rFonts w:ascii="Arial" w:cs="Arial" w:eastAsia="Arial" w:hAnsi="Arial"/>
                <w:sz w:val="12"/>
                <w:szCs w:val="12"/>
                <w:color w:val="auto"/>
                <w:w w:val="98"/>
              </w:rPr>
              <w:t>of Net Asset Value (NAV)</w:t>
            </w:r>
          </w:p>
        </w:tc>
      </w:tr>
      <w:tr>
        <w:trPr>
          <w:trHeight w:val="145"/>
        </w:trPr>
        <w:tc>
          <w:tcPr>
            <w:tcW w:w="3920" w:type="dxa"/>
            <w:vAlign w:val="bottom"/>
          </w:tcPr>
          <w:p>
            <w:pPr>
              <w:spacing w:after="0"/>
              <w:rPr>
                <w:sz w:val="12"/>
                <w:szCs w:val="12"/>
                <w:color w:val="auto"/>
              </w:rPr>
            </w:pPr>
          </w:p>
        </w:tc>
        <w:tc>
          <w:tcPr>
            <w:tcW w:w="7380" w:type="dxa"/>
            <w:vAlign w:val="bottom"/>
            <w:gridSpan w:val="2"/>
          </w:tcPr>
          <w:p>
            <w:pPr>
              <w:jc w:val="center"/>
              <w:ind w:right="3876"/>
              <w:spacing w:after="0"/>
              <w:rPr>
                <w:sz w:val="20"/>
                <w:szCs w:val="20"/>
                <w:color w:val="auto"/>
              </w:rPr>
            </w:pPr>
            <w:r>
              <w:rPr>
                <w:rFonts w:ascii="Arial" w:cs="Arial" w:eastAsia="Arial" w:hAnsi="Arial"/>
                <w:sz w:val="12"/>
                <w:szCs w:val="12"/>
                <w:color w:val="auto"/>
                <w:w w:val="99"/>
              </w:rPr>
              <w:t>As of March 31, 2026</w:t>
            </w:r>
          </w:p>
        </w:tc>
      </w:tr>
      <w:tr>
        <w:trPr>
          <w:trHeight w:val="145"/>
        </w:trPr>
        <w:tc>
          <w:tcPr>
            <w:tcW w:w="3920" w:type="dxa"/>
            <w:vAlign w:val="bottom"/>
          </w:tcPr>
          <w:p>
            <w:pPr>
              <w:spacing w:after="0"/>
              <w:rPr>
                <w:sz w:val="12"/>
                <w:szCs w:val="12"/>
                <w:color w:val="auto"/>
              </w:rPr>
            </w:pPr>
          </w:p>
        </w:tc>
        <w:tc>
          <w:tcPr>
            <w:tcW w:w="7380" w:type="dxa"/>
            <w:vAlign w:val="bottom"/>
            <w:gridSpan w:val="2"/>
          </w:tcPr>
          <w:p>
            <w:pPr>
              <w:jc w:val="center"/>
              <w:ind w:right="3896"/>
              <w:spacing w:after="0"/>
              <w:rPr>
                <w:sz w:val="20"/>
                <w:szCs w:val="20"/>
                <w:color w:val="auto"/>
              </w:rPr>
            </w:pPr>
            <w:r>
              <w:rPr>
                <w:rFonts w:ascii="Arial" w:cs="Arial" w:eastAsia="Arial" w:hAnsi="Arial"/>
                <w:sz w:val="12"/>
                <w:szCs w:val="12"/>
                <w:color w:val="auto"/>
              </w:rPr>
              <w:t>(unaudited and in thousands)</w:t>
            </w:r>
          </w:p>
        </w:tc>
      </w:tr>
      <w:tr>
        <w:trPr>
          <w:trHeight w:val="201"/>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Current Quarter Net Operating Income (NOI)</w:t>
            </w:r>
          </w:p>
        </w:tc>
        <w:tc>
          <w:tcPr>
            <w:tcW w:w="7380" w:type="dxa"/>
            <w:vAlign w:val="bottom"/>
            <w:tcBorders>
              <w:bottom w:val="single" w:sz="8" w:color="auto"/>
            </w:tcBorders>
            <w:gridSpan w:val="2"/>
          </w:tcPr>
          <w:p>
            <w:pPr>
              <w:jc w:val="right"/>
              <w:ind w:right="1296"/>
              <w:spacing w:after="0"/>
              <w:rPr>
                <w:sz w:val="20"/>
                <w:szCs w:val="20"/>
                <w:color w:val="auto"/>
              </w:rPr>
            </w:pPr>
            <w:r>
              <w:rPr>
                <w:rFonts w:ascii="Arial" w:cs="Arial" w:eastAsia="Arial" w:hAnsi="Arial"/>
                <w:sz w:val="9"/>
                <w:szCs w:val="9"/>
                <w:color w:val="auto"/>
              </w:rPr>
              <w:t>Three Months Ended 3/31/2026</w:t>
            </w: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Consolidated NOI (page 6)</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$271,583</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Share of Unconsolidated JV NOI (page 7)</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$26,980</w:t>
            </w:r>
          </w:p>
        </w:tc>
      </w:tr>
      <w:tr>
        <w:trPr>
          <w:trHeight w:val="108"/>
        </w:trPr>
        <w:tc>
          <w:tcPr>
            <w:tcW w:w="3920" w:type="dxa"/>
            <w:vAlign w:val="bottom"/>
          </w:tcPr>
          <w:p>
            <w:pPr>
              <w:ind w:left="140"/>
              <w:spacing w:after="0"/>
              <w:rPr>
                <w:sz w:val="20"/>
                <w:szCs w:val="20"/>
                <w:color w:val="auto"/>
              </w:rPr>
            </w:pPr>
            <w:r>
              <w:rPr>
                <w:rFonts w:ascii="Arial" w:cs="Arial" w:eastAsia="Arial" w:hAnsi="Arial"/>
                <w:sz w:val="9"/>
                <w:szCs w:val="9"/>
                <w:color w:val="auto"/>
              </w:rPr>
              <w:t>Less: Noncontrolling Interests (page 7)</w:t>
            </w:r>
          </w:p>
        </w:tc>
        <w:tc>
          <w:tcPr>
            <w:tcW w:w="4780" w:type="dxa"/>
            <w:vAlign w:val="bottom"/>
          </w:tcPr>
          <w:p>
            <w:pPr>
              <w:spacing w:after="0"/>
              <w:rPr>
                <w:sz w:val="9"/>
                <w:szCs w:val="9"/>
                <w:color w:val="auto"/>
              </w:rPr>
            </w:pPr>
          </w:p>
        </w:tc>
        <w:tc>
          <w:tcPr>
            <w:tcW w:w="260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($2,169)</w:t>
            </w: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highlight w:val="black"/>
              </w:rPr>
              <w:t>NOI</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highlight w:val="black"/>
              </w:rPr>
              <w:t>$296,394</w:t>
            </w:r>
          </w:p>
        </w:tc>
      </w:tr>
      <w:tr>
        <w:trPr>
          <w:trHeight w:val="216"/>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Current Quarter Fee Income</w:t>
            </w:r>
          </w:p>
        </w:tc>
        <w:tc>
          <w:tcPr>
            <w:tcW w:w="47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Third-Party Management Fees and Commissions (page 6)</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$6,933</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Less: Unconsolidated JV share of Fee Income (page 7)</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($281)</w:t>
            </w:r>
          </w:p>
        </w:tc>
      </w:tr>
      <w:tr>
        <w:trPr>
          <w:trHeight w:val="325"/>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Quarterly Base Rent From Leases Signed But Not Yet Commenced (page 20)</w:t>
            </w:r>
          </w:p>
        </w:tc>
        <w:tc>
          <w:tcPr>
            <w:tcW w:w="4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Retail Operating Properties Excluding In-Process Redevelopments (Quarterly)</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$8,206</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Retail Operating Properties Including In-Process Redevelopments (Quarterly)</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$10,562</w:t>
            </w:r>
          </w:p>
        </w:tc>
      </w:tr>
      <w:tr>
        <w:trPr>
          <w:trHeight w:val="325"/>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In-Process Ground-Up Developments (page 17)</w:t>
            </w:r>
          </w:p>
        </w:tc>
        <w:tc>
          <w:tcPr>
            <w:tcW w:w="4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REG's Estimated Net Project Costs</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$338,000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 of Costs Incurred</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42%</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Construction in Progress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highlight w:val="black"/>
              </w:rPr>
              <w:t>$141,960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Estimated Stabilized Yield</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7%</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Annualized Proforma Stabilized NOI</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highlight w:val="black"/>
              </w:rPr>
              <w:t>$23,660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Current Quarter In-Place NOI from In-Process Projects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$724</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Current Quarter In-Place NOI from YTD Completions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$628</w:t>
            </w:r>
          </w:p>
        </w:tc>
      </w:tr>
      <w:tr>
        <w:trPr>
          <w:trHeight w:val="325"/>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In-Process Redevelopments (page 17)</w:t>
            </w:r>
          </w:p>
        </w:tc>
        <w:tc>
          <w:tcPr>
            <w:tcW w:w="4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REG's Estimated Net Project Costs</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$297,000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 of Costs Incurred</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50%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Construction in Progress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highlight w:val="black"/>
              </w:rPr>
              <w:t>$148,500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Estimated Stabilized Yield</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10%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Annualized Proforma Stabilized NOI</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highlight w:val="black"/>
              </w:rPr>
              <w:t>$29,700</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Current Quarter In-Place NOI from In-Process Projects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$244</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Current Quarter In-Place NOI from YTD Completions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$154</w:t>
            </w:r>
          </w:p>
        </w:tc>
      </w:tr>
      <w:tr>
        <w:trPr>
          <w:trHeight w:val="325"/>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Estimated Market Value of Land</w:t>
            </w:r>
          </w:p>
        </w:tc>
        <w:tc>
          <w:tcPr>
            <w:tcW w:w="4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Land held for sale or future development</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$12,036</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Vacant outparcels at retail operating properties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$5,741</w:t>
            </w:r>
          </w:p>
        </w:tc>
      </w:tr>
      <w:tr>
        <w:trPr>
          <w:trHeight w:val="325"/>
        </w:trPr>
        <w:tc>
          <w:tcPr>
            <w:tcW w:w="3920" w:type="dxa"/>
            <w:vAlign w:val="bottom"/>
            <w:tcBorders>
              <w:bottom w:val="single" w:sz="8" w:color="auto"/>
            </w:tcBorders>
          </w:tcPr>
          <w:p>
            <w:pPr>
              <w:spacing w:after="0"/>
              <w:rPr>
                <w:sz w:val="20"/>
                <w:szCs w:val="20"/>
                <w:color w:val="auto"/>
              </w:rPr>
            </w:pPr>
            <w:r>
              <w:rPr>
                <w:rFonts w:ascii="Arial" w:cs="Arial" w:eastAsia="Arial" w:hAnsi="Arial"/>
                <w:sz w:val="9"/>
                <w:szCs w:val="9"/>
                <w:color w:val="auto"/>
              </w:rPr>
              <w:t xml:space="preserve">Other Balance Sheet Items (pages 3-4) </w:t>
            </w:r>
            <w:r>
              <w:rPr>
                <w:rFonts w:ascii="Arial" w:cs="Arial" w:eastAsia="Arial" w:hAnsi="Arial"/>
                <w:sz w:val="11"/>
                <w:szCs w:val="11"/>
                <w:color w:val="auto"/>
                <w:vertAlign w:val="superscript"/>
              </w:rPr>
              <w:t>(1)</w:t>
            </w:r>
          </w:p>
        </w:tc>
        <w:tc>
          <w:tcPr>
            <w:tcW w:w="47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r>
        <w:trPr>
          <w:trHeight w:val="98"/>
        </w:trPr>
        <w:tc>
          <w:tcPr>
            <w:tcW w:w="3920" w:type="dxa"/>
            <w:vAlign w:val="bottom"/>
          </w:tcPr>
          <w:p>
            <w:pPr>
              <w:ind w:left="140"/>
              <w:spacing w:after="0" w:line="98" w:lineRule="exact"/>
              <w:rPr>
                <w:sz w:val="20"/>
                <w:szCs w:val="20"/>
                <w:color w:val="auto"/>
              </w:rPr>
            </w:pPr>
            <w:r>
              <w:rPr>
                <w:rFonts w:ascii="Arial" w:cs="Arial" w:eastAsia="Arial" w:hAnsi="Arial"/>
                <w:sz w:val="9"/>
                <w:szCs w:val="9"/>
                <w:color w:val="auto"/>
              </w:rPr>
              <w:t>Cash and Cash Equivalents</w:t>
            </w:r>
          </w:p>
        </w:tc>
        <w:tc>
          <w:tcPr>
            <w:tcW w:w="7380" w:type="dxa"/>
            <w:vAlign w:val="bottom"/>
            <w:gridSpan w:val="2"/>
          </w:tcPr>
          <w:p>
            <w:pPr>
              <w:jc w:val="right"/>
              <w:spacing w:after="0" w:line="98" w:lineRule="exact"/>
              <w:rPr>
                <w:sz w:val="20"/>
                <w:szCs w:val="20"/>
                <w:color w:val="auto"/>
              </w:rPr>
            </w:pPr>
            <w:r>
              <w:rPr>
                <w:rFonts w:ascii="Arial" w:cs="Arial" w:eastAsia="Arial" w:hAnsi="Arial"/>
                <w:sz w:val="9"/>
                <w:szCs w:val="9"/>
                <w:color w:val="auto"/>
              </w:rPr>
              <w:t>$117,089</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Tenant and other receivables, excluding Straight line rent receivables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$82,446</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Other Assets, excluding Goodwill</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$155,054</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Notes payable</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($5,517,123)</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Accounts payable and other liabilities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($221,115)</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Tenants' security, escrow deposits</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($87,201)</w:t>
            </w:r>
          </w:p>
        </w:tc>
      </w:tr>
      <w:tr>
        <w:trPr>
          <w:trHeight w:val="109"/>
        </w:trPr>
        <w:tc>
          <w:tcPr>
            <w:tcW w:w="3920" w:type="dxa"/>
            <w:vAlign w:val="bottom"/>
          </w:tcPr>
          <w:p>
            <w:pPr>
              <w:ind w:left="140"/>
              <w:spacing w:after="0"/>
              <w:rPr>
                <w:sz w:val="20"/>
                <w:szCs w:val="20"/>
                <w:color w:val="auto"/>
              </w:rPr>
            </w:pPr>
            <w:r>
              <w:rPr>
                <w:rFonts w:ascii="Arial" w:cs="Arial" w:eastAsia="Arial" w:hAnsi="Arial"/>
                <w:sz w:val="9"/>
                <w:szCs w:val="9"/>
                <w:color w:val="auto"/>
              </w:rPr>
              <w:t>Preferred Stock</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($225,000)</w:t>
            </w:r>
          </w:p>
        </w:tc>
      </w:tr>
      <w:tr>
        <w:trPr>
          <w:trHeight w:val="326"/>
        </w:trPr>
        <w:tc>
          <w:tcPr>
            <w:tcW w:w="3920" w:type="dxa"/>
            <w:vAlign w:val="bottom"/>
          </w:tcPr>
          <w:p>
            <w:pPr>
              <w:spacing w:after="0"/>
              <w:rPr>
                <w:sz w:val="20"/>
                <w:szCs w:val="20"/>
                <w:color w:val="auto"/>
              </w:rPr>
            </w:pPr>
            <w:r>
              <w:rPr>
                <w:rFonts w:ascii="Arial" w:cs="Arial" w:eastAsia="Arial" w:hAnsi="Arial"/>
                <w:sz w:val="9"/>
                <w:szCs w:val="9"/>
                <w:color w:val="auto"/>
              </w:rPr>
              <w:t>Common Shares and Equivalents Outstanding (page 1)</w:t>
            </w:r>
          </w:p>
        </w:tc>
        <w:tc>
          <w:tcPr>
            <w:tcW w:w="7380" w:type="dxa"/>
            <w:vAlign w:val="bottom"/>
            <w:gridSpan w:val="2"/>
          </w:tcPr>
          <w:p>
            <w:pPr>
              <w:jc w:val="right"/>
              <w:spacing w:after="0"/>
              <w:rPr>
                <w:sz w:val="20"/>
                <w:szCs w:val="20"/>
                <w:color w:val="auto"/>
              </w:rPr>
            </w:pPr>
            <w:r>
              <w:rPr>
                <w:rFonts w:ascii="Arial" w:cs="Arial" w:eastAsia="Arial" w:hAnsi="Arial"/>
                <w:sz w:val="9"/>
                <w:szCs w:val="9"/>
                <w:color w:val="auto"/>
              </w:rPr>
              <w:t>186,926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-778510</wp:posOffset>
            </wp:positionV>
            <wp:extent cx="73025" cy="641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25" cy="64135"/>
                    </a:xfrm>
                    <a:prstGeom prst="rect">
                      <a:avLst/>
                    </a:prstGeom>
                    <a:noFill/>
                  </pic:spPr>
                </pic:pic>
              </a:graphicData>
            </a:graphic>
          </wp:anchor>
        </w:drawing>
      </w:r>
    </w:p>
    <w:p>
      <w:pPr>
        <w:spacing w:after="0" w:line="131" w:lineRule="exact"/>
        <w:rPr>
          <w:sz w:val="20"/>
          <w:szCs w:val="20"/>
          <w:color w:val="auto"/>
        </w:rPr>
      </w:pPr>
    </w:p>
    <w:p>
      <w:pPr>
        <w:ind w:left="8" w:right="280"/>
        <w:spacing w:after="0" w:line="261" w:lineRule="auto"/>
        <w:rPr>
          <w:sz w:val="20"/>
          <w:szCs w:val="20"/>
          <w:color w:val="auto"/>
        </w:rPr>
      </w:pPr>
      <w:r>
        <w:rPr>
          <w:rFonts w:ascii="Arial" w:cs="Arial" w:eastAsia="Arial" w:hAnsi="Arial"/>
          <w:sz w:val="9"/>
          <w:szCs w:val="9"/>
          <w:color w:val="auto"/>
        </w:rPr>
        <w:t>Note: While we disclose components of our business that are relevant in calculating NAV for our Company, each individual investor must determine the specific methodology and assumptions used to calculate an estimated NAV. The components of NAV do not consider potential changes in our portfolio. The components include non-GAAP financial measures, such as NOI. Although these measures are not presented in accordance with GAAP, investors can use these non-GAAP financial measures as supplemental information to evaluate our business. Investors should refer to the non-GAAP reconciliation on page 8 for a reconciliation of NOI to its most directly comparable GAAP financial measure.</w:t>
      </w:r>
    </w:p>
    <w:p>
      <w:pPr>
        <w:spacing w:after="0" w:line="113" w:lineRule="exact"/>
        <w:rPr>
          <w:sz w:val="20"/>
          <w:szCs w:val="20"/>
          <w:color w:val="auto"/>
        </w:rPr>
      </w:pPr>
    </w:p>
    <w:p>
      <w:pPr>
        <w:ind w:left="308" w:hanging="308"/>
        <w:spacing w:after="0"/>
        <w:tabs>
          <w:tab w:leader="none" w:pos="308" w:val="left"/>
        </w:tabs>
        <w:numPr>
          <w:ilvl w:val="0"/>
          <w:numId w:val="54"/>
        </w:numPr>
        <w:rPr>
          <w:rFonts w:ascii="Arial" w:cs="Arial" w:eastAsia="Arial" w:hAnsi="Arial"/>
          <w:sz w:val="13"/>
          <w:szCs w:val="13"/>
          <w:color w:val="auto"/>
          <w:vertAlign w:val="superscript"/>
        </w:rPr>
      </w:pPr>
      <w:r>
        <w:rPr>
          <w:rFonts w:ascii="Arial" w:cs="Arial" w:eastAsia="Arial" w:hAnsi="Arial"/>
          <w:sz w:val="9"/>
          <w:szCs w:val="9"/>
          <w:color w:val="auto"/>
        </w:rPr>
        <w:t>Figures represent Regency's consolidated entities net of noncontrolling interests, plus its share of unconsolidated real estate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-635</wp:posOffset>
            </wp:positionV>
            <wp:extent cx="287020" cy="154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bookmarkStart w:id="48" w:name="page49"/>
    <w:bookmarkEnd w:id="48"/>
    <w:p>
      <w:pPr>
        <w:jc w:val="center"/>
        <w:ind w:right="12"/>
        <w:spacing w:after="0"/>
        <w:rPr>
          <w:sz w:val="20"/>
          <w:szCs w:val="20"/>
          <w:color w:val="auto"/>
        </w:rPr>
      </w:pPr>
      <w:r>
        <w:rPr>
          <w:rFonts w:ascii="Arial" w:cs="Arial" w:eastAsia="Arial" w:hAnsi="Arial"/>
          <w:sz w:val="12"/>
          <w:szCs w:val="12"/>
          <w:color w:val="auto"/>
          <w:highlight w:val="black"/>
        </w:rPr>
        <w:t>2026 Earnings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275590</wp:posOffset>
            </wp:positionV>
            <wp:extent cx="31115" cy="1860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186055"/>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275590</wp:posOffset>
            </wp:positionV>
            <wp:extent cx="1161415" cy="1860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61415" cy="1860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28"/>
        </w:trPr>
        <w:tc>
          <w:tcPr>
            <w:tcW w:w="4580" w:type="dxa"/>
            <w:vAlign w:val="bottom"/>
            <w:vMerge w:val="restart"/>
          </w:tcPr>
          <w:p>
            <w:pPr>
              <w:spacing w:after="0"/>
              <w:rPr>
                <w:sz w:val="20"/>
                <w:szCs w:val="20"/>
                <w:color w:val="auto"/>
              </w:rPr>
            </w:pPr>
            <w:r>
              <w:rPr>
                <w:rFonts w:ascii="Arial" w:cs="Arial" w:eastAsia="Arial" w:hAnsi="Arial"/>
                <w:sz w:val="11"/>
                <w:szCs w:val="11"/>
                <w:color w:val="auto"/>
              </w:rPr>
              <w:t xml:space="preserve">Full Year 2026 Guidance </w:t>
            </w:r>
            <w:r>
              <w:rPr>
                <w:rFonts w:ascii="Arial" w:cs="Arial" w:eastAsia="Arial" w:hAnsi="Arial"/>
                <w:sz w:val="8"/>
                <w:szCs w:val="8"/>
                <w:color w:val="auto"/>
              </w:rPr>
              <w:t>(in thousands, except per share data)</w:t>
            </w:r>
          </w:p>
        </w:tc>
        <w:tc>
          <w:tcPr>
            <w:tcW w:w="3120" w:type="dxa"/>
            <w:vAlign w:val="bottom"/>
            <w:vMerge w:val="restart"/>
          </w:tcPr>
          <w:p>
            <w:pPr>
              <w:ind w:left="1960"/>
              <w:spacing w:after="0"/>
              <w:rPr>
                <w:sz w:val="20"/>
                <w:szCs w:val="20"/>
                <w:color w:val="auto"/>
              </w:rPr>
            </w:pPr>
            <w:r>
              <w:rPr>
                <w:rFonts w:ascii="Arial" w:cs="Arial" w:eastAsia="Arial" w:hAnsi="Arial"/>
                <w:sz w:val="9"/>
                <w:szCs w:val="9"/>
                <w:color w:val="auto"/>
                <w:highlight w:val="black"/>
              </w:rPr>
              <w:t>YTD Actual</w:t>
            </w:r>
          </w:p>
        </w:tc>
        <w:tc>
          <w:tcPr>
            <w:tcW w:w="1800" w:type="dxa"/>
            <w:vAlign w:val="bottom"/>
            <w:tcBorders>
              <w:right w:val="single" w:sz="8" w:color="808080"/>
            </w:tcBorders>
            <w:shd w:val="clear" w:color="auto" w:fill="808080"/>
          </w:tcPr>
          <w:p>
            <w:pPr>
              <w:jc w:val="center"/>
              <w:spacing w:after="0"/>
              <w:rPr>
                <w:sz w:val="20"/>
                <w:szCs w:val="20"/>
                <w:color w:val="auto"/>
              </w:rPr>
            </w:pPr>
            <w:r>
              <w:rPr>
                <w:rFonts w:ascii="Arial" w:cs="Arial" w:eastAsia="Arial" w:hAnsi="Arial"/>
                <w:sz w:val="9"/>
                <w:szCs w:val="9"/>
                <w:color w:val="auto"/>
                <w:highlight w:val="white"/>
              </w:rPr>
              <w:t>Current</w:t>
            </w:r>
          </w:p>
        </w:tc>
        <w:tc>
          <w:tcPr>
            <w:tcW w:w="1800" w:type="dxa"/>
            <w:vAlign w:val="bottom"/>
          </w:tcPr>
          <w:p>
            <w:pPr>
              <w:jc w:val="center"/>
              <w:spacing w:after="0"/>
              <w:rPr>
                <w:sz w:val="20"/>
                <w:szCs w:val="20"/>
                <w:color w:val="auto"/>
              </w:rPr>
            </w:pPr>
            <w:r>
              <w:rPr>
                <w:rFonts w:ascii="Arial" w:cs="Arial" w:eastAsia="Arial" w:hAnsi="Arial"/>
                <w:sz w:val="9"/>
                <w:szCs w:val="9"/>
                <w:color w:val="auto"/>
                <w:highlight w:val="black"/>
              </w:rPr>
              <w:t>Prior</w:t>
            </w:r>
          </w:p>
        </w:tc>
        <w:tc>
          <w:tcPr>
            <w:tcW w:w="0" w:type="dxa"/>
            <w:vAlign w:val="bottom"/>
          </w:tcPr>
          <w:p>
            <w:pPr>
              <w:spacing w:after="0"/>
              <w:rPr>
                <w:sz w:val="1"/>
                <w:szCs w:val="1"/>
                <w:color w:val="auto"/>
              </w:rPr>
            </w:pPr>
          </w:p>
        </w:tc>
      </w:tr>
      <w:tr>
        <w:trPr>
          <w:trHeight w:val="57"/>
        </w:trPr>
        <w:tc>
          <w:tcPr>
            <w:tcW w:w="4580" w:type="dxa"/>
            <w:vAlign w:val="bottom"/>
            <w:vMerge w:val="continue"/>
          </w:tcPr>
          <w:p>
            <w:pPr>
              <w:spacing w:after="0"/>
              <w:rPr>
                <w:sz w:val="4"/>
                <w:szCs w:val="4"/>
                <w:color w:val="auto"/>
              </w:rPr>
            </w:pPr>
          </w:p>
        </w:tc>
        <w:tc>
          <w:tcPr>
            <w:tcW w:w="3120" w:type="dxa"/>
            <w:vAlign w:val="bottom"/>
            <w:vMerge w:val="continue"/>
          </w:tcPr>
          <w:p>
            <w:pPr>
              <w:spacing w:after="0"/>
              <w:rPr>
                <w:sz w:val="4"/>
                <w:szCs w:val="4"/>
                <w:color w:val="auto"/>
              </w:rPr>
            </w:pPr>
          </w:p>
        </w:tc>
        <w:tc>
          <w:tcPr>
            <w:tcW w:w="1800" w:type="dxa"/>
            <w:vAlign w:val="bottom"/>
            <w:tcBorders>
              <w:right w:val="single" w:sz="8" w:color="808080"/>
            </w:tcBorders>
            <w:vMerge w:val="restart"/>
            <w:shd w:val="clear" w:color="auto" w:fill="808080"/>
          </w:tcPr>
          <w:p>
            <w:pPr>
              <w:jc w:val="center"/>
              <w:spacing w:after="0" w:line="96" w:lineRule="exact"/>
              <w:rPr>
                <w:sz w:val="20"/>
                <w:szCs w:val="20"/>
                <w:color w:val="auto"/>
              </w:rPr>
            </w:pPr>
            <w:r>
              <w:rPr>
                <w:rFonts w:ascii="Arial" w:cs="Arial" w:eastAsia="Arial" w:hAnsi="Arial"/>
                <w:sz w:val="9"/>
                <w:szCs w:val="9"/>
                <w:color w:val="auto"/>
                <w:highlight w:val="white"/>
              </w:rPr>
              <w:t>2026 Guidance</w:t>
            </w:r>
          </w:p>
        </w:tc>
        <w:tc>
          <w:tcPr>
            <w:tcW w:w="1800" w:type="dxa"/>
            <w:vAlign w:val="bottom"/>
            <w:vMerge w:val="restart"/>
          </w:tcPr>
          <w:p>
            <w:pPr>
              <w:jc w:val="center"/>
              <w:spacing w:after="0" w:line="96" w:lineRule="exact"/>
              <w:rPr>
                <w:sz w:val="20"/>
                <w:szCs w:val="20"/>
                <w:color w:val="auto"/>
              </w:rPr>
            </w:pPr>
            <w:r>
              <w:rPr>
                <w:rFonts w:ascii="Arial" w:cs="Arial" w:eastAsia="Arial" w:hAnsi="Arial"/>
                <w:sz w:val="9"/>
                <w:szCs w:val="9"/>
                <w:color w:val="auto"/>
                <w:highlight w:val="black"/>
              </w:rPr>
              <w:t>2026 Guidance</w:t>
            </w:r>
          </w:p>
        </w:tc>
        <w:tc>
          <w:tcPr>
            <w:tcW w:w="0" w:type="dxa"/>
            <w:vAlign w:val="bottom"/>
          </w:tcPr>
          <w:p>
            <w:pPr>
              <w:spacing w:after="0"/>
              <w:rPr>
                <w:sz w:val="1"/>
                <w:szCs w:val="1"/>
                <w:color w:val="auto"/>
              </w:rPr>
            </w:pPr>
          </w:p>
        </w:tc>
      </w:tr>
      <w:tr>
        <w:trPr>
          <w:trHeight w:val="59"/>
        </w:trPr>
        <w:tc>
          <w:tcPr>
            <w:tcW w:w="4580" w:type="dxa"/>
            <w:vAlign w:val="bottom"/>
            <w:tcBorders>
              <w:bottom w:val="single" w:sz="8" w:color="BFBFBF"/>
            </w:tcBorders>
          </w:tcPr>
          <w:p>
            <w:pPr>
              <w:spacing w:after="0"/>
              <w:rPr>
                <w:sz w:val="5"/>
                <w:szCs w:val="5"/>
                <w:color w:val="auto"/>
              </w:rPr>
            </w:pPr>
          </w:p>
        </w:tc>
        <w:tc>
          <w:tcPr>
            <w:tcW w:w="3120" w:type="dxa"/>
            <w:vAlign w:val="bottom"/>
            <w:tcBorders>
              <w:bottom w:val="single" w:sz="8" w:color="BFBFBF"/>
            </w:tcBorders>
          </w:tcPr>
          <w:p>
            <w:pPr>
              <w:spacing w:after="0"/>
              <w:rPr>
                <w:sz w:val="5"/>
                <w:szCs w:val="5"/>
                <w:color w:val="auto"/>
              </w:rPr>
            </w:pPr>
          </w:p>
        </w:tc>
        <w:tc>
          <w:tcPr>
            <w:tcW w:w="1800" w:type="dxa"/>
            <w:vAlign w:val="bottom"/>
            <w:tcBorders>
              <w:bottom w:val="single" w:sz="8" w:color="BFBFBF"/>
              <w:right w:val="single" w:sz="8" w:color="808080"/>
            </w:tcBorders>
            <w:vMerge w:val="continue"/>
            <w:shd w:val="clear" w:color="auto" w:fill="808080"/>
          </w:tcPr>
          <w:p>
            <w:pPr>
              <w:spacing w:after="0"/>
              <w:rPr>
                <w:sz w:val="5"/>
                <w:szCs w:val="5"/>
                <w:color w:val="auto"/>
              </w:rPr>
            </w:pPr>
          </w:p>
        </w:tc>
        <w:tc>
          <w:tcPr>
            <w:tcW w:w="1800" w:type="dxa"/>
            <w:vAlign w:val="bottom"/>
            <w:tcBorders>
              <w:bottom w:val="single" w:sz="8" w:color="BFBFB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Net Income Attributable to Common Shareholders per diluted share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$0.68</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$2.45 - $2.49</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$2.35 - $2.39</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Nareit Funds From Operations (“Nareit FFO”) per diluted share</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w w:val="99"/>
              </w:rPr>
              <w:t>$1.20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$4.83 - $4.87</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$4.83 - $4.87</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line="134" w:lineRule="exact"/>
              <w:rPr>
                <w:sz w:val="20"/>
                <w:szCs w:val="20"/>
                <w:color w:val="auto"/>
              </w:rPr>
            </w:pPr>
            <w:r>
              <w:rPr>
                <w:rFonts w:ascii="Arial" w:cs="Arial" w:eastAsia="Arial" w:hAnsi="Arial"/>
                <w:sz w:val="8"/>
                <w:szCs w:val="8"/>
                <w:color w:val="auto"/>
              </w:rPr>
              <w:t>Core Operating Earnings per diluted share</w:t>
            </w:r>
            <w:r>
              <w:rPr>
                <w:rFonts w:ascii="Arial" w:cs="Arial" w:eastAsia="Arial" w:hAnsi="Arial"/>
                <w:sz w:val="12"/>
                <w:szCs w:val="12"/>
                <w:color w:val="auto"/>
                <w:vertAlign w:val="superscript"/>
              </w:rPr>
              <w:t>(1)</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99"/>
              </w:rPr>
              <w:t>$1.16</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$4.59 - $4.63</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Same property NOI growth</w:t>
            </w:r>
          </w:p>
        </w:tc>
        <w:tc>
          <w:tcPr>
            <w:tcW w:w="3120" w:type="dxa"/>
            <w:vAlign w:val="bottom"/>
            <w:tcBorders>
              <w:top w:val="single" w:sz="8" w:color="BFBFBF"/>
              <w:right w:val="single" w:sz="8" w:color="808080"/>
            </w:tcBorders>
          </w:tcPr>
          <w:p>
            <w:pPr>
              <w:jc w:val="center"/>
              <w:ind w:left="1238"/>
              <w:spacing w:after="0"/>
              <w:rPr>
                <w:sz w:val="20"/>
                <w:szCs w:val="20"/>
                <w:color w:val="auto"/>
              </w:rPr>
            </w:pPr>
            <w:r>
              <w:rPr>
                <w:rFonts w:ascii="Arial" w:cs="Arial" w:eastAsia="Arial" w:hAnsi="Arial"/>
                <w:sz w:val="8"/>
                <w:szCs w:val="8"/>
                <w:color w:val="auto"/>
              </w:rPr>
              <w:t>4.4%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+3.25% to +3.75%</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+3.25% to +3.75%</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Non-cash revenues</w:t>
            </w:r>
            <w:r>
              <w:rPr>
                <w:rFonts w:ascii="Arial" w:cs="Arial" w:eastAsia="Arial" w:hAnsi="Arial"/>
                <w:sz w:val="11"/>
                <w:szCs w:val="11"/>
                <w:color w:val="auto"/>
                <w:vertAlign w:val="superscript"/>
              </w:rPr>
              <w:t>(2)</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$9,693</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+/-$51,000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 $51,000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G&amp;A expense, net</w:t>
            </w:r>
            <w:r>
              <w:rPr>
                <w:rFonts w:ascii="Arial" w:cs="Arial" w:eastAsia="Arial" w:hAnsi="Arial"/>
                <w:sz w:val="11"/>
                <w:szCs w:val="11"/>
                <w:color w:val="auto"/>
                <w:vertAlign w:val="superscript"/>
              </w:rPr>
              <w:t>(3)</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$24,894</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$96,000-$100,000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$96,000-$100,000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Interest expense, net and Preferred stock dividends</w:t>
            </w:r>
            <w:r>
              <w:rPr>
                <w:rFonts w:ascii="Arial" w:cs="Arial" w:eastAsia="Arial" w:hAnsi="Arial"/>
                <w:sz w:val="11"/>
                <w:szCs w:val="11"/>
                <w:color w:val="auto"/>
                <w:vertAlign w:val="superscript"/>
              </w:rPr>
              <w:t>(4)</w:t>
            </w:r>
          </w:p>
        </w:tc>
        <w:tc>
          <w:tcPr>
            <w:tcW w:w="3120" w:type="dxa"/>
            <w:vAlign w:val="bottom"/>
            <w:tcBorders>
              <w:bottom w:val="single" w:sz="8" w:color="F2F2F2"/>
              <w:right w:val="single" w:sz="8" w:color="808080"/>
            </w:tcBorders>
            <w:shd w:val="clear" w:color="auto" w:fill="F2F2F2"/>
          </w:tcPr>
          <w:p>
            <w:pPr>
              <w:jc w:val="center"/>
              <w:ind w:left="1258"/>
              <w:spacing w:after="0"/>
              <w:rPr>
                <w:sz w:val="20"/>
                <w:szCs w:val="20"/>
                <w:color w:val="auto"/>
              </w:rPr>
            </w:pPr>
            <w:r>
              <w:rPr>
                <w:rFonts w:ascii="Arial" w:cs="Arial" w:eastAsia="Arial" w:hAnsi="Arial"/>
                <w:sz w:val="8"/>
                <w:szCs w:val="8"/>
                <w:color w:val="auto"/>
              </w:rPr>
              <w:t>$60,962</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$250,000-$252,000</w:t>
            </w:r>
          </w:p>
        </w:tc>
        <w:tc>
          <w:tcPr>
            <w:tcW w:w="0" w:type="dxa"/>
            <w:vAlign w:val="bottom"/>
          </w:tcPr>
          <w:p>
            <w:pPr>
              <w:spacing w:after="0"/>
              <w:rPr>
                <w:sz w:val="1"/>
                <w:szCs w:val="1"/>
                <w:color w:val="auto"/>
              </w:rPr>
            </w:pPr>
          </w:p>
        </w:tc>
      </w:tr>
      <w:tr>
        <w:trPr>
          <w:trHeight w:val="134"/>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Management, transaction and other fees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$6,652</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rPr>
              <w:t>+/-$27,000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+/-$27,000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8"/>
                <w:szCs w:val="8"/>
                <w:color w:val="auto"/>
              </w:rPr>
              <w:t>Development and Redevelopment spend</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$100,700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+/-$350,000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highlight w:val="black"/>
              </w:rPr>
              <w:t>+/-$325,000</w:t>
            </w:r>
          </w:p>
        </w:tc>
        <w:tc>
          <w:tcPr>
            <w:tcW w:w="0" w:type="dxa"/>
            <w:vAlign w:val="bottom"/>
          </w:tcPr>
          <w:p>
            <w:pPr>
              <w:spacing w:after="0"/>
              <w:rPr>
                <w:sz w:val="1"/>
                <w:szCs w:val="1"/>
                <w:color w:val="auto"/>
              </w:rPr>
            </w:pPr>
          </w:p>
        </w:tc>
      </w:tr>
      <w:tr>
        <w:trPr>
          <w:trHeight w:val="133"/>
        </w:trPr>
        <w:tc>
          <w:tcPr>
            <w:tcW w:w="4580" w:type="dxa"/>
            <w:vAlign w:val="bottom"/>
            <w:tcBorders>
              <w:top w:val="single" w:sz="8" w:color="BFBFBF"/>
            </w:tcBorders>
          </w:tcPr>
          <w:p>
            <w:pPr>
              <w:spacing w:after="0"/>
              <w:rPr>
                <w:sz w:val="20"/>
                <w:szCs w:val="20"/>
                <w:color w:val="auto"/>
              </w:rPr>
            </w:pPr>
            <w:r>
              <w:rPr>
                <w:rFonts w:ascii="Arial" w:cs="Arial" w:eastAsia="Arial" w:hAnsi="Arial"/>
                <w:sz w:val="8"/>
                <w:szCs w:val="8"/>
                <w:color w:val="auto"/>
              </w:rPr>
              <w:t>Acquisitions</w:t>
            </w:r>
          </w:p>
        </w:tc>
        <w:tc>
          <w:tcPr>
            <w:tcW w:w="3120" w:type="dxa"/>
            <w:vAlign w:val="bottom"/>
            <w:tcBorders>
              <w:top w:val="single" w:sz="8" w:color="BFBFBF"/>
              <w:right w:val="single" w:sz="8" w:color="808080"/>
            </w:tcBorders>
          </w:tcPr>
          <w:p>
            <w:pPr>
              <w:jc w:val="center"/>
              <w:ind w:left="1258"/>
              <w:spacing w:after="0"/>
              <w:rPr>
                <w:sz w:val="20"/>
                <w:szCs w:val="20"/>
                <w:color w:val="auto"/>
              </w:rPr>
            </w:pPr>
            <w:r>
              <w:rPr>
                <w:rFonts w:ascii="Arial" w:cs="Arial" w:eastAsia="Arial" w:hAnsi="Arial"/>
                <w:sz w:val="8"/>
                <w:szCs w:val="8"/>
                <w:color w:val="auto"/>
              </w:rPr>
              <w:t>$6,300</w:t>
            </w:r>
          </w:p>
        </w:tc>
        <w:tc>
          <w:tcPr>
            <w:tcW w:w="1800" w:type="dxa"/>
            <w:vAlign w:val="bottom"/>
            <w:tcBorders>
              <w:top w:val="single" w:sz="8" w:color="BFBFBF"/>
              <w:right w:val="single" w:sz="8" w:color="808080"/>
            </w:tcBorders>
          </w:tcPr>
          <w:p>
            <w:pPr>
              <w:jc w:val="center"/>
              <w:spacing w:after="0"/>
              <w:rPr>
                <w:sz w:val="20"/>
                <w:szCs w:val="20"/>
                <w:color w:val="auto"/>
              </w:rPr>
            </w:pPr>
            <w:r>
              <w:rPr>
                <w:rFonts w:ascii="Arial" w:cs="Arial" w:eastAsia="Arial" w:hAnsi="Arial"/>
                <w:sz w:val="8"/>
                <w:szCs w:val="8"/>
                <w:color w:val="auto"/>
                <w:highlight w:val="black"/>
              </w:rPr>
              <w:t>+/-$25,000</w:t>
            </w:r>
          </w:p>
        </w:tc>
        <w:tc>
          <w:tcPr>
            <w:tcW w:w="1800" w:type="dxa"/>
            <w:vAlign w:val="bottom"/>
            <w:tcBorders>
              <w:top w:val="single" w:sz="8" w:color="BFBFBF"/>
            </w:tcBorders>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00"/>
        </w:trPr>
        <w:tc>
          <w:tcPr>
            <w:tcW w:w="4580" w:type="dxa"/>
            <w:vAlign w:val="bottom"/>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right w:val="single" w:sz="8" w:color="808080"/>
            </w:tcBorders>
          </w:tcPr>
          <w:p>
            <w:pPr>
              <w:jc w:val="center"/>
              <w:ind w:left="1238"/>
              <w:spacing w:after="0"/>
              <w:rPr>
                <w:sz w:val="20"/>
                <w:szCs w:val="20"/>
                <w:color w:val="auto"/>
              </w:rPr>
            </w:pPr>
            <w:r>
              <w:rPr>
                <w:rFonts w:ascii="Arial" w:cs="Arial" w:eastAsia="Arial" w:hAnsi="Arial"/>
                <w:sz w:val="8"/>
                <w:szCs w:val="8"/>
                <w:color w:val="auto"/>
              </w:rPr>
              <w:t>7.3%</w:t>
            </w:r>
          </w:p>
        </w:tc>
        <w:tc>
          <w:tcPr>
            <w:tcW w:w="1800" w:type="dxa"/>
            <w:vAlign w:val="bottom"/>
            <w:tcBorders>
              <w:right w:val="single" w:sz="8" w:color="808080"/>
            </w:tcBorders>
          </w:tcPr>
          <w:p>
            <w:pPr>
              <w:jc w:val="center"/>
              <w:spacing w:after="0"/>
              <w:rPr>
                <w:sz w:val="20"/>
                <w:szCs w:val="20"/>
                <w:color w:val="auto"/>
              </w:rPr>
            </w:pPr>
            <w:r>
              <w:rPr>
                <w:rFonts w:ascii="Arial" w:cs="Arial" w:eastAsia="Arial" w:hAnsi="Arial"/>
                <w:sz w:val="8"/>
                <w:szCs w:val="8"/>
                <w:color w:val="auto"/>
                <w:highlight w:val="black"/>
              </w:rPr>
              <w:t>+/- 5.9%</w:t>
            </w:r>
          </w:p>
        </w:tc>
        <w:tc>
          <w:tcPr>
            <w:tcW w:w="1800" w:type="dxa"/>
            <w:vAlign w:val="bottom"/>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45"/>
        </w:trPr>
        <w:tc>
          <w:tcPr>
            <w:tcW w:w="4580" w:type="dxa"/>
            <w:vAlign w:val="bottom"/>
            <w:tcBorders>
              <w:bottom w:val="single" w:sz="8" w:color="BFBFBF"/>
            </w:tcBorders>
          </w:tcPr>
          <w:p>
            <w:pPr>
              <w:spacing w:after="0"/>
              <w:rPr>
                <w:sz w:val="3"/>
                <w:szCs w:val="3"/>
                <w:color w:val="auto"/>
              </w:rPr>
            </w:pPr>
          </w:p>
        </w:tc>
        <w:tc>
          <w:tcPr>
            <w:tcW w:w="312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1800" w:type="dxa"/>
            <w:vAlign w:val="bottom"/>
            <w:tcBorders>
              <w:bottom w:val="single" w:sz="8" w:color="BFBFBF"/>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580" w:type="dxa"/>
            <w:vAlign w:val="bottom"/>
            <w:shd w:val="clear" w:color="auto" w:fill="F2F2F2"/>
          </w:tcPr>
          <w:p>
            <w:pPr>
              <w:spacing w:after="0"/>
              <w:rPr>
                <w:sz w:val="20"/>
                <w:szCs w:val="20"/>
                <w:color w:val="auto"/>
              </w:rPr>
            </w:pPr>
            <w:r>
              <w:rPr>
                <w:rFonts w:ascii="Arial" w:cs="Arial" w:eastAsia="Arial" w:hAnsi="Arial"/>
                <w:sz w:val="8"/>
                <w:szCs w:val="8"/>
                <w:color w:val="auto"/>
              </w:rPr>
              <w:t>Dispositions</w:t>
            </w:r>
          </w:p>
        </w:tc>
        <w:tc>
          <w:tcPr>
            <w:tcW w:w="3120" w:type="dxa"/>
            <w:vAlign w:val="bottom"/>
            <w:tcBorders>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w w:val="89"/>
              </w:rPr>
              <w:t>$0</w:t>
            </w:r>
          </w:p>
        </w:tc>
        <w:tc>
          <w:tcPr>
            <w:tcW w:w="1800" w:type="dxa"/>
            <w:vAlign w:val="bottom"/>
            <w:tcBorders>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1800" w:type="dxa"/>
            <w:vAlign w:val="bottom"/>
            <w:shd w:val="clear" w:color="auto" w:fill="F2F2F2"/>
          </w:tcPr>
          <w:p>
            <w:pPr>
              <w:jc w:val="center"/>
              <w:spacing w:after="0"/>
              <w:rPr>
                <w:sz w:val="20"/>
                <w:szCs w:val="20"/>
                <w:color w:val="auto"/>
              </w:rPr>
            </w:pPr>
            <w:r>
              <w:rPr>
                <w:rFonts w:ascii="Arial" w:cs="Arial" w:eastAsia="Arial" w:hAnsi="Arial"/>
                <w:sz w:val="8"/>
                <w:szCs w:val="8"/>
                <w:color w:val="auto"/>
              </w:rPr>
              <w:t>$0</w:t>
            </w:r>
          </w:p>
        </w:tc>
        <w:tc>
          <w:tcPr>
            <w:tcW w:w="0" w:type="dxa"/>
            <w:vAlign w:val="bottom"/>
          </w:tcPr>
          <w:p>
            <w:pPr>
              <w:spacing w:after="0"/>
              <w:rPr>
                <w:sz w:val="1"/>
                <w:szCs w:val="1"/>
                <w:color w:val="auto"/>
              </w:rPr>
            </w:pPr>
          </w:p>
        </w:tc>
      </w:tr>
      <w:tr>
        <w:trPr>
          <w:trHeight w:val="125"/>
        </w:trPr>
        <w:tc>
          <w:tcPr>
            <w:tcW w:w="45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8"/>
                <w:szCs w:val="8"/>
                <w:color w:val="auto"/>
              </w:rPr>
              <w:t>Cap rate (weighted average)</w:t>
            </w:r>
          </w:p>
        </w:tc>
        <w:tc>
          <w:tcPr>
            <w:tcW w:w="3120" w:type="dxa"/>
            <w:vAlign w:val="bottom"/>
            <w:tcBorders>
              <w:bottom w:val="single" w:sz="8" w:color="F2F2F2"/>
              <w:right w:val="single" w:sz="8" w:color="808080"/>
            </w:tcBorders>
            <w:shd w:val="clear" w:color="auto" w:fill="F2F2F2"/>
          </w:tcPr>
          <w:p>
            <w:pPr>
              <w:jc w:val="center"/>
              <w:ind w:left="1238"/>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right w:val="single" w:sz="8" w:color="808080"/>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1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20"/>
        </w:trPr>
        <w:tc>
          <w:tcPr>
            <w:tcW w:w="4580" w:type="dxa"/>
            <w:vAlign w:val="bottom"/>
            <w:shd w:val="clear" w:color="auto" w:fill="BFBFBF"/>
          </w:tcPr>
          <w:p>
            <w:pPr>
              <w:spacing w:after="0" w:line="20" w:lineRule="exact"/>
              <w:rPr>
                <w:sz w:val="1"/>
                <w:szCs w:val="1"/>
                <w:color w:val="auto"/>
              </w:rPr>
            </w:pPr>
          </w:p>
        </w:tc>
        <w:tc>
          <w:tcPr>
            <w:tcW w:w="312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tcBorders>
              <w:right w:val="single" w:sz="8" w:color="BFBFBF"/>
            </w:tcBorders>
            <w:shd w:val="clear" w:color="auto" w:fill="BFBFBF"/>
          </w:tcPr>
          <w:p>
            <w:pPr>
              <w:spacing w:after="0" w:line="20" w:lineRule="exact"/>
              <w:rPr>
                <w:sz w:val="1"/>
                <w:szCs w:val="1"/>
                <w:color w:val="auto"/>
              </w:rPr>
            </w:pPr>
          </w:p>
        </w:tc>
        <w:tc>
          <w:tcPr>
            <w:tcW w:w="1800" w:type="dxa"/>
            <w:vAlign w:val="bottom"/>
            <w:shd w:val="clear" w:color="auto" w:fill="BFBFB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-1436370</wp:posOffset>
            </wp:positionV>
            <wp:extent cx="311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-1436370</wp:posOffset>
            </wp:positionV>
            <wp:extent cx="311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-1310005</wp:posOffset>
            </wp:positionV>
            <wp:extent cx="311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-1310005</wp:posOffset>
            </wp:positionV>
            <wp:extent cx="311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-1183640</wp:posOffset>
            </wp:positionV>
            <wp:extent cx="31115"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-1183640</wp:posOffset>
            </wp:positionV>
            <wp:extent cx="311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-1057275</wp:posOffset>
            </wp:positionV>
            <wp:extent cx="311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-1057275</wp:posOffset>
            </wp:positionV>
            <wp:extent cx="311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-930910</wp:posOffset>
            </wp:positionV>
            <wp:extent cx="311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-930910</wp:posOffset>
            </wp:positionV>
            <wp:extent cx="311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-804545</wp:posOffset>
            </wp:positionV>
            <wp:extent cx="311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-804545</wp:posOffset>
            </wp:positionV>
            <wp:extent cx="311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-678180</wp:posOffset>
            </wp:positionV>
            <wp:extent cx="31115"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-678180</wp:posOffset>
            </wp:positionV>
            <wp:extent cx="31115" cy="59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-551815</wp:posOffset>
            </wp:positionV>
            <wp:extent cx="311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-551815</wp:posOffset>
            </wp:positionV>
            <wp:extent cx="311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-425450</wp:posOffset>
            </wp:positionV>
            <wp:extent cx="31115"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-425450</wp:posOffset>
            </wp:positionV>
            <wp:extent cx="311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-236220</wp:posOffset>
            </wp:positionV>
            <wp:extent cx="311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-236220</wp:posOffset>
            </wp:positionV>
            <wp:extent cx="311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-46355</wp:posOffset>
            </wp:positionV>
            <wp:extent cx="311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6016625</wp:posOffset>
            </wp:positionH>
            <wp:positionV relativeFrom="paragraph">
              <wp:posOffset>-46355</wp:posOffset>
            </wp:positionV>
            <wp:extent cx="311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115" cy="59690"/>
                    </a:xfrm>
                    <a:prstGeom prst="rect">
                      <a:avLst/>
                    </a:prstGeom>
                    <a:noFill/>
                  </pic:spPr>
                </pic:pic>
              </a:graphicData>
            </a:graphic>
          </wp:anchor>
        </w:drawing>
        <w:drawing>
          <wp:anchor simplePos="0" relativeHeight="251657728" behindDoc="1" locked="0" layoutInCell="0" allowOverlap="1">
            <wp:simplePos x="0" y="0"/>
            <wp:positionH relativeFrom="column">
              <wp:posOffset>6529705</wp:posOffset>
            </wp:positionH>
            <wp:positionV relativeFrom="paragraph">
              <wp:posOffset>-354330</wp:posOffset>
            </wp:positionV>
            <wp:extent cx="149860" cy="132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9860" cy="132715"/>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sectPr>
      </w:pPr>
    </w:p>
    <w:p>
      <w:pPr>
        <w:spacing w:after="0" w:line="224" w:lineRule="exact"/>
        <w:rPr>
          <w:sz w:val="20"/>
          <w:szCs w:val="20"/>
          <w:color w:val="auto"/>
        </w:rPr>
      </w:pPr>
    </w:p>
    <w:p>
      <w:pPr>
        <w:ind w:left="8"/>
        <w:spacing w:after="0"/>
        <w:rPr>
          <w:sz w:val="20"/>
          <w:szCs w:val="20"/>
          <w:color w:val="auto"/>
        </w:rPr>
      </w:pPr>
      <w:r>
        <w:rPr>
          <w:rFonts w:ascii="Arial" w:cs="Arial" w:eastAsia="Arial" w:hAnsi="Arial"/>
          <w:sz w:val="9"/>
          <w:szCs w:val="9"/>
          <w:color w:val="auto"/>
        </w:rPr>
        <w:t>Reconciliation of Net Income to Earnings Guidance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1173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117340" cy="5715"/>
                    </a:xfrm>
                    <a:prstGeom prst="rect">
                      <a:avLst/>
                    </a:prstGeom>
                    <a:noFill/>
                  </pic:spPr>
                </pic:pic>
              </a:graphicData>
            </a:graphic>
          </wp:anchor>
        </w:drawing>
      </w:r>
    </w:p>
    <w:p>
      <w:pPr>
        <w:spacing w:after="0" w:line="238" w:lineRule="exact"/>
        <w:rPr>
          <w:sz w:val="20"/>
          <w:szCs w:val="20"/>
          <w:color w:val="auto"/>
        </w:rPr>
      </w:pPr>
    </w:p>
    <w:p>
      <w:pPr>
        <w:ind w:left="8"/>
        <w:spacing w:after="0"/>
        <w:rPr>
          <w:sz w:val="20"/>
          <w:szCs w:val="20"/>
          <w:color w:val="auto"/>
        </w:rPr>
      </w:pPr>
      <w:r>
        <w:rPr>
          <w:rFonts w:ascii="Arial" w:cs="Arial" w:eastAsia="Arial" w:hAnsi="Arial"/>
          <w:sz w:val="9"/>
          <w:szCs w:val="9"/>
          <w:color w:val="auto"/>
        </w:rPr>
        <w:t>Net income attributable to common shareholders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9"/>
          <w:szCs w:val="9"/>
          <w:color w:val="auto"/>
        </w:rPr>
        <w:t>Adjustments to reconcile net income to Nareit FFO:</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Depreciation and amortization (excluding FF&amp;E)</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Gain on sale of real estate, net of tax</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Exchangeable operating partnership units</w:t>
      </w:r>
    </w:p>
    <w:p>
      <w:pPr>
        <w:spacing w:after="0" w:line="32" w:lineRule="exact"/>
        <w:rPr>
          <w:sz w:val="20"/>
          <w:szCs w:val="20"/>
          <w:color w:val="auto"/>
        </w:rPr>
      </w:pPr>
    </w:p>
    <w:p>
      <w:pPr>
        <w:ind w:left="368"/>
        <w:spacing w:after="0"/>
        <w:rPr>
          <w:sz w:val="20"/>
          <w:szCs w:val="20"/>
          <w:color w:val="auto"/>
        </w:rPr>
      </w:pPr>
      <w:r>
        <w:rPr>
          <w:rFonts w:ascii="Arial" w:cs="Arial" w:eastAsia="Arial" w:hAnsi="Arial"/>
          <w:sz w:val="9"/>
          <w:szCs w:val="9"/>
          <w:color w:val="auto"/>
        </w:rPr>
        <w:t>Nareit Funds From Operations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9"/>
          <w:szCs w:val="9"/>
          <w:color w:val="auto"/>
        </w:rPr>
        <w:t>Adjustments to reconcile Nareit FFO to Core Operating Earnings:</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Straight line rent, net</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Above/below market rent amortization, net</w:t>
      </w:r>
    </w:p>
    <w:p>
      <w:pPr>
        <w:spacing w:after="0" w:line="14" w:lineRule="exact"/>
        <w:rPr>
          <w:sz w:val="20"/>
          <w:szCs w:val="20"/>
          <w:color w:val="auto"/>
        </w:rPr>
      </w:pPr>
    </w:p>
    <w:p>
      <w:pPr>
        <w:ind w:left="8"/>
        <w:spacing w:after="0"/>
        <w:rPr>
          <w:sz w:val="20"/>
          <w:szCs w:val="20"/>
          <w:color w:val="auto"/>
        </w:rPr>
      </w:pPr>
      <w:r>
        <w:rPr>
          <w:rFonts w:ascii="Arial" w:cs="Arial" w:eastAsia="Arial" w:hAnsi="Arial"/>
          <w:sz w:val="9"/>
          <w:szCs w:val="9"/>
          <w:color w:val="auto"/>
        </w:rPr>
        <w:t>Debt and derivative mark-to-market amortization</w:t>
      </w:r>
    </w:p>
    <w:p>
      <w:pPr>
        <w:spacing w:after="0" w:line="32" w:lineRule="exact"/>
        <w:rPr>
          <w:sz w:val="20"/>
          <w:szCs w:val="20"/>
          <w:color w:val="auto"/>
        </w:rPr>
      </w:pPr>
    </w:p>
    <w:p>
      <w:pPr>
        <w:ind w:left="368"/>
        <w:spacing w:after="0"/>
        <w:rPr>
          <w:sz w:val="20"/>
          <w:szCs w:val="20"/>
          <w:color w:val="auto"/>
        </w:rPr>
      </w:pPr>
      <w:r>
        <w:rPr>
          <w:rFonts w:ascii="Arial" w:cs="Arial" w:eastAsia="Arial" w:hAnsi="Arial"/>
          <w:sz w:val="9"/>
          <w:szCs w:val="9"/>
          <w:color w:val="auto"/>
        </w:rPr>
        <w:t>Core Operating Earnings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9"/>
          <w:szCs w:val="9"/>
          <w:color w:val="auto"/>
          <w:highlight w:val="black"/>
        </w:rPr>
        <w:t>Full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186055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60550" cy="57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60" w:type="dxa"/>
            <w:vAlign w:val="bottom"/>
          </w:tcPr>
          <w:p>
            <w:pPr>
              <w:jc w:val="right"/>
              <w:ind w:right="933"/>
              <w:spacing w:after="0"/>
              <w:rPr>
                <w:sz w:val="20"/>
                <w:szCs w:val="20"/>
                <w:color w:val="auto"/>
              </w:rPr>
            </w:pPr>
            <w:r>
              <w:rPr>
                <w:rFonts w:ascii="Arial" w:cs="Arial" w:eastAsia="Arial" w:hAnsi="Arial"/>
                <w:sz w:val="9"/>
                <w:szCs w:val="9"/>
                <w:color w:val="auto"/>
                <w:highlight w:val="black"/>
              </w:rPr>
              <w:t>Low</w:t>
            </w:r>
          </w:p>
        </w:tc>
        <w:tc>
          <w:tcPr>
            <w:tcW w:w="1180" w:type="dxa"/>
            <w:vAlign w:val="bottom"/>
          </w:tcPr>
          <w:p>
            <w:pPr>
              <w:jc w:val="right"/>
              <w:ind w:right="553"/>
              <w:spacing w:after="0"/>
              <w:rPr>
                <w:sz w:val="20"/>
                <w:szCs w:val="20"/>
                <w:color w:val="auto"/>
              </w:rPr>
            </w:pPr>
            <w:r>
              <w:rPr>
                <w:rFonts w:ascii="Arial" w:cs="Arial" w:eastAsia="Arial" w:hAnsi="Arial"/>
                <w:sz w:val="9"/>
                <w:szCs w:val="9"/>
                <w:color w:val="auto"/>
                <w:highlight w:val="black"/>
              </w:rPr>
              <w:t>High</w:t>
            </w:r>
          </w:p>
        </w:tc>
      </w:tr>
      <w:tr>
        <w:trPr>
          <w:trHeight w:val="235"/>
        </w:trPr>
        <w:tc>
          <w:tcPr>
            <w:tcW w:w="1760" w:type="dxa"/>
            <w:vAlign w:val="bottom"/>
          </w:tcPr>
          <w:p>
            <w:pPr>
              <w:jc w:val="right"/>
              <w:ind w:right="353"/>
              <w:spacing w:after="0"/>
              <w:rPr>
                <w:sz w:val="20"/>
                <w:szCs w:val="20"/>
                <w:color w:val="auto"/>
              </w:rPr>
            </w:pPr>
            <w:r>
              <w:rPr>
                <w:rFonts w:ascii="Arial" w:cs="Arial" w:eastAsia="Arial" w:hAnsi="Arial"/>
                <w:sz w:val="9"/>
                <w:szCs w:val="9"/>
                <w:color w:val="auto"/>
              </w:rPr>
              <w:t>$2.45</w:t>
            </w:r>
          </w:p>
        </w:tc>
        <w:tc>
          <w:tcPr>
            <w:tcW w:w="1180" w:type="dxa"/>
            <w:vAlign w:val="bottom"/>
          </w:tcPr>
          <w:p>
            <w:pPr>
              <w:jc w:val="right"/>
              <w:spacing w:after="0"/>
              <w:rPr>
                <w:sz w:val="20"/>
                <w:szCs w:val="20"/>
                <w:color w:val="auto"/>
              </w:rPr>
            </w:pPr>
            <w:r>
              <w:rPr>
                <w:rFonts w:ascii="Arial" w:cs="Arial" w:eastAsia="Arial" w:hAnsi="Arial"/>
                <w:sz w:val="9"/>
                <w:szCs w:val="9"/>
                <w:color w:val="auto"/>
              </w:rPr>
              <w:t>2.49</w:t>
            </w:r>
          </w:p>
        </w:tc>
      </w:tr>
      <w:tr>
        <w:trPr>
          <w:trHeight w:val="353"/>
        </w:trPr>
        <w:tc>
          <w:tcPr>
            <w:tcW w:w="1760" w:type="dxa"/>
            <w:vAlign w:val="bottom"/>
          </w:tcPr>
          <w:p>
            <w:pPr>
              <w:jc w:val="right"/>
              <w:ind w:right="353"/>
              <w:spacing w:after="0"/>
              <w:rPr>
                <w:sz w:val="20"/>
                <w:szCs w:val="20"/>
                <w:color w:val="auto"/>
              </w:rPr>
            </w:pPr>
            <w:r>
              <w:rPr>
                <w:rFonts w:ascii="Arial" w:cs="Arial" w:eastAsia="Arial" w:hAnsi="Arial"/>
                <w:sz w:val="9"/>
                <w:szCs w:val="9"/>
                <w:color w:val="auto"/>
              </w:rPr>
              <w:t>2.42</w:t>
            </w:r>
          </w:p>
        </w:tc>
        <w:tc>
          <w:tcPr>
            <w:tcW w:w="1180" w:type="dxa"/>
            <w:vAlign w:val="bottom"/>
          </w:tcPr>
          <w:p>
            <w:pPr>
              <w:jc w:val="right"/>
              <w:spacing w:after="0"/>
              <w:rPr>
                <w:sz w:val="20"/>
                <w:szCs w:val="20"/>
                <w:color w:val="auto"/>
              </w:rPr>
            </w:pPr>
            <w:r>
              <w:rPr>
                <w:rFonts w:ascii="Arial" w:cs="Arial" w:eastAsia="Arial" w:hAnsi="Arial"/>
                <w:sz w:val="9"/>
                <w:szCs w:val="9"/>
                <w:color w:val="auto"/>
              </w:rPr>
              <w:t>2.42</w:t>
            </w:r>
          </w:p>
        </w:tc>
      </w:tr>
      <w:tr>
        <w:trPr>
          <w:trHeight w:val="118"/>
        </w:trPr>
        <w:tc>
          <w:tcPr>
            <w:tcW w:w="1760" w:type="dxa"/>
            <w:vAlign w:val="bottom"/>
          </w:tcPr>
          <w:p>
            <w:pPr>
              <w:jc w:val="right"/>
              <w:ind w:right="353"/>
              <w:spacing w:after="0"/>
              <w:rPr>
                <w:sz w:val="20"/>
                <w:szCs w:val="20"/>
                <w:color w:val="auto"/>
              </w:rPr>
            </w:pPr>
            <w:r>
              <w:rPr>
                <w:rFonts w:ascii="Arial" w:cs="Arial" w:eastAsia="Arial" w:hAnsi="Arial"/>
                <w:sz w:val="9"/>
                <w:szCs w:val="9"/>
                <w:color w:val="auto"/>
              </w:rPr>
              <w:t>(0.09)</w:t>
            </w:r>
          </w:p>
        </w:tc>
        <w:tc>
          <w:tcPr>
            <w:tcW w:w="1180" w:type="dxa"/>
            <w:vAlign w:val="bottom"/>
          </w:tcPr>
          <w:p>
            <w:pPr>
              <w:jc w:val="right"/>
              <w:spacing w:after="0"/>
              <w:rPr>
                <w:sz w:val="20"/>
                <w:szCs w:val="20"/>
                <w:color w:val="auto"/>
              </w:rPr>
            </w:pPr>
            <w:r>
              <w:rPr>
                <w:rFonts w:ascii="Arial" w:cs="Arial" w:eastAsia="Arial" w:hAnsi="Arial"/>
                <w:sz w:val="9"/>
                <w:szCs w:val="9"/>
                <w:color w:val="auto"/>
              </w:rPr>
              <w:t>(0.09)</w:t>
            </w:r>
          </w:p>
        </w:tc>
      </w:tr>
      <w:tr>
        <w:trPr>
          <w:trHeight w:val="116"/>
        </w:trPr>
        <w:tc>
          <w:tcPr>
            <w:tcW w:w="1760" w:type="dxa"/>
            <w:vAlign w:val="bottom"/>
            <w:tcBorders>
              <w:bottom w:val="single" w:sz="8" w:color="auto"/>
            </w:tcBorders>
          </w:tcPr>
          <w:p>
            <w:pPr>
              <w:jc w:val="right"/>
              <w:ind w:right="353"/>
              <w:spacing w:after="0" w:line="96" w:lineRule="exact"/>
              <w:rPr>
                <w:sz w:val="20"/>
                <w:szCs w:val="20"/>
                <w:color w:val="auto"/>
              </w:rPr>
            </w:pPr>
            <w:r>
              <w:rPr>
                <w:rFonts w:ascii="Arial" w:cs="Arial" w:eastAsia="Arial" w:hAnsi="Arial"/>
                <w:sz w:val="9"/>
                <w:szCs w:val="9"/>
                <w:color w:val="auto"/>
              </w:rPr>
              <w:t>0.05</w:t>
            </w:r>
          </w:p>
        </w:tc>
        <w:tc>
          <w:tcPr>
            <w:tcW w:w="11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0.05</w:t>
            </w:r>
          </w:p>
        </w:tc>
      </w:tr>
      <w:tr>
        <w:trPr>
          <w:trHeight w:val="114"/>
        </w:trPr>
        <w:tc>
          <w:tcPr>
            <w:tcW w:w="1760" w:type="dxa"/>
            <w:vAlign w:val="bottom"/>
            <w:tcBorders>
              <w:bottom w:val="single" w:sz="8" w:color="auto"/>
            </w:tcBorders>
          </w:tcPr>
          <w:p>
            <w:pPr>
              <w:jc w:val="right"/>
              <w:ind w:right="353"/>
              <w:spacing w:after="0" w:line="94" w:lineRule="exact"/>
              <w:rPr>
                <w:sz w:val="20"/>
                <w:szCs w:val="20"/>
                <w:color w:val="auto"/>
              </w:rPr>
            </w:pPr>
            <w:r>
              <w:rPr>
                <w:rFonts w:ascii="Arial" w:cs="Arial" w:eastAsia="Arial" w:hAnsi="Arial"/>
                <w:sz w:val="9"/>
                <w:szCs w:val="9"/>
                <w:color w:val="auto"/>
              </w:rPr>
              <w:t>$4.83</w:t>
            </w:r>
          </w:p>
        </w:tc>
        <w:tc>
          <w:tcPr>
            <w:tcW w:w="118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4.87</w:t>
            </w:r>
          </w:p>
        </w:tc>
      </w:tr>
      <w:tr>
        <w:trPr>
          <w:trHeight w:val="354"/>
        </w:trPr>
        <w:tc>
          <w:tcPr>
            <w:tcW w:w="1760" w:type="dxa"/>
            <w:vAlign w:val="bottom"/>
          </w:tcPr>
          <w:p>
            <w:pPr>
              <w:jc w:val="right"/>
              <w:ind w:right="353"/>
              <w:spacing w:after="0"/>
              <w:rPr>
                <w:sz w:val="20"/>
                <w:szCs w:val="20"/>
                <w:color w:val="auto"/>
              </w:rPr>
            </w:pPr>
            <w:r>
              <w:rPr>
                <w:rFonts w:ascii="Arial" w:cs="Arial" w:eastAsia="Arial" w:hAnsi="Arial"/>
                <w:sz w:val="9"/>
                <w:szCs w:val="9"/>
                <w:color w:val="auto"/>
              </w:rPr>
              <w:t>(0.16)</w:t>
            </w:r>
          </w:p>
        </w:tc>
        <w:tc>
          <w:tcPr>
            <w:tcW w:w="1180" w:type="dxa"/>
            <w:vAlign w:val="bottom"/>
          </w:tcPr>
          <w:p>
            <w:pPr>
              <w:jc w:val="right"/>
              <w:spacing w:after="0"/>
              <w:rPr>
                <w:sz w:val="20"/>
                <w:szCs w:val="20"/>
                <w:color w:val="auto"/>
              </w:rPr>
            </w:pPr>
            <w:r>
              <w:rPr>
                <w:rFonts w:ascii="Arial" w:cs="Arial" w:eastAsia="Arial" w:hAnsi="Arial"/>
                <w:sz w:val="9"/>
                <w:szCs w:val="9"/>
                <w:color w:val="auto"/>
              </w:rPr>
              <w:t>(0.16)</w:t>
            </w:r>
          </w:p>
        </w:tc>
      </w:tr>
      <w:tr>
        <w:trPr>
          <w:trHeight w:val="118"/>
        </w:trPr>
        <w:tc>
          <w:tcPr>
            <w:tcW w:w="1760" w:type="dxa"/>
            <w:vAlign w:val="bottom"/>
          </w:tcPr>
          <w:p>
            <w:pPr>
              <w:jc w:val="right"/>
              <w:ind w:right="353"/>
              <w:spacing w:after="0"/>
              <w:rPr>
                <w:sz w:val="20"/>
                <w:szCs w:val="20"/>
                <w:color w:val="auto"/>
              </w:rPr>
            </w:pPr>
            <w:r>
              <w:rPr>
                <w:rFonts w:ascii="Arial" w:cs="Arial" w:eastAsia="Arial" w:hAnsi="Arial"/>
                <w:sz w:val="9"/>
                <w:szCs w:val="9"/>
                <w:color w:val="auto"/>
              </w:rPr>
              <w:t>(0.12)</w:t>
            </w:r>
          </w:p>
        </w:tc>
        <w:tc>
          <w:tcPr>
            <w:tcW w:w="1180" w:type="dxa"/>
            <w:vAlign w:val="bottom"/>
          </w:tcPr>
          <w:p>
            <w:pPr>
              <w:jc w:val="right"/>
              <w:spacing w:after="0"/>
              <w:rPr>
                <w:sz w:val="20"/>
                <w:szCs w:val="20"/>
                <w:color w:val="auto"/>
              </w:rPr>
            </w:pPr>
            <w:r>
              <w:rPr>
                <w:rFonts w:ascii="Arial" w:cs="Arial" w:eastAsia="Arial" w:hAnsi="Arial"/>
                <w:sz w:val="9"/>
                <w:szCs w:val="9"/>
                <w:color w:val="auto"/>
              </w:rPr>
              <w:t>(0.12)</w:t>
            </w:r>
          </w:p>
        </w:tc>
      </w:tr>
      <w:tr>
        <w:trPr>
          <w:trHeight w:val="116"/>
        </w:trPr>
        <w:tc>
          <w:tcPr>
            <w:tcW w:w="1760" w:type="dxa"/>
            <w:vAlign w:val="bottom"/>
            <w:tcBorders>
              <w:bottom w:val="single" w:sz="8" w:color="auto"/>
            </w:tcBorders>
          </w:tcPr>
          <w:p>
            <w:pPr>
              <w:jc w:val="right"/>
              <w:ind w:right="353"/>
              <w:spacing w:after="0" w:line="96" w:lineRule="exact"/>
              <w:rPr>
                <w:sz w:val="20"/>
                <w:szCs w:val="20"/>
                <w:color w:val="auto"/>
              </w:rPr>
            </w:pPr>
            <w:r>
              <w:rPr>
                <w:rFonts w:ascii="Arial" w:cs="Arial" w:eastAsia="Arial" w:hAnsi="Arial"/>
                <w:sz w:val="9"/>
                <w:szCs w:val="9"/>
                <w:color w:val="auto"/>
              </w:rPr>
              <w:t>0.04</w:t>
            </w:r>
          </w:p>
        </w:tc>
        <w:tc>
          <w:tcPr>
            <w:tcW w:w="118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0.04</w:t>
            </w:r>
          </w:p>
        </w:tc>
      </w:tr>
      <w:tr>
        <w:trPr>
          <w:trHeight w:val="114"/>
        </w:trPr>
        <w:tc>
          <w:tcPr>
            <w:tcW w:w="1760" w:type="dxa"/>
            <w:vAlign w:val="bottom"/>
            <w:tcBorders>
              <w:bottom w:val="single" w:sz="8" w:color="auto"/>
            </w:tcBorders>
          </w:tcPr>
          <w:p>
            <w:pPr>
              <w:jc w:val="right"/>
              <w:ind w:right="353"/>
              <w:spacing w:after="0" w:line="94" w:lineRule="exact"/>
              <w:rPr>
                <w:sz w:val="20"/>
                <w:szCs w:val="20"/>
                <w:color w:val="auto"/>
              </w:rPr>
            </w:pPr>
            <w:r>
              <w:rPr>
                <w:rFonts w:ascii="Arial" w:cs="Arial" w:eastAsia="Arial" w:hAnsi="Arial"/>
                <w:sz w:val="9"/>
                <w:szCs w:val="9"/>
                <w:color w:val="auto"/>
              </w:rPr>
              <w:t>$4.59</w:t>
            </w:r>
          </w:p>
        </w:tc>
        <w:tc>
          <w:tcPr>
            <w:tcW w:w="1180" w:type="dxa"/>
            <w:vAlign w:val="bottom"/>
            <w:tcBorders>
              <w:bottom w:val="single" w:sz="8" w:color="auto"/>
            </w:tcBorders>
          </w:tcPr>
          <w:p>
            <w:pPr>
              <w:jc w:val="right"/>
              <w:spacing w:after="0" w:line="94" w:lineRule="exact"/>
              <w:rPr>
                <w:sz w:val="20"/>
                <w:szCs w:val="20"/>
                <w:color w:val="auto"/>
              </w:rPr>
            </w:pPr>
            <w:r>
              <w:rPr>
                <w:rFonts w:ascii="Arial" w:cs="Arial" w:eastAsia="Arial" w:hAnsi="Arial"/>
                <w:sz w:val="9"/>
                <w:szCs w:val="9"/>
                <w:color w:val="auto"/>
              </w:rPr>
              <w:t>4.63</w:t>
            </w:r>
          </w:p>
        </w:tc>
      </w:tr>
    </w:tbl>
    <w:p>
      <w:pPr>
        <w:spacing w:after="0" w:line="125" w:lineRule="exact"/>
        <w:rPr>
          <w:sz w:val="20"/>
          <w:szCs w:val="20"/>
          <w:color w:val="auto"/>
        </w:rPr>
      </w:pPr>
    </w:p>
    <w:p>
      <w:pPr>
        <w:sectPr>
          <w:pgSz w:w="11900" w:h="16838" w:orient="portrait"/>
          <w:cols w:equalWidth="0" w:num="2">
            <w:col w:w="5948" w:space="720"/>
            <w:col w:w="4640"/>
          </w:cols>
          <w:pgMar w:left="292" w:top="650" w:right="299" w:bottom="1440" w:gutter="0" w:footer="0" w:header="0"/>
          <w:type w:val="continuous"/>
        </w:sectPr>
      </w:pPr>
    </w:p>
    <w:p>
      <w:pPr>
        <w:ind w:left="8" w:right="400"/>
        <w:spacing w:after="0"/>
        <w:rPr>
          <w:sz w:val="20"/>
          <w:szCs w:val="20"/>
          <w:color w:val="auto"/>
        </w:rPr>
      </w:pPr>
      <w:r>
        <w:rPr>
          <w:rFonts w:ascii="Arial" w:cs="Arial" w:eastAsia="Arial" w:hAnsi="Arial"/>
          <w:sz w:val="8"/>
          <w:szCs w:val="8"/>
          <w:color w:val="auto"/>
        </w:rPr>
        <w:t>Note: Figures above represent 100% of Regency's consolidated entities and its pro-rata share of unconsolidated real estate partnerships, with the exception of items that are net of noncontrolling interests including per share data, "Development and Redevelopment spend," "Acquisitions," and "Dispositions".</w:t>
      </w:r>
    </w:p>
    <w:p>
      <w:pPr>
        <w:spacing w:after="0" w:line="143" w:lineRule="exact"/>
        <w:rPr>
          <w:sz w:val="20"/>
          <w:szCs w:val="20"/>
          <w:color w:val="auto"/>
        </w:rPr>
      </w:pPr>
    </w:p>
    <w:p>
      <w:pPr>
        <w:ind w:left="288" w:right="600" w:hanging="288"/>
        <w:spacing w:after="0" w:line="199" w:lineRule="auto"/>
        <w:tabs>
          <w:tab w:leader="none" w:pos="288" w:val="left"/>
        </w:tabs>
        <w:numPr>
          <w:ilvl w:val="0"/>
          <w:numId w:val="55"/>
        </w:numPr>
        <w:rPr>
          <w:rFonts w:ascii="Arial" w:cs="Arial" w:eastAsia="Arial" w:hAnsi="Arial"/>
          <w:sz w:val="11"/>
          <w:szCs w:val="11"/>
          <w:color w:val="auto"/>
          <w:vertAlign w:val="superscript"/>
        </w:rPr>
      </w:pPr>
      <w:r>
        <w:rPr>
          <w:rFonts w:ascii="Arial" w:cs="Arial" w:eastAsia="Arial" w:hAnsi="Arial"/>
          <w:sz w:val="8"/>
          <w:szCs w:val="8"/>
          <w:color w:val="auto"/>
        </w:rPr>
        <w:t>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w:t>
      </w:r>
    </w:p>
    <w:p>
      <w:pPr>
        <w:spacing w:after="0" w:line="9" w:lineRule="exact"/>
        <w:rPr>
          <w:rFonts w:ascii="Arial" w:cs="Arial" w:eastAsia="Arial" w:hAnsi="Arial"/>
          <w:sz w:val="11"/>
          <w:szCs w:val="11"/>
          <w:color w:val="auto"/>
          <w:vertAlign w:val="superscript"/>
        </w:rPr>
      </w:pPr>
    </w:p>
    <w:p>
      <w:pPr>
        <w:ind w:left="308" w:hanging="308"/>
        <w:spacing w:after="0"/>
        <w:tabs>
          <w:tab w:leader="none" w:pos="308" w:val="left"/>
        </w:tabs>
        <w:numPr>
          <w:ilvl w:val="0"/>
          <w:numId w:val="55"/>
        </w:numPr>
        <w:rPr>
          <w:rFonts w:ascii="Arial" w:cs="Arial" w:eastAsia="Arial" w:hAnsi="Arial"/>
          <w:sz w:val="11"/>
          <w:szCs w:val="11"/>
          <w:color w:val="auto"/>
          <w:vertAlign w:val="superscript"/>
        </w:rPr>
      </w:pPr>
      <w:r>
        <w:rPr>
          <w:rFonts w:ascii="Arial" w:cs="Arial" w:eastAsia="Arial" w:hAnsi="Arial"/>
          <w:sz w:val="8"/>
          <w:szCs w:val="8"/>
          <w:color w:val="auto"/>
        </w:rPr>
        <w:t>Includes above and below market rent amortization and straight-line rents, and excludes debt and derivative mark to market amortization.</w:t>
      </w:r>
    </w:p>
    <w:p>
      <w:pPr>
        <w:spacing w:after="0" w:line="50" w:lineRule="exact"/>
        <w:rPr>
          <w:rFonts w:ascii="Arial" w:cs="Arial" w:eastAsia="Arial" w:hAnsi="Arial"/>
          <w:sz w:val="11"/>
          <w:szCs w:val="11"/>
          <w:color w:val="auto"/>
          <w:vertAlign w:val="superscript"/>
        </w:rPr>
      </w:pPr>
    </w:p>
    <w:p>
      <w:pPr>
        <w:ind w:left="308" w:hanging="308"/>
        <w:spacing w:after="0" w:line="198" w:lineRule="auto"/>
        <w:tabs>
          <w:tab w:leader="none" w:pos="308" w:val="left"/>
        </w:tabs>
        <w:numPr>
          <w:ilvl w:val="0"/>
          <w:numId w:val="55"/>
        </w:numPr>
        <w:rPr>
          <w:rFonts w:ascii="Arial" w:cs="Arial" w:eastAsia="Arial" w:hAnsi="Arial"/>
          <w:sz w:val="9"/>
          <w:szCs w:val="9"/>
          <w:color w:val="auto"/>
          <w:vertAlign w:val="superscript"/>
        </w:rPr>
      </w:pPr>
      <w:r>
        <w:rPr>
          <w:rFonts w:ascii="Arial" w:cs="Arial" w:eastAsia="Arial" w:hAnsi="Arial"/>
          <w:sz w:val="7"/>
          <w:szCs w:val="7"/>
          <w:color w:val="auto"/>
        </w:rPr>
        <w:t>Represents 'General &amp; administrative, net' before gains or losses on deferred compensation plan, as reported on supplemental pages 6 and 7 and calculated on a pro -rata basis.</w:t>
      </w:r>
    </w:p>
    <w:p>
      <w:pPr>
        <w:spacing w:after="0" w:line="26" w:lineRule="exact"/>
        <w:rPr>
          <w:rFonts w:ascii="Arial" w:cs="Arial" w:eastAsia="Arial" w:hAnsi="Arial"/>
          <w:sz w:val="9"/>
          <w:szCs w:val="9"/>
          <w:color w:val="auto"/>
          <w:vertAlign w:val="superscript"/>
        </w:rPr>
      </w:pPr>
    </w:p>
    <w:p>
      <w:pPr>
        <w:ind w:left="308" w:hanging="308"/>
        <w:spacing w:after="0" w:line="190" w:lineRule="auto"/>
        <w:tabs>
          <w:tab w:leader="none" w:pos="308" w:val="left"/>
        </w:tabs>
        <w:numPr>
          <w:ilvl w:val="0"/>
          <w:numId w:val="55"/>
        </w:numPr>
        <w:rPr>
          <w:rFonts w:ascii="Arial" w:cs="Arial" w:eastAsia="Arial" w:hAnsi="Arial"/>
          <w:sz w:val="9"/>
          <w:szCs w:val="9"/>
          <w:color w:val="auto"/>
          <w:vertAlign w:val="superscript"/>
        </w:rPr>
      </w:pPr>
      <w:r>
        <w:rPr>
          <w:rFonts w:ascii="Arial" w:cs="Arial" w:eastAsia="Arial" w:hAnsi="Arial"/>
          <w:sz w:val="7"/>
          <w:szCs w:val="7"/>
          <w:color w:val="auto"/>
        </w:rPr>
        <w:t>Includes debt and derivative mark to market amortization, and is net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right="800"/>
        <w:spacing w:after="0" w:line="250" w:lineRule="auto"/>
        <w:rPr>
          <w:sz w:val="20"/>
          <w:szCs w:val="20"/>
          <w:color w:val="auto"/>
        </w:rPr>
      </w:pPr>
      <w:r>
        <w:rPr>
          <w:rFonts w:ascii="Arial" w:cs="Arial" w:eastAsia="Arial" w:hAnsi="Arial"/>
          <w:sz w:val="9"/>
          <w:szCs w:val="9"/>
          <w:color w:val="auto"/>
        </w:rPr>
        <w:t>Forward-looking statements involve risks, uncertainties and assumptions. Actual future performance, outcomes and results may differ materially from those expressed in forward-looking statements. Please refer to the documents filed by Regency Centers Corporation with the SEC, specifically the most recent reports on forms 10-K and 10-Q, which identify important risk factors which could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-3175</wp:posOffset>
            </wp:positionV>
            <wp:extent cx="287020" cy="154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7158990</wp:posOffset>
            </wp:positionH>
            <wp:positionV relativeFrom="paragraph">
              <wp:posOffset>-23495</wp:posOffset>
            </wp:positionV>
            <wp:extent cx="3111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650" w:right="29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1"/>
          <w:szCs w:val="11"/>
          <w:color w:val="auto"/>
          <w:highlight w:val="black"/>
        </w:rPr>
        <w:t>Glossary of Terms</w:t>
      </w:r>
    </w:p>
    <w:p>
      <w:pPr>
        <w:jc w:val="center"/>
        <w:spacing w:after="0"/>
        <w:rPr>
          <w:sz w:val="20"/>
          <w:szCs w:val="20"/>
          <w:color w:val="auto"/>
        </w:rPr>
      </w:pPr>
      <w:r>
        <w:rPr>
          <w:rFonts w:ascii="Arial" w:cs="Arial" w:eastAsia="Arial" w:hAnsi="Arial"/>
          <w:sz w:val="11"/>
          <w:szCs w:val="11"/>
          <w:color w:val="auto"/>
        </w:rPr>
        <w:t>March 31, 2026</w:t>
      </w: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Non-GAAP Financial Measures</w:t>
      </w:r>
    </w:p>
    <w:p>
      <w:pPr>
        <w:spacing w:after="0" w:line="238" w:lineRule="exact"/>
        <w:rPr>
          <w:sz w:val="20"/>
          <w:szCs w:val="20"/>
          <w:color w:val="auto"/>
        </w:rPr>
      </w:pPr>
    </w:p>
    <w:p>
      <w:pPr>
        <w:ind w:right="100"/>
        <w:spacing w:after="0" w:line="230" w:lineRule="auto"/>
        <w:rPr>
          <w:sz w:val="20"/>
          <w:szCs w:val="20"/>
          <w:color w:val="auto"/>
        </w:rPr>
      </w:pPr>
      <w:r>
        <w:rPr>
          <w:rFonts w:ascii="Arial" w:cs="Arial" w:eastAsia="Arial" w:hAnsi="Arial"/>
          <w:sz w:val="11"/>
          <w:szCs w:val="11"/>
          <w:color w:val="auto"/>
        </w:rPr>
        <w:t>The Company provides the following non-GAAP financial measures as supplemental information to enhance investors’ understanding of its financial performance and liquidity. These measures are not intended to replace or be considered more meaningful than net income or cash flow from operating activities, as calculated in accordance with GAAP. Non-GAAP measures have inherent limitations, as they exclude certain income and expense items that impact operating results. As such, they should be viewed in conjunction with GAAP results. Additionally, the Company’s methodology for calculating these measures may differ from that used by other REITs, making comparisons to similarly titled metrics potentially inconsistent. Investors should be aware that the excluded items remain relevant to a comprehensive assessment of financial performance.</w:t>
      </w:r>
    </w:p>
    <w:p>
      <w:pPr>
        <w:spacing w:after="0" w:line="239" w:lineRule="exact"/>
        <w:rPr>
          <w:sz w:val="20"/>
          <w:szCs w:val="20"/>
          <w:color w:val="auto"/>
        </w:rPr>
      </w:pPr>
    </w:p>
    <w:p>
      <w:pPr>
        <w:ind w:right="180"/>
        <w:spacing w:after="0" w:line="220" w:lineRule="auto"/>
        <w:rPr>
          <w:sz w:val="20"/>
          <w:szCs w:val="20"/>
          <w:color w:val="auto"/>
        </w:rPr>
      </w:pPr>
      <w:r>
        <w:rPr>
          <w:rFonts w:ascii="Arial" w:cs="Arial" w:eastAsia="Arial" w:hAnsi="Arial"/>
          <w:sz w:val="11"/>
          <w:szCs w:val="11"/>
          <w:color w:val="auto"/>
        </w:rPr>
        <w:t>Adjusted Funds From Operations (AFFO): An additional performance measure used by Regency that reflects cash available to fund the Company’s business needs and distribution to shareholders. AFFO is calculated by adjusting Core Operating Earnings for (i) capital expenditures necessary to maintain and lease the Company’s portfolio of properties, (ii) debt cost and derivative adjustments and (iii)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12795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9525" cy="5715"/>
                    </a:xfrm>
                    <a:prstGeom prst="rect">
                      <a:avLst/>
                    </a:prstGeom>
                    <a:noFill/>
                  </pic:spPr>
                </pic:pic>
              </a:graphicData>
            </a:graphic>
          </wp:anchor>
        </w:drawing>
      </w:r>
    </w:p>
    <w:p>
      <w:pPr>
        <w:spacing w:after="0" w:line="218" w:lineRule="exact"/>
        <w:rPr>
          <w:sz w:val="20"/>
          <w:szCs w:val="20"/>
          <w:color w:val="auto"/>
        </w:rPr>
      </w:pPr>
    </w:p>
    <w:p>
      <w:pPr>
        <w:spacing w:after="0" w:line="227" w:lineRule="auto"/>
        <w:rPr>
          <w:sz w:val="20"/>
          <w:szCs w:val="20"/>
          <w:color w:val="auto"/>
        </w:rPr>
      </w:pPr>
      <w:r>
        <w:rPr>
          <w:rFonts w:ascii="Arial" w:cs="Arial" w:eastAsia="Arial" w:hAnsi="Arial"/>
          <w:sz w:val="11"/>
          <w:szCs w:val="11"/>
          <w:color w:val="auto"/>
        </w:rPr>
        <w:t>Core Operating Earnings: An additional non-GAAP performance measure that adjusts Nareit Funds from Operations (“Nareit FFO”) to exclude certain non-cash and other items that impact the comparability of the Company's period-over-period performance. Core Operating Earnings excludes from Nareit FFO: (i) certain income or expenses related to non-comparable events and transactions; (ii) gains or losses from the early extinguishment of debt; (iii) certain non-cash items derived from straight-line rents, above and below market rent amortization, and debt and derivative mark-to-market amortization; and (iv) other non-cash or non-comparable amounts as they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6771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7715" cy="5715"/>
                    </a:xfrm>
                    <a:prstGeom prst="rect">
                      <a:avLst/>
                    </a:prstGeom>
                    <a:noFill/>
                  </pic:spPr>
                </pic:pic>
              </a:graphicData>
            </a:graphic>
          </wp:anchor>
        </w:drawing>
      </w:r>
    </w:p>
    <w:p>
      <w:pPr>
        <w:spacing w:after="0" w:line="218" w:lineRule="exact"/>
        <w:rPr>
          <w:sz w:val="20"/>
          <w:szCs w:val="20"/>
          <w:color w:val="auto"/>
        </w:rPr>
      </w:pPr>
    </w:p>
    <w:p>
      <w:pPr>
        <w:ind w:right="100"/>
        <w:spacing w:after="0" w:line="227" w:lineRule="auto"/>
        <w:rPr>
          <w:sz w:val="20"/>
          <w:szCs w:val="20"/>
          <w:color w:val="auto"/>
        </w:rPr>
      </w:pPr>
      <w:r>
        <w:rPr>
          <w:rFonts w:ascii="Arial" w:cs="Arial" w:eastAsia="Arial" w:hAnsi="Arial"/>
          <w:sz w:val="11"/>
          <w:szCs w:val="11"/>
          <w:color w:val="auto"/>
        </w:rPr>
        <w:t>Fixed Charge Coverage Ratio: Operating EBITDAre divided by the sum of the gross interest and scheduled mortgage principal paid to our lenders. We use the Fixed Charge Coverage Ratio as a key performance indicator to assess our ability to meet fixed financing obligations. Management, creditors, and rating agencies commonly rely on this ratio to evaluate our financial flexibility and overall creditworthiness. It also allows us and our investors to gauge how effectively our ongoing operating performance supports the fulfillment of fixed commitments. We believe this metric offers valuable insight into the strength and sustainability of our capital structure and liquidity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9042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04240" cy="5715"/>
                    </a:xfrm>
                    <a:prstGeom prst="rect">
                      <a:avLst/>
                    </a:prstGeom>
                    <a:noFill/>
                  </pic:spPr>
                </pic:pic>
              </a:graphicData>
            </a:graphic>
          </wp:anchor>
        </w:drawing>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11"/>
          <w:szCs w:val="11"/>
          <w:color w:val="auto"/>
        </w:rPr>
        <w:t>Nareit Funds From Operations (Nareit FFO): Nareit FFO is a commonly used measure of REIT performance, which Nareit defines as net income, computed in accordance with GAAP, excluding gains on sales and impairments of real estate, net of tax, plus depreciation and amortization related to real estate, and after adjustments for unconsolidated real estate investment partnerships and joint ventures. Regency computes Nareit FFO for all periods presented in accordance with Nareit's definition. 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the Company’s financial performance not immediately apparent from net income determined in accordance with GAAP. Thus, Nareit FFO is a supplemental non-GAAP financial measure of the Company's operating performance, which does not represent cash generated from operating activities in accordance with GAAP; and, therefore, should not be considered a substitute measure of cash flows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-488950</wp:posOffset>
            </wp:positionV>
            <wp:extent cx="133667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36675" cy="5715"/>
                    </a:xfrm>
                    <a:prstGeom prst="rect">
                      <a:avLst/>
                    </a:prstGeom>
                    <a:noFill/>
                  </pic:spPr>
                </pic:pic>
              </a:graphicData>
            </a:graphic>
          </wp:anchor>
        </w:drawing>
      </w:r>
    </w:p>
    <w:p>
      <w:pPr>
        <w:spacing w:after="0" w:line="220" w:lineRule="exact"/>
        <w:rPr>
          <w:sz w:val="20"/>
          <w:szCs w:val="20"/>
          <w:color w:val="auto"/>
        </w:rPr>
      </w:pPr>
    </w:p>
    <w:p>
      <w:pPr>
        <w:ind w:right="20"/>
        <w:spacing w:after="0" w:line="230" w:lineRule="auto"/>
        <w:rPr>
          <w:sz w:val="20"/>
          <w:szCs w:val="20"/>
          <w:color w:val="auto"/>
        </w:rPr>
      </w:pPr>
      <w:r>
        <w:rPr>
          <w:rFonts w:ascii="Arial" w:cs="Arial" w:eastAsia="Arial" w:hAnsi="Arial"/>
          <w:sz w:val="11"/>
          <w:szCs w:val="11"/>
          <w:color w:val="auto"/>
        </w:rPr>
        <w:t>Pro-rata Net Debt and Preferreds-to-Operating EBITDAre: Net debt plus preferred stock divided by Operating EBITDAre. Net debt is calculated as the sum of consolidated debt and Regency’s pro-rata share of unconsolidated debt, less cash, cash equivalents, and restricted cash. This metric is used by management and investors to evaluate Regency’s leverage and capital structure in relation to its earnings-generating capacity. We believe this ratio is useful to investors as it provides insight into Regency’s financial leverage, independent of fluctuations in cash levels, and allows for consistent period-over-period comparison. The pro-rata share presentation reflects the economic impact of Regency’s unconsolidated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177736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77365" cy="5715"/>
                    </a:xfrm>
                    <a:prstGeom prst="rect">
                      <a:avLst/>
                    </a:prstGeom>
                    <a:noFill/>
                  </pic:spPr>
                </pic:pic>
              </a:graphicData>
            </a:graphic>
          </wp:anchor>
        </w:drawing>
      </w:r>
    </w:p>
    <w:p>
      <w:pPr>
        <w:spacing w:after="0" w:line="219" w:lineRule="exact"/>
        <w:rPr>
          <w:sz w:val="20"/>
          <w:szCs w:val="20"/>
          <w:color w:val="auto"/>
        </w:rPr>
      </w:pPr>
    </w:p>
    <w:p>
      <w:pPr>
        <w:ind w:right="60"/>
        <w:spacing w:after="0" w:line="234" w:lineRule="auto"/>
        <w:rPr>
          <w:sz w:val="20"/>
          <w:szCs w:val="20"/>
          <w:color w:val="auto"/>
        </w:rPr>
      </w:pPr>
      <w:r>
        <w:rPr>
          <w:rFonts w:ascii="Arial" w:cs="Arial" w:eastAsia="Arial" w:hAnsi="Arial"/>
          <w:sz w:val="11"/>
          <w:szCs w:val="11"/>
          <w:color w:val="auto"/>
        </w:rPr>
        <w:t>Net Operating Income (NOI): The sum of base rent, percentage rent, termination fee income, tenant recoveries, other lease income, and other property income, less operating and maintenance expenses, real estate taxes, ground rent, termination expense, and uncollectible lease income. NOI excludes straight-line rental income and expense, above and below market rent and ground rent amortization, tenant lease inducement amortization, and other fees. The Company also provides disclosure of NOI excluding termination fees, which excludes both termination fee income and expenses. Management believes that NOI is a useful measure for investors because it provides insight into the core operations and performance of our properties, independent of the capital structure, financing activities, and non-operating factors. By focusing on property-level performance, NOI allows investors to compare the performance of our real estate assets across periods and with those of other REIT peers in the industry, facilitating a clearer understanding of trends in occupancy, rental income, and operating expense management. In addition to its relevance for investors, management uses NOI as a key performance metric in making operational and strategic decisions. NOI is used to evaluate income generated from shopping centers (i.e., return on assets) and to guide decisions on capital investments. These decisions may include acquisitions, redevelopments, and investments in capital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136525</wp:posOffset>
            </wp:positionV>
            <wp:extent cx="287020" cy="154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7020" cy="154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-488950</wp:posOffset>
            </wp:positionV>
            <wp:extent cx="8940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94080" cy="571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0" w:right="299" w:bottom="1440" w:gutter="0" w:footer="0" w:header="0"/>
        </w:sectPr>
      </w:pPr>
    </w:p>
    <w:bookmarkStart w:id="50" w:name="page51"/>
    <w:bookmarkEnd w:id="50"/>
    <w:p>
      <w:pPr>
        <w:ind w:right="60"/>
        <w:spacing w:after="0" w:line="227" w:lineRule="auto"/>
        <w:rPr>
          <w:sz w:val="20"/>
          <w:szCs w:val="20"/>
          <w:color w:val="auto"/>
        </w:rPr>
      </w:pPr>
      <w:r>
        <w:rPr>
          <w:rFonts w:ascii="Arial" w:cs="Arial" w:eastAsia="Arial" w:hAnsi="Arial"/>
          <w:sz w:val="11"/>
          <w:szCs w:val="11"/>
          <w:color w:val="auto"/>
          <w:highlight w:val="black"/>
        </w:rPr>
        <w:drawing>
          <wp:anchor simplePos="0" relativeHeight="251657728" behindDoc="1" locked="0" layoutInCell="0" allowOverlap="1">
            <wp:simplePos x="0" y="0"/>
            <wp:positionH relativeFrom="page">
              <wp:posOffset>185420</wp:posOffset>
            </wp:positionH>
            <wp:positionV relativeFrom="page">
              <wp:posOffset>494030</wp:posOffset>
            </wp:positionV>
            <wp:extent cx="639445" cy="679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9445" cy="67945"/>
                    </a:xfrm>
                    <a:prstGeom prst="rect">
                      <a:avLst/>
                    </a:prstGeom>
                    <a:noFill/>
                  </pic:spPr>
                </pic:pic>
              </a:graphicData>
            </a:graphic>
          </wp:anchor>
        </w:drawing>
        <w:t>Operating EBITDAr</w:t>
      </w:r>
      <w:r>
        <w:rPr>
          <w:rFonts w:ascii="Arial" w:cs="Arial" w:eastAsia="Arial" w:hAnsi="Arial"/>
          <w:sz w:val="11"/>
          <w:szCs w:val="11"/>
          <w:color w:val="auto"/>
        </w:rPr>
        <w:t>e: Nareit EBITDAre is a measure of REIT performance, which the Nareit defines as net income, computed in accordance with GAAP, excluding (i) interest expense; (ii) income tax expense; (iii) depreciation and</w:t>
      </w:r>
      <w:r>
        <w:rPr>
          <w:rFonts w:ascii="Arial" w:cs="Arial" w:eastAsia="Arial" w:hAnsi="Arial"/>
          <w:sz w:val="11"/>
          <w:szCs w:val="11"/>
          <w:color w:val="auto"/>
          <w:highlight w:val="black"/>
        </w:rPr>
        <w:t xml:space="preserve"> </w:t>
      </w:r>
      <w:r>
        <w:rPr>
          <w:rFonts w:ascii="Arial" w:cs="Arial" w:eastAsia="Arial" w:hAnsi="Arial"/>
          <w:sz w:val="11"/>
          <w:szCs w:val="11"/>
          <w:color w:val="auto"/>
        </w:rPr>
        <w:t>amortization; (iv) gains on sales of real estate; (v) impairments of real estate; and (vi) adjustments to reflect the Company’s share of unconsolidated partnerships and joint ventures. Operating EBITDAre excludes from Nareit EBITDAre certain non-cash components of earnings derived from straight-line rents and above and below market rent amortization. The Company provides a reconciliation of Net Income to Nareit EBITDAre to Operating EBITDAre.</w:t>
      </w:r>
    </w:p>
    <w:p>
      <w:pPr>
        <w:spacing w:after="0" w:line="238" w:lineRule="exact"/>
        <w:rPr>
          <w:sz w:val="20"/>
          <w:szCs w:val="20"/>
          <w:color w:val="auto"/>
        </w:rPr>
      </w:pPr>
    </w:p>
    <w:p>
      <w:pPr>
        <w:ind w:right="180"/>
        <w:spacing w:after="0" w:line="232" w:lineRule="auto"/>
        <w:rPr>
          <w:sz w:val="20"/>
          <w:szCs w:val="20"/>
          <w:color w:val="auto"/>
        </w:rPr>
      </w:pPr>
      <w:r>
        <w:rPr>
          <w:rFonts w:ascii="Arial" w:cs="Arial" w:eastAsia="Arial" w:hAnsi="Arial"/>
          <w:sz w:val="11"/>
          <w:szCs w:val="11"/>
          <w:color w:val="auto"/>
          <w:highlight w:val="black"/>
        </w:rPr>
        <w:t xml:space="preserve">Pro-rata information: </w:t>
      </w:r>
      <w:r>
        <w:rPr>
          <w:rFonts w:ascii="Arial" w:cs="Arial" w:eastAsia="Arial" w:hAnsi="Arial"/>
          <w:sz w:val="11"/>
          <w:szCs w:val="11"/>
          <w:color w:val="auto"/>
        </w:rPr>
        <w:t>includes 100% of the Company’s consolidated properties plus its economic share (based on the ownership interest) in the unconsolidated real estate investment partnerships. The Company provides Pro-rata</w:t>
      </w:r>
      <w:r>
        <w:rPr>
          <w:rFonts w:ascii="Arial" w:cs="Arial" w:eastAsia="Arial" w:hAnsi="Arial"/>
          <w:sz w:val="11"/>
          <w:szCs w:val="11"/>
          <w:color w:val="auto"/>
          <w:highlight w:val="black"/>
        </w:rPr>
        <w:t xml:space="preserve"> </w:t>
      </w:r>
      <w:r>
        <w:rPr>
          <w:rFonts w:ascii="Arial" w:cs="Arial" w:eastAsia="Arial" w:hAnsi="Arial"/>
          <w:sz w:val="11"/>
          <w:szCs w:val="11"/>
          <w:color w:val="auto"/>
        </w:rPr>
        <w:t>financial information because Regency believes it assists investors and analysts in estimating the economic interest in the consolidated and unconsolidated real estate investment partnerships, when read in conjunction with the Company’s reported results under GAAP. The Company believes presenting its Pro-rata share of assets, liabilities, operating results, and other metrics, along with certain other non-GAAP financial measures, makes comparisons of its operating results to those of other REITs more meaningful. The Pro-rata information provided is not, nor is it intended to be, presented in accordance with GAAP. The Pro-rata supplemental details of assets and liabilities and supplemental details of operations reflect the Company’s proportionate economic ownership of the assets, liabilities, and operating results of the properties 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63817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38175" cy="5715"/>
                    </a:xfrm>
                    <a:prstGeom prst="rect">
                      <a:avLst/>
                    </a:prstGeom>
                    <a:noFill/>
                  </pic:spPr>
                </pic:pic>
              </a:graphicData>
            </a:graphic>
          </wp:anchor>
        </w:drawing>
      </w:r>
    </w:p>
    <w:p>
      <w:pPr>
        <w:spacing w:after="0" w:line="110" w:lineRule="exact"/>
        <w:rPr>
          <w:sz w:val="20"/>
          <w:szCs w:val="20"/>
          <w:color w:val="auto"/>
        </w:rPr>
      </w:pPr>
    </w:p>
    <w:p>
      <w:pPr>
        <w:ind w:right="60"/>
        <w:spacing w:after="0" w:line="230" w:lineRule="auto"/>
        <w:rPr>
          <w:sz w:val="20"/>
          <w:szCs w:val="20"/>
          <w:color w:val="auto"/>
        </w:rPr>
      </w:pPr>
      <w:r>
        <w:rPr>
          <w:rFonts w:ascii="Arial" w:cs="Arial" w:eastAsia="Arial" w:hAnsi="Arial"/>
          <w:sz w:val="11"/>
          <w:szCs w:val="11"/>
          <w:color w:val="auto"/>
        </w:rPr>
        <w:t>The Pro-rata information is prepared on a basis consistent with the comparable consolidated amounts and is intended to more accurately reflect the Company’s proportionate economic interest in the assets, liabilities, and operating results of properties in its portfolio. The Company does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The Company’s share of invested capital establishes the ownership interests Regency uses to prepare its Pro-rata share.</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The presentation of Pro-rata information has limitations which include, but are not limited to, the following:</w:t>
      </w:r>
    </w:p>
    <w:p>
      <w:pPr>
        <w:spacing w:after="0" w:line="44" w:lineRule="exact"/>
        <w:rPr>
          <w:sz w:val="20"/>
          <w:szCs w:val="20"/>
          <w:color w:val="auto"/>
        </w:rPr>
      </w:pPr>
    </w:p>
    <w:p>
      <w:pPr>
        <w:ind w:left="1020" w:right="240" w:hanging="516"/>
        <w:spacing w:after="0" w:line="232" w:lineRule="auto"/>
        <w:tabs>
          <w:tab w:leader="none" w:pos="1020" w:val="left"/>
        </w:tabs>
        <w:numPr>
          <w:ilvl w:val="0"/>
          <w:numId w:val="56"/>
        </w:numPr>
        <w:rPr>
          <w:rFonts w:ascii="Times New Roman" w:cs="Times New Roman" w:eastAsia="Times New Roman" w:hAnsi="Times New Roman"/>
          <w:sz w:val="11"/>
          <w:szCs w:val="11"/>
          <w:color w:val="auto"/>
        </w:rPr>
      </w:pPr>
      <w:r>
        <w:rPr>
          <w:rFonts w:ascii="Arial" w:cs="Arial" w:eastAsia="Arial" w:hAnsi="Arial"/>
          <w:sz w:val="11"/>
          <w:szCs w:val="11"/>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14" w:lineRule="exact"/>
        <w:rPr>
          <w:rFonts w:ascii="Times New Roman" w:cs="Times New Roman" w:eastAsia="Times New Roman" w:hAnsi="Times New Roman"/>
          <w:sz w:val="11"/>
          <w:szCs w:val="11"/>
          <w:color w:val="auto"/>
        </w:rPr>
      </w:pPr>
    </w:p>
    <w:p>
      <w:pPr>
        <w:ind w:left="1020" w:hanging="516"/>
        <w:spacing w:after="0"/>
        <w:tabs>
          <w:tab w:leader="none" w:pos="1020" w:val="left"/>
        </w:tabs>
        <w:numPr>
          <w:ilvl w:val="0"/>
          <w:numId w:val="56"/>
        </w:numPr>
        <w:rPr>
          <w:rFonts w:ascii="Times New Roman" w:cs="Times New Roman" w:eastAsia="Times New Roman" w:hAnsi="Times New Roman"/>
          <w:sz w:val="11"/>
          <w:szCs w:val="11"/>
          <w:color w:val="auto"/>
        </w:rPr>
      </w:pPr>
      <w:r>
        <w:rPr>
          <w:rFonts w:ascii="Arial" w:cs="Arial" w:eastAsia="Arial" w:hAnsi="Arial"/>
          <w:sz w:val="11"/>
          <w:szCs w:val="11"/>
          <w:color w:val="auto"/>
        </w:rPr>
        <w:t>Other companies in our industry may calculate their Pro-rata interest differently, limiting the comparability of Pro-rata information.</w:t>
      </w:r>
    </w:p>
    <w:p>
      <w:pPr>
        <w:spacing w:after="0" w:line="170" w:lineRule="exact"/>
        <w:rPr>
          <w:sz w:val="20"/>
          <w:szCs w:val="20"/>
          <w:color w:val="auto"/>
        </w:rPr>
      </w:pPr>
    </w:p>
    <w:p>
      <w:pPr>
        <w:ind w:right="80"/>
        <w:spacing w:after="0" w:line="220" w:lineRule="auto"/>
        <w:rPr>
          <w:sz w:val="20"/>
          <w:szCs w:val="20"/>
          <w:color w:val="auto"/>
        </w:rPr>
      </w:pPr>
      <w:r>
        <w:rPr>
          <w:rFonts w:ascii="Arial" w:cs="Arial" w:eastAsia="Arial" w:hAnsi="Arial"/>
          <w:sz w:val="11"/>
          <w:szCs w:val="11"/>
          <w:color w:val="auto"/>
        </w:rPr>
        <w:t>Because of these limitations, the Pro-rata financial information should not be considered independently or as a substitute for the financial statements as reported under GAAP. The Company compensates for these limitations by relying primarily on our GAAP financial statements, using the Pro-rata information as a supplement.</w:t>
      </w:r>
    </w:p>
    <w:p>
      <w:pPr>
        <w:spacing w:after="0" w:line="238" w:lineRule="exact"/>
        <w:rPr>
          <w:sz w:val="20"/>
          <w:szCs w:val="20"/>
          <w:color w:val="auto"/>
        </w:rPr>
      </w:pPr>
    </w:p>
    <w:p>
      <w:pPr>
        <w:ind w:right="140"/>
        <w:spacing w:after="0" w:line="220" w:lineRule="auto"/>
        <w:rPr>
          <w:sz w:val="20"/>
          <w:szCs w:val="20"/>
          <w:color w:val="auto"/>
        </w:rPr>
      </w:pPr>
      <w:r>
        <w:rPr>
          <w:rFonts w:ascii="Arial" w:cs="Arial" w:eastAsia="Arial" w:hAnsi="Arial"/>
          <w:sz w:val="11"/>
          <w:szCs w:val="11"/>
          <w:color w:val="auto"/>
          <w:highlight w:val="black"/>
        </w:rPr>
        <w:t xml:space="preserve">Same Property NOI: </w:t>
      </w:r>
      <w:r>
        <w:rPr>
          <w:rFonts w:ascii="Arial" w:cs="Arial" w:eastAsia="Arial" w:hAnsi="Arial"/>
          <w:sz w:val="11"/>
          <w:szCs w:val="11"/>
          <w:color w:val="auto"/>
        </w:rPr>
        <w:t>a key non-GAAP financial measure commonly used by real estate investment trusts (REITs) to evaluate operating performance. It is calculated on a Pro-rata ownership basis for properties owned and operated for</w:t>
      </w:r>
      <w:r>
        <w:rPr>
          <w:rFonts w:ascii="Arial" w:cs="Arial" w:eastAsia="Arial" w:hAnsi="Arial"/>
          <w:sz w:val="11"/>
          <w:szCs w:val="11"/>
          <w:color w:val="auto"/>
          <w:highlight w:val="black"/>
        </w:rPr>
        <w:t xml:space="preserve"> </w:t>
      </w:r>
      <w:r>
        <w:rPr>
          <w:rFonts w:ascii="Arial" w:cs="Arial" w:eastAsia="Arial" w:hAnsi="Arial"/>
          <w:sz w:val="11"/>
          <w:szCs w:val="11"/>
          <w:color w:val="auto"/>
        </w:rPr>
        <w:t>the entirety of both the current and prior comparable reporting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1341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3410" cy="5715"/>
                    </a:xfrm>
                    <a:prstGeom prst="rect">
                      <a:avLst/>
                    </a:prstGeom>
                    <a:noFill/>
                  </pic:spPr>
                </pic:pic>
              </a:graphicData>
            </a:graphic>
          </wp:anchor>
        </w:drawing>
      </w:r>
    </w:p>
    <w:p>
      <w:pPr>
        <w:spacing w:after="0" w:line="110" w:lineRule="exact"/>
        <w:rPr>
          <w:sz w:val="20"/>
          <w:szCs w:val="20"/>
          <w:color w:val="auto"/>
        </w:rPr>
      </w:pPr>
    </w:p>
    <w:p>
      <w:pPr>
        <w:ind w:right="60"/>
        <w:spacing w:after="0" w:line="220" w:lineRule="auto"/>
        <w:rPr>
          <w:sz w:val="20"/>
          <w:szCs w:val="20"/>
          <w:color w:val="auto"/>
        </w:rPr>
      </w:pPr>
      <w:r>
        <w:rPr>
          <w:rFonts w:ascii="Arial" w:cs="Arial" w:eastAsia="Arial" w:hAnsi="Arial"/>
          <w:sz w:val="11"/>
          <w:szCs w:val="11"/>
          <w:color w:val="auto"/>
        </w:rPr>
        <w:t>Same Property NOI includes revenues and operating expenses associated with these properties but excludes items that are not indicative of ongoing operating performance. These include, without limitation, termination fees, as well as corporate-level expenses, financing costs, and other non-operating items.</w:t>
      </w:r>
    </w:p>
    <w:p>
      <w:pPr>
        <w:spacing w:after="0" w:line="130" w:lineRule="exact"/>
        <w:rPr>
          <w:sz w:val="20"/>
          <w:szCs w:val="20"/>
          <w:color w:val="auto"/>
        </w:rPr>
      </w:pPr>
    </w:p>
    <w:p>
      <w:pPr>
        <w:ind w:right="200"/>
        <w:spacing w:after="0" w:line="227" w:lineRule="auto"/>
        <w:rPr>
          <w:sz w:val="20"/>
          <w:szCs w:val="20"/>
          <w:color w:val="auto"/>
        </w:rPr>
      </w:pPr>
      <w:r>
        <w:rPr>
          <w:rFonts w:ascii="Arial" w:cs="Arial" w:eastAsia="Arial" w:hAnsi="Arial"/>
          <w:sz w:val="11"/>
          <w:szCs w:val="11"/>
          <w:color w:val="auto"/>
        </w:rPr>
        <w:t>Management believes this measure provides investors with a useful and consistent comparison of the Company’s operating performance and trends. Management uses Same Property NOI as a supplemental measure to assess property-level performance and to compare the performance of its stabilized property portfolio across reporting periods. This measure allows investors to evaluate trends in revenue and expense growth for properties that have been consistently operated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135255</wp:posOffset>
            </wp:positionV>
            <wp:extent cx="287020" cy="154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7020" cy="15494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sectPr>
      </w:pPr>
    </w:p>
    <w:bookmarkStart w:id="51" w:name="page52"/>
    <w:bookmarkEnd w:id="51"/>
    <w:p>
      <w:pPr>
        <w:spacing w:after="0"/>
        <w:rPr>
          <w:sz w:val="20"/>
          <w:szCs w:val="20"/>
          <w:color w:val="auto"/>
        </w:rPr>
      </w:pPr>
      <w:r>
        <w:rPr>
          <w:rFonts w:ascii="Arial" w:cs="Arial" w:eastAsia="Arial" w:hAnsi="Arial"/>
          <w:sz w:val="11"/>
          <w:szCs w:val="11"/>
          <w:color w:val="auto"/>
          <w:highlight w:val="black"/>
        </w:rPr>
        <w:t>Other Defined Terms</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color w:val="auto"/>
          <w:highlight w:val="black"/>
        </w:rPr>
        <w:t xml:space="preserve">Anchor Space: </w:t>
      </w:r>
      <w:r>
        <w:rPr>
          <w:rFonts w:ascii="Arial" w:cs="Arial" w:eastAsia="Arial" w:hAnsi="Arial"/>
          <w:sz w:val="11"/>
          <w:szCs w:val="11"/>
          <w:color w:val="auto"/>
        </w:rPr>
        <w:t>A space equal to or greater than 10,000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3878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8785" cy="5715"/>
                    </a:xfrm>
                    <a:prstGeom prst="rect">
                      <a:avLst/>
                    </a:prstGeom>
                    <a:noFill/>
                  </pic:spPr>
                </pic:pic>
              </a:graphicData>
            </a:graphic>
          </wp:anchor>
        </w:drawing>
      </w:r>
    </w:p>
    <w:p>
      <w:pPr>
        <w:spacing w:after="0" w:line="218" w:lineRule="exact"/>
        <w:rPr>
          <w:sz w:val="20"/>
          <w:szCs w:val="20"/>
          <w:color w:val="auto"/>
        </w:rPr>
      </w:pPr>
    </w:p>
    <w:p>
      <w:pPr>
        <w:ind w:right="180"/>
        <w:spacing w:after="0" w:line="220" w:lineRule="auto"/>
        <w:rPr>
          <w:sz w:val="20"/>
          <w:szCs w:val="20"/>
          <w:color w:val="auto"/>
        </w:rPr>
      </w:pPr>
      <w:r>
        <w:rPr>
          <w:rFonts w:ascii="Arial" w:cs="Arial" w:eastAsia="Arial" w:hAnsi="Arial"/>
          <w:sz w:val="11"/>
          <w:szCs w:val="11"/>
          <w:color w:val="auto"/>
        </w:rPr>
        <w:t>Development Completion: A Property in Development that is deemed complete upon the earlier of (i) 90% of total estimated net development costs have been incurred and percent leased equals or exceeds 95%, or (ii) the property features at least two years of anchor operations. Once deemed complete, the property is termed a Retail Operating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6327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3270" cy="5715"/>
                    </a:xfrm>
                    <a:prstGeom prst="rect">
                      <a:avLst/>
                    </a:prstGeom>
                    <a:noFill/>
                  </pic:spPr>
                </pic:pic>
              </a:graphicData>
            </a:graphic>
          </wp:anchor>
        </w:drawing>
      </w:r>
    </w:p>
    <w:p>
      <w:pPr>
        <w:spacing w:after="0" w:line="218" w:lineRule="exact"/>
        <w:rPr>
          <w:sz w:val="20"/>
          <w:szCs w:val="20"/>
          <w:color w:val="auto"/>
        </w:rPr>
      </w:pPr>
    </w:p>
    <w:p>
      <w:pPr>
        <w:ind w:right="140"/>
        <w:spacing w:after="0" w:line="220" w:lineRule="auto"/>
        <w:rPr>
          <w:sz w:val="20"/>
          <w:szCs w:val="20"/>
          <w:color w:val="auto"/>
        </w:rPr>
      </w:pPr>
      <w:r>
        <w:rPr>
          <w:rFonts w:ascii="Arial" w:cs="Arial" w:eastAsia="Arial" w:hAnsi="Arial"/>
          <w:sz w:val="11"/>
          <w:szCs w:val="11"/>
          <w:color w:val="auto"/>
        </w:rPr>
        <w:t>Expense Recovery Ratio: Represents the percentage of real estate operating expenses, excluding ground rent, that is reimbursed by tenants. Expense Recovery Ratio is calculated as recoveries from tenants divided by total real estate operating expenses, excluding ground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75311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53110"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highlight w:val="black"/>
        </w:rPr>
        <w:t xml:space="preserve">NOI Margin: </w:t>
      </w:r>
      <w:r>
        <w:rPr>
          <w:rFonts w:ascii="Arial" w:cs="Arial" w:eastAsia="Arial" w:hAnsi="Arial"/>
          <w:sz w:val="11"/>
          <w:szCs w:val="11"/>
          <w:color w:val="auto"/>
        </w:rPr>
        <w:t>The ratio of NOI to total real estate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37274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72745" cy="5715"/>
                    </a:xfrm>
                    <a:prstGeom prst="rect">
                      <a:avLst/>
                    </a:prstGeom>
                    <a:noFill/>
                  </pic:spPr>
                </pic:pic>
              </a:graphicData>
            </a:graphic>
          </wp:anchor>
        </w:drawing>
      </w:r>
    </w:p>
    <w:p>
      <w:pPr>
        <w:spacing w:after="0" w:line="218" w:lineRule="exact"/>
        <w:rPr>
          <w:sz w:val="20"/>
          <w:szCs w:val="20"/>
          <w:color w:val="auto"/>
        </w:rPr>
      </w:pPr>
    </w:p>
    <w:p>
      <w:pPr>
        <w:ind w:right="220"/>
        <w:spacing w:after="0" w:line="227" w:lineRule="auto"/>
        <w:rPr>
          <w:sz w:val="20"/>
          <w:szCs w:val="20"/>
          <w:color w:val="auto"/>
        </w:rPr>
      </w:pPr>
      <w:r>
        <w:rPr>
          <w:rFonts w:ascii="Arial" w:cs="Arial" w:eastAsia="Arial" w:hAnsi="Arial"/>
          <w:sz w:val="11"/>
          <w:szCs w:val="11"/>
          <w:color w:val="auto"/>
          <w:highlight w:val="black"/>
        </w:rPr>
        <w:t xml:space="preserve">Non-Same Property: </w:t>
      </w:r>
      <w:r>
        <w:rPr>
          <w:rFonts w:ascii="Arial" w:cs="Arial" w:eastAsia="Arial" w:hAnsi="Arial"/>
          <w:sz w:val="11"/>
          <w:szCs w:val="11"/>
          <w:color w:val="auto"/>
        </w:rPr>
        <w:t>Any property, during either calendar year period being compared, that was acquired, sold, a Property in Development, a Development Completion, or a property under, or being positioned for, significant</w:t>
      </w:r>
      <w:r>
        <w:rPr>
          <w:rFonts w:ascii="Arial" w:cs="Arial" w:eastAsia="Arial" w:hAnsi="Arial"/>
          <w:sz w:val="11"/>
          <w:szCs w:val="11"/>
          <w:color w:val="auto"/>
          <w:highlight w:val="black"/>
        </w:rPr>
        <w:t xml:space="preserve"> </w:t>
      </w:r>
      <w:r>
        <w:rPr>
          <w:rFonts w:ascii="Arial" w:cs="Arial" w:eastAsia="Arial" w:hAnsi="Arial"/>
          <w:sz w:val="11"/>
          <w:szCs w:val="11"/>
          <w:color w:val="auto"/>
        </w:rPr>
        <w:t>redevelopment that distorts comparability between periods. Non-retail properties and corporate activities, including the captive insurance program, are part of Non-Same Property. Please refer to the footnote on Property Summary Report for Non-Same Property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61785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7855" cy="5715"/>
                    </a:xfrm>
                    <a:prstGeom prst="rect">
                      <a:avLst/>
                    </a:prstGeom>
                    <a:noFill/>
                  </pic:spPr>
                </pic:pic>
              </a:graphicData>
            </a:graphic>
          </wp:anchor>
        </w:drawing>
      </w:r>
    </w:p>
    <w:p>
      <w:pPr>
        <w:spacing w:after="0" w:line="218" w:lineRule="exact"/>
        <w:rPr>
          <w:sz w:val="20"/>
          <w:szCs w:val="20"/>
          <w:color w:val="auto"/>
        </w:rPr>
      </w:pPr>
    </w:p>
    <w:p>
      <w:pPr>
        <w:ind w:right="100"/>
        <w:spacing w:after="0" w:line="220" w:lineRule="auto"/>
        <w:rPr>
          <w:sz w:val="20"/>
          <w:szCs w:val="20"/>
          <w:color w:val="auto"/>
        </w:rPr>
      </w:pPr>
      <w:r>
        <w:rPr>
          <w:rFonts w:ascii="Arial" w:cs="Arial" w:eastAsia="Arial" w:hAnsi="Arial"/>
          <w:sz w:val="11"/>
          <w:szCs w:val="11"/>
          <w:color w:val="auto"/>
          <w:highlight w:val="black"/>
        </w:rPr>
        <w:t xml:space="preserve">Other lease income: </w:t>
      </w:r>
      <w:r>
        <w:rPr>
          <w:rFonts w:ascii="Arial" w:cs="Arial" w:eastAsia="Arial" w:hAnsi="Arial"/>
          <w:sz w:val="11"/>
          <w:szCs w:val="11"/>
          <w:color w:val="auto"/>
        </w:rPr>
        <w:t>includes revenue derived from various lease-related activities beyond standard base or percentage rent. This primarily includes income from temporary tenants, late fees, signage and marketing fees, sustainability</w:t>
      </w:r>
      <w:r>
        <w:rPr>
          <w:rFonts w:ascii="Arial" w:cs="Arial" w:eastAsia="Arial" w:hAnsi="Arial"/>
          <w:sz w:val="11"/>
          <w:szCs w:val="11"/>
          <w:color w:val="auto"/>
          <w:highlight w:val="black"/>
        </w:rPr>
        <w:t xml:space="preserve"> </w:t>
      </w:r>
      <w:r>
        <w:rPr>
          <w:rFonts w:ascii="Arial" w:cs="Arial" w:eastAsia="Arial" w:hAnsi="Arial"/>
          <w:sz w:val="11"/>
          <w:szCs w:val="11"/>
          <w:color w:val="auto"/>
        </w:rPr>
        <w:t>income, land/building rentals, communications tower leases, tenant/employee parking fees, incidental income, and other ancillary charges generally outlined in lease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611505"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505"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highlight w:val="black"/>
        </w:rPr>
        <w:t xml:space="preserve">Other property income: </w:t>
      </w:r>
      <w:r>
        <w:rPr>
          <w:rFonts w:ascii="Arial" w:cs="Arial" w:eastAsia="Arial" w:hAnsi="Arial"/>
          <w:sz w:val="11"/>
          <w:szCs w:val="11"/>
          <w:color w:val="auto"/>
        </w:rPr>
        <w:t>includes parking fees and other incidental income from the properties and is generally recognized at the point in time that the performance obligation is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105"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105" cy="571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color w:val="auto"/>
          <w:highlight w:val="black"/>
        </w:rPr>
        <w:t xml:space="preserve">Property In Development: </w:t>
      </w:r>
      <w:r>
        <w:rPr>
          <w:rFonts w:ascii="Arial" w:cs="Arial" w:eastAsia="Arial" w:hAnsi="Arial"/>
          <w:sz w:val="11"/>
          <w:szCs w:val="11"/>
          <w:color w:val="auto"/>
        </w:rPr>
        <w:t>Properties in various stages of ground-up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8867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88670" cy="571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color w:val="auto"/>
        </w:rPr>
        <w:t>Property In Redevelopment: Retail Operating Properties under redevelopment or being positioned for redevelopment. Unless otherwise indicated, a Property in Redevelopment is included in the Same Property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85915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9155" cy="5715"/>
                    </a:xfrm>
                    <a:prstGeom prst="rect">
                      <a:avLst/>
                    </a:prstGeom>
                    <a:noFill/>
                  </pic:spPr>
                </pic:pic>
              </a:graphicData>
            </a:graphic>
          </wp:anchor>
        </w:drawing>
      </w:r>
    </w:p>
    <w:p>
      <w:pPr>
        <w:spacing w:after="0" w:line="218" w:lineRule="exact"/>
        <w:rPr>
          <w:sz w:val="20"/>
          <w:szCs w:val="20"/>
          <w:color w:val="auto"/>
        </w:rPr>
      </w:pPr>
    </w:p>
    <w:p>
      <w:pPr>
        <w:ind w:right="160"/>
        <w:spacing w:after="0" w:line="220" w:lineRule="auto"/>
        <w:rPr>
          <w:sz w:val="20"/>
          <w:szCs w:val="20"/>
          <w:color w:val="auto"/>
        </w:rPr>
      </w:pPr>
      <w:r>
        <w:rPr>
          <w:rFonts w:ascii="Arial" w:cs="Arial" w:eastAsia="Arial" w:hAnsi="Arial"/>
          <w:sz w:val="11"/>
          <w:szCs w:val="11"/>
          <w:color w:val="auto"/>
        </w:rPr>
        <w:t>Redevelopment Completion: A Property in Redevelopment that is deemed complete upon the earlier of (i) 90% of total estimated project costs have been incurred and percent leased equals or exceeds 95% for the Company owned GLA related to the project, or (ii) the property features at least two years of anchor operations,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85788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885"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Retail Operating Property: Any retail property not termed a Property In Development. A retail property is any property where the majority of the income is generated from retail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93115"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93115" cy="5715"/>
                    </a:xfrm>
                    <a:prstGeom prst="rect">
                      <a:avLst/>
                    </a:prstGeom>
                    <a:noFill/>
                  </pic:spPr>
                </pic:pic>
              </a:graphicData>
            </a:graphic>
          </wp:anchor>
        </w:drawing>
      </w:r>
    </w:p>
    <w:p>
      <w:pPr>
        <w:spacing w:after="0" w:line="218" w:lineRule="exact"/>
        <w:rPr>
          <w:sz w:val="20"/>
          <w:szCs w:val="20"/>
          <w:color w:val="auto"/>
        </w:rPr>
      </w:pPr>
    </w:p>
    <w:p>
      <w:pPr>
        <w:ind w:right="20"/>
        <w:spacing w:after="0" w:line="220" w:lineRule="auto"/>
        <w:rPr>
          <w:sz w:val="20"/>
          <w:szCs w:val="20"/>
          <w:color w:val="auto"/>
        </w:rPr>
      </w:pPr>
      <w:r>
        <w:rPr>
          <w:rFonts w:ascii="Arial" w:cs="Arial" w:eastAsia="Arial" w:hAnsi="Arial"/>
          <w:sz w:val="11"/>
          <w:szCs w:val="11"/>
          <w:color w:val="auto"/>
          <w:highlight w:val="black"/>
        </w:rPr>
        <w:t xml:space="preserve">Same Property: </w:t>
      </w:r>
      <w:r>
        <w:rPr>
          <w:rFonts w:ascii="Arial" w:cs="Arial" w:eastAsia="Arial" w:hAnsi="Arial"/>
          <w:sz w:val="11"/>
          <w:szCs w:val="11"/>
          <w:color w:val="auto"/>
        </w:rPr>
        <w:t>Retail Operating Property that was owned and operated for the entirety of both calendar year periods being compared. This term excludes Property in Development, prior year Development Completions, and Non-Same</w:t>
      </w:r>
      <w:r>
        <w:rPr>
          <w:rFonts w:ascii="Arial" w:cs="Arial" w:eastAsia="Arial" w:hAnsi="Arial"/>
          <w:sz w:val="11"/>
          <w:szCs w:val="11"/>
          <w:color w:val="auto"/>
          <w:highlight w:val="black"/>
        </w:rPr>
        <w:t xml:space="preserve"> </w:t>
      </w:r>
      <w:r>
        <w:rPr>
          <w:rFonts w:ascii="Arial" w:cs="Arial" w:eastAsia="Arial" w:hAnsi="Arial"/>
          <w:sz w:val="11"/>
          <w:szCs w:val="11"/>
          <w:color w:val="auto"/>
        </w:rPr>
        <w:t>Properties. Property in Redevelopment is included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47117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71170" cy="571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highlight w:val="black"/>
        </w:rPr>
        <w:t xml:space="preserve">Shop Space: </w:t>
      </w:r>
      <w:r>
        <w:rPr>
          <w:rFonts w:ascii="Arial" w:cs="Arial" w:eastAsia="Arial" w:hAnsi="Arial"/>
          <w:sz w:val="11"/>
          <w:szCs w:val="11"/>
          <w:color w:val="auto"/>
        </w:rPr>
        <w:t>A space under 10,000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284480</wp:posOffset>
            </wp:positionV>
            <wp:extent cx="287020" cy="154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7020" cy="154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37909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9095" cy="571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100" w:type="dxa"/>
            <w:vAlign w:val="bottom"/>
          </w:tcPr>
          <w:p>
            <w:pPr>
              <w:ind w:left="10220"/>
              <w:spacing w:after="0"/>
              <w:rPr>
                <w:sz w:val="20"/>
                <w:szCs w:val="20"/>
                <w:color w:val="auto"/>
              </w:rPr>
            </w:pPr>
            <w:r>
              <w:rPr>
                <w:rFonts w:ascii="Arial" w:cs="Arial" w:eastAsia="Arial" w:hAnsi="Arial"/>
                <w:sz w:val="7"/>
                <w:szCs w:val="7"/>
                <w:color w:val="404040"/>
              </w:rPr>
              <w:t>Supplemental Information</w:t>
            </w:r>
          </w:p>
        </w:tc>
        <w:tc>
          <w:tcPr>
            <w:tcW w:w="20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505"/>
        </w:trPr>
        <w:tc>
          <w:tcPr>
            <w:tcW w:w="1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52" w:name="page53"/>
    <w:bookmarkEnd w:id="52"/>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20955</wp:posOffset>
            </wp:positionV>
            <wp:extent cx="7230745" cy="44056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30745" cy="4405630"/>
                    </a:xfrm>
                    <a:prstGeom prst="rect">
                      <a:avLst/>
                    </a:prstGeom>
                    <a:noFill/>
                  </pic:spPr>
                </pic:pic>
              </a:graphicData>
            </a:graphic>
          </wp:anchor>
        </w:drawing>
      </w:r>
    </w:p>
    <w:p>
      <w:pPr>
        <w:sectPr>
          <w:pgSz w:w="11900" w:h="16838" w:orient="portrait"/>
          <w:cols w:equalWidth="0" w:num="1">
            <w:col w:w="10160"/>
          </w:cols>
          <w:pgMar w:left="1440" w:top="559" w:right="29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456565</wp:posOffset>
            </wp:positionV>
            <wp:extent cx="7225030" cy="44056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25030" cy="4405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456565</wp:posOffset>
            </wp:positionV>
            <wp:extent cx="7202805" cy="43821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02805" cy="4382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456565</wp:posOffset>
            </wp:positionV>
            <wp:extent cx="7231380" cy="4434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31380" cy="4434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456565</wp:posOffset>
            </wp:positionV>
            <wp:extent cx="7231380" cy="44227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31380" cy="4422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4796155</wp:posOffset>
            </wp:positionV>
            <wp:extent cx="720280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02805" cy="368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456565</wp:posOffset>
            </wp:positionV>
            <wp:extent cx="6873240" cy="38646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6873240" cy="3864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2"/>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2026-05-01T04:18:18Z</dcterms:created>
  <dcterms:modified xsi:type="dcterms:W3CDTF">2026-05-01T04:18:18Z</dcterms:modified>
</cp:coreProperties>
</file>