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line="228"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60"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 the quarterly period ended September 30, 2024</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74" w:lineRule="exact"/>
        <w:rPr>
          <w:sz w:val="24"/>
          <w:szCs w:val="24"/>
          <w:color w:val="auto"/>
        </w:rPr>
      </w:pPr>
    </w:p>
    <w:p>
      <w:pPr>
        <w:ind w:left="1140" w:hanging="198"/>
        <w:spacing w:after="0"/>
        <w:tabs>
          <w:tab w:leader="none" w:pos="11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80" w:lineRule="exact"/>
        <w:rPr>
          <w:sz w:val="24"/>
          <w:szCs w:val="24"/>
          <w:color w:val="auto"/>
        </w:rPr>
      </w:pPr>
    </w:p>
    <w:p>
      <w:pPr>
        <w:ind w:left="4060"/>
        <w:spacing w:after="0"/>
        <w:tabs>
          <w:tab w:leader="none" w:pos="6520" w:val="left"/>
        </w:tabs>
        <w:rPr>
          <w:sz w:val="20"/>
          <w:szCs w:val="20"/>
          <w:color w:val="auto"/>
        </w:rPr>
      </w:pPr>
      <w:r>
        <w:rPr>
          <w:rFonts w:ascii="Times New Roman" w:cs="Times New Roman" w:eastAsia="Times New Roman" w:hAnsi="Times New Roman"/>
          <w:sz w:val="16"/>
          <w:szCs w:val="16"/>
          <w:color w:val="auto"/>
        </w:rPr>
        <w:t>For the transition period from</w:t>
      </w:r>
      <w:r>
        <w:rPr>
          <w:sz w:val="20"/>
          <w:szCs w:val="20"/>
          <w:color w:val="auto"/>
        </w:rPr>
        <w:tab/>
      </w:r>
      <w:r>
        <w:rPr>
          <w:rFonts w:ascii="Times New Roman" w:cs="Times New Roman" w:eastAsia="Times New Roman" w:hAnsi="Times New Roman"/>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3821430</wp:posOffset>
            </wp:positionH>
            <wp:positionV relativeFrom="paragraph">
              <wp:posOffset>-4445</wp:posOffset>
            </wp:positionV>
            <wp:extent cx="3086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8610" cy="8890"/>
                    </a:xfrm>
                    <a:prstGeom prst="rect">
                      <a:avLst/>
                    </a:prstGeom>
                    <a:noFill/>
                  </pic:spPr>
                </pic:pic>
              </a:graphicData>
            </a:graphic>
          </wp:anchor>
        </w:drawing>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1-12298 (Regency Centers Corporation)</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Commission File Number 0-24763 (Regency Centers, L.P.)</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REGENCY CENTERS CORPORATION</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REGENCY CENTERS, L.P.</w:t>
      </w: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33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FLORIDA (REGENCY CENTERS CORPORATION)</w:t>
            </w: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780" w:type="dxa"/>
            <w:vAlign w:val="bottom"/>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59-3191743</w:t>
            </w:r>
          </w:p>
        </w:tc>
        <w:tc>
          <w:tcPr>
            <w:tcW w:w="0" w:type="dxa"/>
            <w:vAlign w:val="bottom"/>
          </w:tcPr>
          <w:p>
            <w:pPr>
              <w:spacing w:after="0"/>
              <w:rPr>
                <w:sz w:val="1"/>
                <w:szCs w:val="1"/>
                <w:color w:val="auto"/>
              </w:rPr>
            </w:pPr>
          </w:p>
        </w:tc>
      </w:tr>
      <w:tr>
        <w:trPr>
          <w:trHeight w:val="203"/>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DELAWARE (REGENCY CENTERS, L.P)</w:t>
            </w:r>
          </w:p>
        </w:tc>
        <w:tc>
          <w:tcPr>
            <w:tcW w:w="1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780" w:type="dxa"/>
            <w:vAlign w:val="bottom"/>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59-3429602</w:t>
            </w:r>
          </w:p>
        </w:tc>
        <w:tc>
          <w:tcPr>
            <w:tcW w:w="0" w:type="dxa"/>
            <w:vAlign w:val="bottom"/>
          </w:tcPr>
          <w:p>
            <w:pPr>
              <w:spacing w:after="0"/>
              <w:rPr>
                <w:sz w:val="1"/>
                <w:szCs w:val="1"/>
                <w:color w:val="auto"/>
              </w:rPr>
            </w:pPr>
          </w:p>
        </w:tc>
      </w:tr>
      <w:tr>
        <w:trPr>
          <w:trHeight w:val="257"/>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12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780" w:type="dxa"/>
            <w:vAlign w:val="bottom"/>
          </w:tcPr>
          <w:p>
            <w:pPr>
              <w:jc w:val="center"/>
              <w:ind w:right="52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350"/>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One Independent Drive, Suite 114</w:t>
            </w: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Jacksonville, Florida 32202</w:t>
            </w: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780" w:type="dxa"/>
            <w:vAlign w:val="bottom"/>
            <w:vMerge w:val="restart"/>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(904) 598-7000</w:t>
            </w:r>
          </w:p>
        </w:tc>
        <w:tc>
          <w:tcPr>
            <w:tcW w:w="0" w:type="dxa"/>
            <w:vAlign w:val="bottom"/>
          </w:tcPr>
          <w:p>
            <w:pPr>
              <w:spacing w:after="0"/>
              <w:rPr>
                <w:sz w:val="1"/>
                <w:szCs w:val="1"/>
                <w:color w:val="auto"/>
              </w:rPr>
            </w:pPr>
          </w:p>
        </w:tc>
      </w:tr>
      <w:tr>
        <w:trPr>
          <w:trHeight w:val="68"/>
        </w:trPr>
        <w:tc>
          <w:tcPr>
            <w:tcW w:w="4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c>
          <w:tcPr>
            <w:tcW w:w="1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780" w:type="dxa"/>
            <w:vAlign w:val="bottom"/>
          </w:tcPr>
          <w:p>
            <w:pPr>
              <w:jc w:val="center"/>
              <w:ind w:right="52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0" w:type="dxa"/>
            <w:vAlign w:val="bottom"/>
          </w:tcPr>
          <w:p>
            <w:pPr>
              <w:spacing w:after="0"/>
              <w:rPr>
                <w:sz w:val="1"/>
                <w:szCs w:val="1"/>
                <w:color w:val="auto"/>
              </w:rPr>
            </w:pPr>
          </w:p>
        </w:tc>
      </w:tr>
      <w:tr>
        <w:trPr>
          <w:trHeight w:val="243"/>
        </w:trPr>
        <w:tc>
          <w:tcPr>
            <w:tcW w:w="7460" w:type="dxa"/>
            <w:vAlign w:val="bottom"/>
            <w:gridSpan w:val="5"/>
          </w:tcPr>
          <w:p>
            <w:pPr>
              <w:jc w:val="center"/>
              <w:ind w:left="370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3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3"/>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Regency Centers Corporation</w:t>
            </w:r>
          </w:p>
        </w:tc>
        <w:tc>
          <w:tcPr>
            <w:tcW w:w="3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6"/>
                <w:szCs w:val="16"/>
                <w:color w:val="auto"/>
              </w:rPr>
            </w:pPr>
          </w:p>
        </w:tc>
        <w:tc>
          <w:tcPr>
            <w:tcW w:w="294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780" w:type="dxa"/>
            <w:vAlign w:val="bottom"/>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58"/>
        </w:trPr>
        <w:tc>
          <w:tcPr>
            <w:tcW w:w="440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Common Stock, $0.01 par value</w:t>
            </w:r>
          </w:p>
        </w:tc>
        <w:tc>
          <w:tcPr>
            <w:tcW w:w="120" w:type="dxa"/>
            <w:vAlign w:val="bottom"/>
          </w:tcPr>
          <w:p>
            <w:pPr>
              <w:spacing w:after="0"/>
              <w:rPr>
                <w:sz w:val="13"/>
                <w:szCs w:val="13"/>
                <w:color w:val="auto"/>
              </w:rPr>
            </w:pPr>
          </w:p>
        </w:tc>
        <w:tc>
          <w:tcPr>
            <w:tcW w:w="224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REG</w:t>
            </w:r>
          </w:p>
        </w:tc>
        <w:tc>
          <w:tcPr>
            <w:tcW w:w="1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3780" w:type="dxa"/>
            <w:vAlign w:val="bottom"/>
            <w:tcBorders>
              <w:top w:val="single" w:sz="8" w:color="auto"/>
            </w:tcBorders>
          </w:tcPr>
          <w:p>
            <w:pPr>
              <w:jc w:val="center"/>
              <w:ind w:right="528"/>
              <w:spacing w:after="0" w:line="158" w:lineRule="exact"/>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49"/>
        </w:trPr>
        <w:tc>
          <w:tcPr>
            <w:tcW w:w="4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6.250% Series A Cumulative Redeemable Preferred Stock, par value</w:t>
            </w:r>
          </w:p>
        </w:tc>
        <w:tc>
          <w:tcPr>
            <w:tcW w:w="120" w:type="dxa"/>
            <w:vAlign w:val="bottom"/>
          </w:tcPr>
          <w:p>
            <w:pPr>
              <w:spacing w:after="0"/>
              <w:rPr>
                <w:sz w:val="12"/>
                <w:szCs w:val="12"/>
                <w:color w:val="auto"/>
              </w:rPr>
            </w:pPr>
          </w:p>
        </w:tc>
        <w:tc>
          <w:tcPr>
            <w:tcW w:w="2940" w:type="dxa"/>
            <w:vAlign w:val="bottom"/>
            <w:gridSpan w:val="3"/>
            <w:vMerge w:val="restart"/>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REGCP</w:t>
            </w:r>
          </w:p>
        </w:tc>
        <w:tc>
          <w:tcPr>
            <w:tcW w:w="3780" w:type="dxa"/>
            <w:vAlign w:val="bottom"/>
            <w:vMerge w:val="restart"/>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09"/>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$0.01 per share</w:t>
            </w:r>
          </w:p>
        </w:tc>
        <w:tc>
          <w:tcPr>
            <w:tcW w:w="120" w:type="dxa"/>
            <w:vAlign w:val="bottom"/>
          </w:tcPr>
          <w:p>
            <w:pPr>
              <w:spacing w:after="0"/>
              <w:rPr>
                <w:sz w:val="9"/>
                <w:szCs w:val="9"/>
                <w:color w:val="auto"/>
              </w:rPr>
            </w:pPr>
          </w:p>
        </w:tc>
        <w:tc>
          <w:tcPr>
            <w:tcW w:w="2940" w:type="dxa"/>
            <w:vAlign w:val="bottom"/>
            <w:gridSpan w:val="3"/>
            <w:vMerge w:val="continue"/>
          </w:tcPr>
          <w:p>
            <w:pPr>
              <w:spacing w:after="0"/>
              <w:rPr>
                <w:sz w:val="9"/>
                <w:szCs w:val="9"/>
                <w:color w:val="auto"/>
              </w:rPr>
            </w:pPr>
          </w:p>
        </w:tc>
        <w:tc>
          <w:tcPr>
            <w:tcW w:w="3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4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5.875% Series B Cumulative Redeemable Preferred Stock, par value</w:t>
            </w:r>
          </w:p>
        </w:tc>
        <w:tc>
          <w:tcPr>
            <w:tcW w:w="120" w:type="dxa"/>
            <w:vAlign w:val="bottom"/>
          </w:tcPr>
          <w:p>
            <w:pPr>
              <w:spacing w:after="0"/>
              <w:rPr>
                <w:sz w:val="12"/>
                <w:szCs w:val="12"/>
                <w:color w:val="auto"/>
              </w:rPr>
            </w:pPr>
          </w:p>
        </w:tc>
        <w:tc>
          <w:tcPr>
            <w:tcW w:w="2940" w:type="dxa"/>
            <w:vAlign w:val="bottom"/>
            <w:gridSpan w:val="3"/>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REGCO</w:t>
            </w:r>
          </w:p>
        </w:tc>
        <w:tc>
          <w:tcPr>
            <w:tcW w:w="3780" w:type="dxa"/>
            <w:vAlign w:val="bottom"/>
            <w:vMerge w:val="restart"/>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c>
          <w:tcPr>
            <w:tcW w:w="0" w:type="dxa"/>
            <w:vAlign w:val="bottom"/>
          </w:tcPr>
          <w:p>
            <w:pPr>
              <w:spacing w:after="0"/>
              <w:rPr>
                <w:sz w:val="1"/>
                <w:szCs w:val="1"/>
                <w:color w:val="auto"/>
              </w:rPr>
            </w:pPr>
          </w:p>
        </w:tc>
      </w:tr>
      <w:tr>
        <w:trPr>
          <w:trHeight w:val="109"/>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$0.01 per share</w:t>
            </w:r>
          </w:p>
        </w:tc>
        <w:tc>
          <w:tcPr>
            <w:tcW w:w="120" w:type="dxa"/>
            <w:vAlign w:val="bottom"/>
          </w:tcPr>
          <w:p>
            <w:pPr>
              <w:spacing w:after="0"/>
              <w:rPr>
                <w:sz w:val="9"/>
                <w:szCs w:val="9"/>
                <w:color w:val="auto"/>
              </w:rPr>
            </w:pPr>
          </w:p>
        </w:tc>
        <w:tc>
          <w:tcPr>
            <w:tcW w:w="2940" w:type="dxa"/>
            <w:vAlign w:val="bottom"/>
            <w:gridSpan w:val="3"/>
            <w:vMerge w:val="continue"/>
          </w:tcPr>
          <w:p>
            <w:pPr>
              <w:spacing w:after="0"/>
              <w:rPr>
                <w:sz w:val="9"/>
                <w:szCs w:val="9"/>
                <w:color w:val="auto"/>
              </w:rPr>
            </w:pPr>
          </w:p>
        </w:tc>
        <w:tc>
          <w:tcPr>
            <w:tcW w:w="3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4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4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40" w:type="dxa"/>
            <w:vAlign w:val="bottom"/>
            <w:gridSpan w:val="3"/>
          </w:tcPr>
          <w:p>
            <w:pPr>
              <w:jc w:val="center"/>
              <w:ind w:right="740"/>
              <w:spacing w:after="0"/>
              <w:rPr>
                <w:sz w:val="20"/>
                <w:szCs w:val="20"/>
                <w:color w:val="auto"/>
              </w:rPr>
            </w:pPr>
            <w:r>
              <w:rPr>
                <w:rFonts w:ascii="Times New Roman" w:cs="Times New Roman" w:eastAsia="Times New Roman" w:hAnsi="Times New Roman"/>
                <w:sz w:val="16"/>
                <w:szCs w:val="16"/>
                <w:b w:val="1"/>
                <w:bCs w:val="1"/>
                <w:color w:val="auto"/>
              </w:rPr>
              <w:t>Regency Centers, L.P.</w:t>
            </w:r>
          </w:p>
        </w:tc>
        <w:tc>
          <w:tcPr>
            <w:tcW w:w="3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4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6"/>
                <w:szCs w:val="16"/>
                <w:color w:val="auto"/>
              </w:rPr>
            </w:pPr>
          </w:p>
        </w:tc>
        <w:tc>
          <w:tcPr>
            <w:tcW w:w="2940" w:type="dxa"/>
            <w:vAlign w:val="bottom"/>
            <w:gridSpan w:val="3"/>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780" w:type="dxa"/>
            <w:vAlign w:val="bottom"/>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4"/>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5"/>
                <w:szCs w:val="15"/>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w:t>
            </w:r>
          </w:p>
        </w:tc>
        <w:tc>
          <w:tcPr>
            <w:tcW w:w="10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780" w:type="dxa"/>
            <w:vAlign w:val="bottom"/>
            <w:tcBorders>
              <w:top w:val="single" w:sz="8" w:color="auto"/>
            </w:tcBorders>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rPr>
              <w:t>N/A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76200</wp:posOffset>
            </wp:positionV>
            <wp:extent cx="14230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-2245995</wp:posOffset>
            </wp:positionV>
            <wp:extent cx="1337310" cy="780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37310" cy="780415"/>
                    </a:xfrm>
                    <a:prstGeom prst="rect">
                      <a:avLst/>
                    </a:prstGeom>
                    <a:noFill/>
                  </pic:spPr>
                </pic:pic>
              </a:graphicData>
            </a:graphic>
          </wp:anchor>
        </w:drawing>
      </w:r>
    </w:p>
    <w:p>
      <w:pPr>
        <w:spacing w:after="0" w:line="172" w:lineRule="exact"/>
        <w:rPr>
          <w:sz w:val="24"/>
          <w:szCs w:val="24"/>
          <w:color w:val="auto"/>
        </w:rPr>
      </w:pPr>
    </w:p>
    <w:p>
      <w:pPr>
        <w:ind w:right="22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980"/>
        <w:spacing w:after="0" w:line="161" w:lineRule="exact"/>
        <w:tabs>
          <w:tab w:leader="none" w:pos="4300" w:val="left"/>
          <w:tab w:leader="none" w:pos="5000" w:val="left"/>
          <w:tab w:leader="none" w:pos="6240" w:val="left"/>
          <w:tab w:leader="none" w:pos="8100" w:val="left"/>
          <w:tab w:leader="none" w:pos="8800" w:val="left"/>
        </w:tabs>
        <w:rPr>
          <w:sz w:val="20"/>
          <w:szCs w:val="20"/>
          <w:color w:val="auto"/>
        </w:rPr>
      </w:pPr>
      <w:r>
        <w:rPr>
          <w:rFonts w:ascii="Times New Roman" w:cs="Times New Roman" w:eastAsia="Times New Roman" w:hAnsi="Times New Roman"/>
          <w:sz w:val="14"/>
          <w:szCs w:val="14"/>
          <w:b w:val="1"/>
          <w:bCs w:val="1"/>
          <w:color w:val="auto"/>
        </w:rPr>
        <w:t>Regency Centers Corporation</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Regency Centers, L.P.</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ind w:right="22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0" w:lineRule="exact"/>
        <w:rPr>
          <w:sz w:val="24"/>
          <w:szCs w:val="24"/>
          <w:color w:val="auto"/>
        </w:rPr>
      </w:pPr>
    </w:p>
    <w:p>
      <w:pPr>
        <w:ind w:left="1980"/>
        <w:spacing w:after="0" w:line="161" w:lineRule="exact"/>
        <w:tabs>
          <w:tab w:leader="none" w:pos="4300" w:val="left"/>
          <w:tab w:leader="none" w:pos="5000" w:val="left"/>
          <w:tab w:leader="none" w:pos="6240" w:val="left"/>
          <w:tab w:leader="none" w:pos="8100" w:val="left"/>
          <w:tab w:leader="none" w:pos="8800" w:val="left"/>
        </w:tabs>
        <w:rPr>
          <w:sz w:val="20"/>
          <w:szCs w:val="20"/>
          <w:color w:val="auto"/>
        </w:rPr>
      </w:pPr>
      <w:r>
        <w:rPr>
          <w:rFonts w:ascii="Times New Roman" w:cs="Times New Roman" w:eastAsia="Times New Roman" w:hAnsi="Times New Roman"/>
          <w:sz w:val="14"/>
          <w:szCs w:val="14"/>
          <w:b w:val="1"/>
          <w:bCs w:val="1"/>
          <w:color w:val="auto"/>
        </w:rPr>
        <w:t>Regency Centers Corporation</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Regency Centers, L.P.</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ind w:right="400"/>
        <w:spacing w:after="0" w:line="26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240"/>
          </w:cols>
          <w:pgMar w:left="320" w:top="1091" w:right="339" w:bottom="1440" w:gutter="0" w:footer="0" w:header="0"/>
        </w:sectPr>
      </w:pPr>
    </w:p>
    <w:p>
      <w:pPr>
        <w:spacing w:after="0" w:line="53" w:lineRule="exact"/>
        <w:rPr>
          <w:sz w:val="24"/>
          <w:szCs w:val="24"/>
          <w:color w:val="auto"/>
        </w:rPr>
      </w:pPr>
    </w:p>
    <w:tbl>
      <w:tblPr>
        <w:tblLayout w:type="fixed"/>
        <w:tblInd w:w="1020" w:type="dxa"/>
        <w:tblCellMar>
          <w:top w:w="0" w:type="dxa"/>
          <w:left w:w="0" w:type="dxa"/>
          <w:bottom w:w="0" w:type="dxa"/>
          <w:right w:w="0" w:type="dxa"/>
        </w:tblCellMar>
      </w:tblPr>
      <w:tr>
        <w:trPr>
          <w:trHeight w:val="190"/>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Regency Centers Corporation:</w:t>
            </w:r>
          </w:p>
        </w:tc>
        <w:tc>
          <w:tcPr>
            <w:tcW w:w="580" w:type="dxa"/>
            <w:vAlign w:val="bottom"/>
            <w:vMerge w:val="restart"/>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2700" w:type="dxa"/>
            <w:vAlign w:val="bottom"/>
          </w:tcPr>
          <w:p>
            <w:pPr>
              <w:spacing w:after="0"/>
              <w:rPr>
                <w:sz w:val="16"/>
                <w:szCs w:val="16"/>
                <w:color w:val="auto"/>
              </w:rPr>
            </w:pPr>
          </w:p>
        </w:tc>
        <w:tc>
          <w:tcPr>
            <w:tcW w:w="1240" w:type="dxa"/>
            <w:vAlign w:val="bottom"/>
            <w:vMerge w:val="restart"/>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1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Large accelerated filer</w:t>
            </w:r>
          </w:p>
        </w:tc>
        <w:tc>
          <w:tcPr>
            <w:tcW w:w="580" w:type="dxa"/>
            <w:vAlign w:val="bottom"/>
            <w:vMerge w:val="continue"/>
          </w:tcPr>
          <w:p>
            <w:pPr>
              <w:spacing w:after="0"/>
              <w:rPr>
                <w:sz w:val="13"/>
                <w:szCs w:val="13"/>
                <w:color w:val="auto"/>
              </w:rPr>
            </w:pPr>
          </w:p>
        </w:tc>
        <w:tc>
          <w:tcPr>
            <w:tcW w:w="2700" w:type="dxa"/>
            <w:vAlign w:val="bottom"/>
          </w:tcPr>
          <w:p>
            <w:pPr>
              <w:ind w:left="220"/>
              <w:spacing w:after="0" w:line="159" w:lineRule="exact"/>
              <w:rPr>
                <w:sz w:val="20"/>
                <w:szCs w:val="20"/>
                <w:color w:val="auto"/>
              </w:rPr>
            </w:pPr>
            <w:r>
              <w:rPr>
                <w:rFonts w:ascii="Times New Roman" w:cs="Times New Roman" w:eastAsia="Times New Roman" w:hAnsi="Times New Roman"/>
                <w:sz w:val="14"/>
                <w:szCs w:val="14"/>
                <w:color w:val="auto"/>
              </w:rPr>
              <w:t>Accelerated filer</w:t>
            </w:r>
          </w:p>
        </w:tc>
        <w:tc>
          <w:tcPr>
            <w:tcW w:w="1240" w:type="dxa"/>
            <w:vAlign w:val="bottom"/>
            <w:vMerge w:val="continue"/>
          </w:tcPr>
          <w:p>
            <w:pPr>
              <w:spacing w:after="0"/>
              <w:rPr>
                <w:sz w:val="13"/>
                <w:szCs w:val="13"/>
                <w:color w:val="auto"/>
              </w:rPr>
            </w:pPr>
          </w:p>
        </w:tc>
        <w:tc>
          <w:tcPr>
            <w:tcW w:w="1800" w:type="dxa"/>
            <w:vAlign w:val="bottom"/>
          </w:tcPr>
          <w:p>
            <w:pPr>
              <w:ind w:left="220"/>
              <w:spacing w:after="0" w:line="159" w:lineRule="exact"/>
              <w:rPr>
                <w:sz w:val="20"/>
                <w:szCs w:val="20"/>
                <w:color w:val="auto"/>
              </w:rPr>
            </w:pPr>
            <w:r>
              <w:rPr>
                <w:rFonts w:ascii="Times New Roman" w:cs="Times New Roman" w:eastAsia="Times New Roman" w:hAnsi="Times New Roman"/>
                <w:sz w:val="14"/>
                <w:szCs w:val="14"/>
                <w:color w:val="auto"/>
              </w:rPr>
              <w:t>Emerging growth company</w:t>
            </w:r>
          </w:p>
        </w:tc>
        <w:tc>
          <w:tcPr>
            <w:tcW w:w="0" w:type="dxa"/>
            <w:vAlign w:val="bottom"/>
          </w:tcPr>
          <w:p>
            <w:pPr>
              <w:spacing w:after="0"/>
              <w:rPr>
                <w:sz w:val="1"/>
                <w:szCs w:val="1"/>
                <w:color w:val="auto"/>
              </w:rPr>
            </w:pPr>
          </w:p>
        </w:tc>
      </w:tr>
      <w:tr>
        <w:trPr>
          <w:trHeight w:val="242"/>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5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2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240" w:type="dxa"/>
            <w:vAlign w:val="bottom"/>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2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Regency Centers, L.P.:</w:t>
            </w:r>
          </w:p>
        </w:tc>
        <w:tc>
          <w:tcPr>
            <w:tcW w:w="580" w:type="dxa"/>
            <w:vAlign w:val="bottom"/>
            <w:vMerge w:val="restart"/>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2700" w:type="dxa"/>
            <w:vAlign w:val="bottom"/>
          </w:tcPr>
          <w:p>
            <w:pPr>
              <w:spacing w:after="0"/>
              <w:rPr>
                <w:sz w:val="22"/>
                <w:szCs w:val="22"/>
                <w:color w:val="auto"/>
              </w:rPr>
            </w:pPr>
          </w:p>
        </w:tc>
        <w:tc>
          <w:tcPr>
            <w:tcW w:w="1240" w:type="dxa"/>
            <w:vAlign w:val="bottom"/>
            <w:vMerge w:val="restart"/>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8"/>
        </w:trPr>
        <w:tc>
          <w:tcPr>
            <w:tcW w:w="21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Large accelerated filer</w:t>
            </w:r>
          </w:p>
        </w:tc>
        <w:tc>
          <w:tcPr>
            <w:tcW w:w="580" w:type="dxa"/>
            <w:vAlign w:val="bottom"/>
            <w:vMerge w:val="continue"/>
          </w:tcPr>
          <w:p>
            <w:pPr>
              <w:spacing w:after="0"/>
              <w:rPr>
                <w:sz w:val="13"/>
                <w:szCs w:val="13"/>
                <w:color w:val="auto"/>
              </w:rPr>
            </w:pPr>
          </w:p>
        </w:tc>
        <w:tc>
          <w:tcPr>
            <w:tcW w:w="2700" w:type="dxa"/>
            <w:vAlign w:val="bottom"/>
          </w:tcPr>
          <w:p>
            <w:pPr>
              <w:ind w:left="220"/>
              <w:spacing w:after="0" w:line="159" w:lineRule="exact"/>
              <w:rPr>
                <w:sz w:val="20"/>
                <w:szCs w:val="20"/>
                <w:color w:val="auto"/>
              </w:rPr>
            </w:pPr>
            <w:r>
              <w:rPr>
                <w:rFonts w:ascii="Times New Roman" w:cs="Times New Roman" w:eastAsia="Times New Roman" w:hAnsi="Times New Roman"/>
                <w:sz w:val="14"/>
                <w:szCs w:val="14"/>
                <w:color w:val="auto"/>
              </w:rPr>
              <w:t>Accelerated filer</w:t>
            </w:r>
          </w:p>
        </w:tc>
        <w:tc>
          <w:tcPr>
            <w:tcW w:w="1240" w:type="dxa"/>
            <w:vAlign w:val="bottom"/>
            <w:vMerge w:val="continue"/>
          </w:tcPr>
          <w:p>
            <w:pPr>
              <w:spacing w:after="0"/>
              <w:rPr>
                <w:sz w:val="13"/>
                <w:szCs w:val="13"/>
                <w:color w:val="auto"/>
              </w:rPr>
            </w:pPr>
          </w:p>
        </w:tc>
        <w:tc>
          <w:tcPr>
            <w:tcW w:w="1800" w:type="dxa"/>
            <w:vAlign w:val="bottom"/>
          </w:tcPr>
          <w:p>
            <w:pPr>
              <w:ind w:left="220"/>
              <w:spacing w:after="0" w:line="159" w:lineRule="exact"/>
              <w:rPr>
                <w:sz w:val="20"/>
                <w:szCs w:val="20"/>
                <w:color w:val="auto"/>
              </w:rPr>
            </w:pPr>
            <w:r>
              <w:rPr>
                <w:rFonts w:ascii="Times New Roman" w:cs="Times New Roman" w:eastAsia="Times New Roman" w:hAnsi="Times New Roman"/>
                <w:sz w:val="14"/>
                <w:szCs w:val="14"/>
                <w:color w:val="auto"/>
              </w:rPr>
              <w:t>Emerging growth company</w:t>
            </w:r>
          </w:p>
        </w:tc>
        <w:tc>
          <w:tcPr>
            <w:tcW w:w="0" w:type="dxa"/>
            <w:vAlign w:val="bottom"/>
          </w:tcPr>
          <w:p>
            <w:pPr>
              <w:spacing w:after="0"/>
              <w:rPr>
                <w:sz w:val="1"/>
                <w:szCs w:val="1"/>
                <w:color w:val="auto"/>
              </w:rPr>
            </w:pPr>
          </w:p>
        </w:tc>
      </w:tr>
      <w:tr>
        <w:trPr>
          <w:trHeight w:val="242"/>
        </w:trPr>
        <w:tc>
          <w:tcPr>
            <w:tcW w:w="21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58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27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240" w:type="dxa"/>
            <w:vAlign w:val="bottom"/>
          </w:tcPr>
          <w:p>
            <w:pPr>
              <w:ind w:left="900"/>
              <w:spacing w:after="0" w:line="141" w:lineRule="exact"/>
              <w:rPr>
                <w:sz w:val="20"/>
                <w:szCs w:val="20"/>
                <w:color w:val="auto"/>
              </w:rPr>
            </w:pPr>
            <w:r>
              <w:rPr>
                <w:rFonts w:ascii="MS PGothic" w:cs="MS PGothic" w:eastAsia="MS PGothic" w:hAnsi="MS PGothic"/>
                <w:sz w:val="14"/>
                <w:szCs w:val="14"/>
                <w:color w:val="auto"/>
              </w:rPr>
              <w:t>☐</w:t>
            </w: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6"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1980"/>
        <w:spacing w:after="0" w:line="161" w:lineRule="exact"/>
        <w:tabs>
          <w:tab w:leader="none" w:pos="4300" w:val="left"/>
          <w:tab w:leader="none" w:pos="5020" w:val="left"/>
          <w:tab w:leader="none" w:pos="6220" w:val="left"/>
          <w:tab w:leader="none" w:pos="8080" w:val="left"/>
          <w:tab w:leader="none" w:pos="8780" w:val="left"/>
        </w:tabs>
        <w:rPr>
          <w:sz w:val="20"/>
          <w:szCs w:val="20"/>
          <w:color w:val="auto"/>
        </w:rPr>
      </w:pPr>
      <w:r>
        <w:rPr>
          <w:rFonts w:ascii="Times New Roman" w:cs="Times New Roman" w:eastAsia="Times New Roman" w:hAnsi="Times New Roman"/>
          <w:sz w:val="14"/>
          <w:szCs w:val="14"/>
          <w:b w:val="1"/>
          <w:bCs w:val="1"/>
          <w:color w:val="auto"/>
        </w:rPr>
        <w:t>Regency Centers Corporation</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Regency Centers, L.P.</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rPr>
        <w:t>☐</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r>
    </w:p>
    <w:p>
      <w:pPr>
        <w:spacing w:after="0" w:line="37" w:lineRule="exact"/>
        <w:rPr>
          <w:sz w:val="24"/>
          <w:szCs w:val="24"/>
          <w:color w:val="auto"/>
        </w:rPr>
      </w:pPr>
    </w:p>
    <w:p>
      <w:pPr>
        <w:ind w:left="1980"/>
        <w:spacing w:after="0" w:line="161" w:lineRule="exact"/>
        <w:tabs>
          <w:tab w:leader="none" w:pos="4300" w:val="left"/>
          <w:tab w:leader="none" w:pos="5020" w:val="left"/>
          <w:tab w:leader="none" w:pos="6220" w:val="left"/>
          <w:tab w:leader="none" w:pos="8080" w:val="left"/>
          <w:tab w:leader="none" w:pos="8780" w:val="left"/>
        </w:tabs>
        <w:rPr>
          <w:sz w:val="20"/>
          <w:szCs w:val="20"/>
          <w:color w:val="auto"/>
        </w:rPr>
      </w:pPr>
      <w:r>
        <w:rPr>
          <w:rFonts w:ascii="Times New Roman" w:cs="Times New Roman" w:eastAsia="Times New Roman" w:hAnsi="Times New Roman"/>
          <w:sz w:val="14"/>
          <w:szCs w:val="14"/>
          <w:b w:val="1"/>
          <w:bCs w:val="1"/>
          <w:color w:val="auto"/>
        </w:rPr>
        <w:t>Regency Centers Corporation</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Regency Centers, L.P.</w:t>
      </w:r>
      <w:r>
        <w:rPr>
          <w:sz w:val="20"/>
          <w:szCs w:val="20"/>
          <w:color w:val="auto"/>
        </w:rPr>
        <w:tab/>
      </w:r>
      <w:r>
        <w:rPr>
          <w:rFonts w:ascii="Times New Roman" w:cs="Times New Roman" w:eastAsia="Times New Roman" w:hAnsi="Times New Roman"/>
          <w:sz w:val="14"/>
          <w:szCs w:val="14"/>
          <w:b w:val="1"/>
          <w:bCs w:val="1"/>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b w:val="1"/>
          <w:bCs w:val="1"/>
          <w:color w:val="auto"/>
        </w:rPr>
        <w:tab/>
        <w:t xml:space="preserve">NO  </w:t>
      </w:r>
      <w:r>
        <w:rPr>
          <w:rFonts w:ascii="MS PGothic" w:cs="MS PGothic" w:eastAsia="MS PGothic" w:hAnsi="MS PGothic"/>
          <w:sz w:val="14"/>
          <w:szCs w:val="14"/>
          <w:color w:val="auto"/>
        </w:rPr>
        <w:t>☒</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outstanding of Regency Centers Corporation's common stock was 181,505,396 as of October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799465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0" w:lineRule="exact"/>
        <w:rPr>
          <w:sz w:val="24"/>
          <w:szCs w:val="24"/>
          <w:color w:val="auto"/>
        </w:rPr>
      </w:pPr>
    </w:p>
    <w:p>
      <w:pPr>
        <w:spacing w:after="0" w:line="34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ectPr>
          <w:pgSz w:w="11900" w:h="16838" w:orient="portrait"/>
          <w:cols w:equalWidth="0" w:num="2">
            <w:col w:w="10680" w:space="340"/>
            <w:col w:w="220"/>
          </w:cols>
          <w:pgMar w:left="320" w:top="1091" w:right="339" w:bottom="1440" w:gutter="0" w:footer="0" w:header="0"/>
          <w:type w:val="continuous"/>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Quarterly Report on Form 10-Q (this "Report") combines the quarterly reports on Form 10-Q for the quarter ended September 30, 2024, of Regency Centers Corporation and Regency Centers, L.P. Unless stated otherwise or the context otherwise requires, references to "Regency Centers Corporation" or the "Parent Company" mean Regency Centers Corporation and its controlled subsidiaries and references to "Regency Centers, L.P." or the "Operating Partnership" mean Regency Centers, L.P. and its controlled subsidiaries. The terms "the Company," "Regency Centers," "Regency," "we," "our," and "us" as used in this Report mean the Parent Company and the Operating Partnership, collectively.</w:t>
      </w:r>
    </w:p>
    <w:p>
      <w:pPr>
        <w:spacing w:after="0" w:line="1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Parent Company is a real estate investment trust ("REIT") and the general partner of the Operating Partnership. As the sole general partner of the Operating Partnership, the Parent Company has exclusive control of the Operating Partnership's day-to-day management. The Operating Partnership's capital includes general and limited common partnership units ("Common Units"). As of September 30, 2024, the Parent Company owned approximately 99.4% of the Common Units in the Operating Partnership. The remaining Common Units, which are all limited Common Units, are owned by third party investors. In addition to the Common Units, the Operating Partnership has also issued two series of preferred units: the 6.250% Series A Cumulative Redeemable Preferred Units (the "Series A Preferred Units") and the 5.875% Series B Cumulative Redeemable Preferred Units (the "Series B Preferred Units"). The Parent Company currently owns all of the Series A Preferred Units and Series B Preferred Units. The Series A Preferred Units and Series B Preferred Units are sometimes referred to collectively as the "Preferred Units."</w:t>
      </w:r>
    </w:p>
    <w:p>
      <w:pPr>
        <w:spacing w:after="0" w:line="1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believes combining the quarterly reports on Form 10-Q of the Parent Company and the Operating Partnership into this single report provides the following benefits:</w:t>
      </w:r>
    </w:p>
    <w:p>
      <w:pPr>
        <w:spacing w:after="0" w:line="243" w:lineRule="exact"/>
        <w:rPr>
          <w:sz w:val="20"/>
          <w:szCs w:val="20"/>
          <w:color w:val="auto"/>
        </w:rPr>
      </w:pPr>
    </w:p>
    <w:p>
      <w:pPr>
        <w:ind w:left="76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investors' understanding of the Parent Company and the Operating Partnership by enabling investors to view the business as a whole in the same manner as management views and operates the business;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duplicative disclosure and provides a more streamlined and readable presentation; and</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time and cost efficiencies through the preparation of one combined report instead of two separate reports.</w:t>
      </w:r>
    </w:p>
    <w:p>
      <w:pPr>
        <w:spacing w:after="0" w:line="17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Management operates the Parent Company and the Operating Partnership as one business. The management of the Parent Company consists of the same individuals as the management of the Operating Partnership. These individuals are officers of the Parent Company, and officers and employees of the Operating Partnership.</w:t>
      </w:r>
    </w:p>
    <w:p>
      <w:pPr>
        <w:spacing w:after="0" w:line="12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believes it is important to understand the key differences between the Parent Company and the Operating Partnership in the context of how the Parent Company and the Operating Partnership operate as a consolidated company. The Parent Company is a REIT, whose only material asset is its ownership of Common and Preferred Units of the Operating Partnership. As a result, the Parent Company does not conduct business itself, other than acting as the sole general partner of the Operating Partnership, issuing public equity from time to time and guaranteeing certain debt of the Operating Partnership. Except for $200 million of unsecured private placement debt, the Parent Company does not hold any indebtedness, but guarantees all of the unsecured debt of the Operating Partnership. The Operating Partnership, directly or indirectly, is also the co-issuer and guarantor of the $200 million Parent Company’s unsecured private placement debt referenced above. The Operating Partnership holds all the assets of the Company and ownership of the Company's subsidiaries and equity interests in its joint ventures. Except for net proceeds from public equity issuances by the Parent Company, which are contributed to the Operating Partnership in exchange for Common Units or Preferred Units, the Operating Partnership generates all other capital required by the Company's business. These sources include the Operating Partnership's operations, its direct or indirect incurrence of indebtedness, and the issuance of Common Units and Preferred Units.</w:t>
      </w:r>
    </w:p>
    <w:p>
      <w:pPr>
        <w:spacing w:after="0" w:line="138"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Shareholders' equity, partners' capital, and noncontrolling interests are the main areas of difference between the Consolidated Financial Statements of the Parent Company and those of the Operating Partnership. The Operating Partnership's capital includes the Common Units and the Preferred Units. The limited partners' Common Units in the Operating Partnership owned by third parties are accounted for in partners' capital in the Operating Partnership's financial statements and outside of shareholders' equity in noncontrolling interests in the Parent Company's financial statements. The Preferred Units owned by the Parent Company are eliminated in consolidation in the accompanying consolidated financial statements of the Parent Company and are classified as preferred units of the general partner in the accompanying consolidated financial statements of the Operating Partnership.</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order to highlight the differences between the Parent Company and the Operating Partnership, there are sections in this Report that separately discuss the Parent Company and the Operating Partnership, including separate financial statements, controls and procedures sections, and separate Exhibit 31 and 32 certifications. In the sections that combine disclosure for the Parent Company and the Operating Partnership, this Report refers to actions or holdings as being actions or holdings of the Company.</w:t>
      </w:r>
    </w:p>
    <w:p>
      <w:pPr>
        <w:spacing w:after="0" w:line="12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general partner with control of the Operating Partnership, the Parent Company consolidates the Operating Partnership for financial reporting purposes, and the Parent Company does not have assets other than its investment in the Operating Partnership. Therefore, while shareholders' equity and partners' capital differ as discussed above, the assets and liabilities of the Parent Company and the Operating Partnership are the same on their respective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 w:name="page3"/>
    <w:bookmarkEnd w:id="2"/>
    <w:p>
      <w:pPr>
        <w:ind w:left="46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563C1"/>
        </w:rPr>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985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85010" cy="8255"/>
                    </a:xfrm>
                    <a:prstGeom prst="rect">
                      <a:avLst/>
                    </a:prstGeom>
                    <a:noFill/>
                  </pic:spPr>
                </pic:pic>
              </a:graphicData>
            </a:graphic>
          </wp:anchor>
        </w:drawing>
      </w:r>
    </w:p>
    <w:p>
      <w:pPr>
        <w:spacing w:after="0" w:line="26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6"/>
          <w:szCs w:val="16"/>
          <w:u w:val="single" w:color="auto"/>
          <w:color w:val="0563C1"/>
        </w:rPr>
        <w:t>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13823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82395" cy="8255"/>
                    </a:xfrm>
                    <a:prstGeom prst="rect">
                      <a:avLst/>
                    </a:prstGeom>
                    <a:noFill/>
                  </pic:spPr>
                </pic:pic>
              </a:graphicData>
            </a:graphic>
          </wp:anchor>
        </w:drawing>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301" w:lineRule="exact"/>
        <w:rPr>
          <w:sz w:val="20"/>
          <w:szCs w:val="20"/>
          <w:color w:val="auto"/>
        </w:rPr>
      </w:pPr>
    </w:p>
    <w:p>
      <w:pPr>
        <w:ind w:left="1140" w:right="1660"/>
        <w:spacing w:after="0" w:line="628" w:lineRule="auto"/>
        <w:rPr>
          <w:sz w:val="20"/>
          <w:szCs w:val="20"/>
          <w:color w:val="auto"/>
        </w:rPr>
      </w:pPr>
      <w:r>
        <w:rPr>
          <w:rFonts w:ascii="Times New Roman" w:cs="Times New Roman" w:eastAsia="Times New Roman" w:hAnsi="Times New Roman"/>
          <w:sz w:val="16"/>
          <w:szCs w:val="16"/>
          <w:u w:val="single" w:color="auto"/>
          <w:color w:val="0563C1"/>
        </w:rPr>
        <w:t>Consolidated Balance Sheets as of September 30, 2024 and December 31, 2023 Consolidated Statements of Operations for the periods ended September 30, 2024 and 2023 Consolidated Statements of Comprehensive Income for the periods ended September 30, 2024 and 2023 Consolidated Statements of Equity for the periods ended September 30, 2024 and 2023 Consolidated Statements of Cash Flows for the periods ended September 30, 2024 and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-1416050</wp:posOffset>
            </wp:positionV>
            <wp:extent cx="32766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76600"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-1107440</wp:posOffset>
            </wp:positionV>
            <wp:extent cx="37623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76237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-798830</wp:posOffset>
            </wp:positionV>
            <wp:extent cx="4290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9069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-490220</wp:posOffset>
            </wp:positionV>
            <wp:extent cx="3585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8521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-181610</wp:posOffset>
            </wp:positionV>
            <wp:extent cx="3794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79412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Regency Centers, L.P.:</w:t>
      </w:r>
    </w:p>
    <w:p>
      <w:pPr>
        <w:spacing w:after="0" w:line="301" w:lineRule="exact"/>
        <w:rPr>
          <w:sz w:val="20"/>
          <w:szCs w:val="20"/>
          <w:color w:val="auto"/>
        </w:rPr>
      </w:pPr>
    </w:p>
    <w:p>
      <w:pPr>
        <w:ind w:left="1140" w:right="1660"/>
        <w:spacing w:after="0" w:line="657" w:lineRule="auto"/>
        <w:rPr>
          <w:sz w:val="20"/>
          <w:szCs w:val="20"/>
          <w:color w:val="auto"/>
        </w:rPr>
      </w:pPr>
      <w:r>
        <w:rPr>
          <w:rFonts w:ascii="Times New Roman" w:cs="Times New Roman" w:eastAsia="Times New Roman" w:hAnsi="Times New Roman"/>
          <w:sz w:val="16"/>
          <w:szCs w:val="16"/>
          <w:u w:val="single" w:color="auto"/>
          <w:color w:val="0563C1"/>
        </w:rPr>
        <w:t>Consolidated Balance Sheets as of September 30, 2024 and December 31, 2023 Consolidated Statements of Operations for the periods ended September 30, 2024 and 2023 Consolidated Statements of Comprehensive Income for the periods ended September 30, 2024 and 2023 Consolidated Statements of Capital for the periods ended September 30, 2024 and 2023 Consolidated Statements of Cash Flows for the periods ended September 30, 2024 and 2023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-1486535</wp:posOffset>
            </wp:positionV>
            <wp:extent cx="3276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660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-1177925</wp:posOffset>
            </wp:positionV>
            <wp:extent cx="37623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76237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-869315</wp:posOffset>
            </wp:positionV>
            <wp:extent cx="42906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290695" cy="8890"/>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-560705</wp:posOffset>
            </wp:positionV>
            <wp:extent cx="36080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807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-252095</wp:posOffset>
            </wp:positionV>
            <wp:extent cx="3794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79412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55880</wp:posOffset>
            </wp:positionV>
            <wp:extent cx="18002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37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color w:val="auto"/>
        </w:rPr>
        <w:t>Item 2.</w:t>
      </w:r>
      <w:r>
        <w:rPr>
          <w:sz w:val="20"/>
          <w:szCs w:val="20"/>
          <w:color w:val="auto"/>
        </w:rPr>
        <w:tab/>
      </w:r>
      <w:r>
        <w:rPr>
          <w:rFonts w:ascii="Times New Roman" w:cs="Times New Roman" w:eastAsia="Times New Roman" w:hAnsi="Times New Roman"/>
          <w:sz w:val="16"/>
          <w:szCs w:val="16"/>
          <w:u w:val="single" w:color="auto"/>
          <w:color w:val="0563C1"/>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-4445</wp:posOffset>
            </wp:positionV>
            <wp:extent cx="36810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81095" cy="8255"/>
                    </a:xfrm>
                    <a:prstGeom prst="rect">
                      <a:avLst/>
                    </a:prstGeom>
                    <a:noFill/>
                  </pic:spPr>
                </pic:pic>
              </a:graphicData>
            </a:graphic>
          </wp:anchor>
        </w:drawing>
      </w:r>
    </w:p>
    <w:p>
      <w:pPr>
        <w:spacing w:after="0" w:line="28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color w:val="auto"/>
        </w:rPr>
        <w:t>Item 3.</w:t>
      </w:r>
      <w:r>
        <w:rPr>
          <w:sz w:val="20"/>
          <w:szCs w:val="20"/>
          <w:color w:val="auto"/>
        </w:rPr>
        <w:tab/>
      </w:r>
      <w:r>
        <w:rPr>
          <w:rFonts w:ascii="Times New Roman" w:cs="Times New Roman" w:eastAsia="Times New Roman" w:hAnsi="Times New Roman"/>
          <w:sz w:val="16"/>
          <w:szCs w:val="16"/>
          <w:u w:val="single" w:color="auto"/>
          <w:color w:val="0563C1"/>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-4445</wp:posOffset>
            </wp:positionV>
            <wp:extent cx="24625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62530" cy="8255"/>
                    </a:xfrm>
                    <a:prstGeom prst="rect">
                      <a:avLst/>
                    </a:prstGeom>
                    <a:noFill/>
                  </pic:spPr>
                </pic:pic>
              </a:graphicData>
            </a:graphic>
          </wp:anchor>
        </w:drawing>
      </w:r>
    </w:p>
    <w:p>
      <w:pPr>
        <w:spacing w:after="0" w:line="28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6"/>
          <w:szCs w:val="16"/>
          <w:color w:val="auto"/>
        </w:rPr>
        <w:t>Item 4.</w:t>
      </w:r>
      <w:r>
        <w:rPr>
          <w:sz w:val="20"/>
          <w:szCs w:val="20"/>
          <w:color w:val="auto"/>
        </w:rPr>
        <w:tab/>
      </w:r>
      <w:r>
        <w:rPr>
          <w:rFonts w:ascii="Times New Roman" w:cs="Times New Roman" w:eastAsia="Times New Roman" w:hAnsi="Times New Roman"/>
          <w:sz w:val="16"/>
          <w:szCs w:val="16"/>
          <w:u w:val="single" w:color="auto"/>
          <w:color w:val="0563C1"/>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-4445</wp:posOffset>
            </wp:positionV>
            <wp:extent cx="10115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563C1"/>
        </w:rPr>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17945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94510" cy="8255"/>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1.</w:t>
            </w:r>
          </w:p>
        </w:tc>
        <w:tc>
          <w:tcPr>
            <w:tcW w:w="3920" w:type="dxa"/>
            <w:vAlign w:val="bottom"/>
            <w:gridSpan w:val="7"/>
          </w:tcPr>
          <w:p>
            <w:pPr>
              <w:spacing w:after="0"/>
              <w:rPr>
                <w:sz w:val="20"/>
                <w:szCs w:val="20"/>
                <w:color w:val="auto"/>
              </w:rPr>
            </w:pPr>
            <w:r>
              <w:rPr>
                <w:rFonts w:ascii="Times New Roman" w:cs="Times New Roman" w:eastAsia="Times New Roman" w:hAnsi="Times New Roman"/>
                <w:sz w:val="16"/>
                <w:szCs w:val="16"/>
                <w:color w:val="0563C1"/>
              </w:rPr>
              <w:t>Legal Proceedings</w:t>
            </w:r>
          </w:p>
        </w:tc>
      </w:tr>
      <w:tr>
        <w:trPr>
          <w:trHeight w:val="46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1A.</w:t>
            </w:r>
          </w:p>
        </w:tc>
        <w:tc>
          <w:tcPr>
            <w:tcW w:w="820" w:type="dxa"/>
            <w:vAlign w:val="bottom"/>
            <w:tcBorders>
              <w:top w:val="single" w:sz="8" w:color="0563C1"/>
              <w:bottom w:val="single" w:sz="8" w:color="0563C1"/>
            </w:tcBorders>
            <w:gridSpan w:val="2"/>
          </w:tcPr>
          <w:p>
            <w:pPr>
              <w:spacing w:after="0"/>
              <w:rPr>
                <w:sz w:val="20"/>
                <w:szCs w:val="20"/>
                <w:color w:val="auto"/>
              </w:rPr>
            </w:pPr>
            <w:r>
              <w:rPr>
                <w:rFonts w:ascii="Times New Roman" w:cs="Times New Roman" w:eastAsia="Times New Roman" w:hAnsi="Times New Roman"/>
                <w:sz w:val="16"/>
                <w:szCs w:val="16"/>
                <w:color w:val="0563C1"/>
                <w:w w:val="99"/>
              </w:rPr>
              <w:t>Risk Factors</w:t>
            </w:r>
          </w:p>
        </w:tc>
        <w:tc>
          <w:tcPr>
            <w:tcW w:w="380" w:type="dxa"/>
            <w:vAlign w:val="bottom"/>
            <w:tcBorders>
              <w:top w:val="single" w:sz="8" w:color="0563C1"/>
            </w:tcBorders>
            <w:gridSpan w:val="2"/>
          </w:tcPr>
          <w:p>
            <w:pPr>
              <w:spacing w:after="0"/>
              <w:rPr>
                <w:sz w:val="24"/>
                <w:szCs w:val="24"/>
                <w:color w:val="auto"/>
              </w:rPr>
            </w:pPr>
          </w:p>
        </w:tc>
        <w:tc>
          <w:tcPr>
            <w:tcW w:w="2720" w:type="dxa"/>
            <w:vAlign w:val="bottom"/>
            <w:gridSpan w:val="3"/>
          </w:tcPr>
          <w:p>
            <w:pPr>
              <w:spacing w:after="0"/>
              <w:rPr>
                <w:sz w:val="24"/>
                <w:szCs w:val="24"/>
                <w:color w:val="auto"/>
              </w:rPr>
            </w:pPr>
          </w:p>
        </w:tc>
      </w:tr>
      <w:tr>
        <w:trPr>
          <w:trHeight w:val="46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2.</w:t>
            </w:r>
          </w:p>
        </w:tc>
        <w:tc>
          <w:tcPr>
            <w:tcW w:w="3920" w:type="dxa"/>
            <w:vAlign w:val="bottom"/>
            <w:tcBorders>
              <w:bottom w:val="single" w:sz="8" w:color="0563C1"/>
            </w:tcBorders>
            <w:gridSpan w:val="7"/>
          </w:tcPr>
          <w:p>
            <w:pPr>
              <w:spacing w:after="0"/>
              <w:rPr>
                <w:sz w:val="20"/>
                <w:szCs w:val="20"/>
                <w:color w:val="auto"/>
              </w:rPr>
            </w:pPr>
            <w:r>
              <w:rPr>
                <w:rFonts w:ascii="Times New Roman" w:cs="Times New Roman" w:eastAsia="Times New Roman" w:hAnsi="Times New Roman"/>
                <w:sz w:val="16"/>
                <w:szCs w:val="16"/>
                <w:color w:val="0563C1"/>
              </w:rPr>
              <w:t>Unregistered Sales of Equity Securities and Use of Proceeds</w:t>
            </w:r>
          </w:p>
        </w:tc>
      </w:tr>
      <w:tr>
        <w:trPr>
          <w:trHeight w:val="46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3.</w:t>
            </w:r>
          </w:p>
        </w:tc>
        <w:tc>
          <w:tcPr>
            <w:tcW w:w="2100" w:type="dxa"/>
            <w:vAlign w:val="bottom"/>
            <w:tcBorders>
              <w:bottom w:val="single" w:sz="8" w:color="0563C1"/>
            </w:tcBorders>
            <w:gridSpan w:val="6"/>
          </w:tcPr>
          <w:p>
            <w:pPr>
              <w:spacing w:after="0"/>
              <w:rPr>
                <w:sz w:val="20"/>
                <w:szCs w:val="20"/>
                <w:color w:val="auto"/>
              </w:rPr>
            </w:pPr>
            <w:r>
              <w:rPr>
                <w:rFonts w:ascii="Times New Roman" w:cs="Times New Roman" w:eastAsia="Times New Roman" w:hAnsi="Times New Roman"/>
                <w:sz w:val="16"/>
                <w:szCs w:val="16"/>
                <w:color w:val="0563C1"/>
              </w:rPr>
              <w:t>Defaults Upon Senior Securities</w:t>
            </w:r>
          </w:p>
        </w:tc>
        <w:tc>
          <w:tcPr>
            <w:tcW w:w="1820" w:type="dxa"/>
            <w:vAlign w:val="bottom"/>
          </w:tcPr>
          <w:p>
            <w:pPr>
              <w:spacing w:after="0"/>
              <w:rPr>
                <w:sz w:val="24"/>
                <w:szCs w:val="24"/>
                <w:color w:val="auto"/>
              </w:rPr>
            </w:pPr>
          </w:p>
        </w:tc>
      </w:tr>
      <w:tr>
        <w:trPr>
          <w:trHeight w:val="46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4.</w:t>
            </w:r>
          </w:p>
        </w:tc>
        <w:tc>
          <w:tcPr>
            <w:tcW w:w="160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6"/>
                <w:szCs w:val="16"/>
                <w:color w:val="0563C1"/>
              </w:rPr>
              <w:t>Mine Safety Disclosures</w:t>
            </w:r>
          </w:p>
        </w:tc>
        <w:tc>
          <w:tcPr>
            <w:tcW w:w="2320" w:type="dxa"/>
            <w:vAlign w:val="bottom"/>
            <w:gridSpan w:val="2"/>
          </w:tcPr>
          <w:p>
            <w:pPr>
              <w:spacing w:after="0"/>
              <w:rPr>
                <w:sz w:val="24"/>
                <w:szCs w:val="24"/>
                <w:color w:val="auto"/>
              </w:rPr>
            </w:pPr>
          </w:p>
        </w:tc>
      </w:tr>
      <w:tr>
        <w:trPr>
          <w:trHeight w:val="46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5.</w:t>
            </w:r>
          </w:p>
        </w:tc>
        <w:tc>
          <w:tcPr>
            <w:tcW w:w="3920" w:type="dxa"/>
            <w:vAlign w:val="bottom"/>
            <w:gridSpan w:val="7"/>
          </w:tcPr>
          <w:p>
            <w:pPr>
              <w:spacing w:after="0"/>
              <w:rPr>
                <w:sz w:val="20"/>
                <w:szCs w:val="20"/>
                <w:color w:val="auto"/>
              </w:rPr>
            </w:pPr>
            <w:r>
              <w:rPr>
                <w:rFonts w:ascii="Times New Roman" w:cs="Times New Roman" w:eastAsia="Times New Roman" w:hAnsi="Times New Roman"/>
                <w:sz w:val="16"/>
                <w:szCs w:val="16"/>
                <w:color w:val="0563C1"/>
              </w:rPr>
              <w:t>Other Information</w:t>
            </w:r>
          </w:p>
        </w:tc>
      </w:tr>
      <w:tr>
        <w:trPr>
          <w:trHeight w:val="466"/>
        </w:trPr>
        <w:tc>
          <w:tcPr>
            <w:tcW w:w="1140" w:type="dxa"/>
            <w:vAlign w:val="bottom"/>
          </w:tcPr>
          <w:p>
            <w:pPr>
              <w:spacing w:after="0"/>
              <w:rPr>
                <w:sz w:val="20"/>
                <w:szCs w:val="20"/>
                <w:color w:val="auto"/>
              </w:rPr>
            </w:pPr>
            <w:r>
              <w:rPr>
                <w:rFonts w:ascii="Times New Roman" w:cs="Times New Roman" w:eastAsia="Times New Roman" w:hAnsi="Times New Roman"/>
                <w:sz w:val="16"/>
                <w:szCs w:val="16"/>
                <w:color w:val="auto"/>
              </w:rPr>
              <w:t>Item 6.</w:t>
            </w:r>
          </w:p>
        </w:tc>
        <w:tc>
          <w:tcPr>
            <w:tcW w:w="1180" w:type="dxa"/>
            <w:vAlign w:val="bottom"/>
            <w:tcBorders>
              <w:top w:val="single" w:sz="8" w:color="0563C1"/>
            </w:tcBorders>
            <w:gridSpan w:val="3"/>
          </w:tcPr>
          <w:p>
            <w:pPr>
              <w:spacing w:after="0"/>
              <w:rPr>
                <w:sz w:val="20"/>
                <w:szCs w:val="20"/>
                <w:color w:val="auto"/>
              </w:rPr>
            </w:pPr>
            <w:r>
              <w:rPr>
                <w:rFonts w:ascii="Times New Roman" w:cs="Times New Roman" w:eastAsia="Times New Roman" w:hAnsi="Times New Roman"/>
                <w:sz w:val="16"/>
                <w:szCs w:val="16"/>
                <w:color w:val="0563C1"/>
              </w:rPr>
              <w:t>Exhibits</w:t>
            </w:r>
          </w:p>
        </w:tc>
        <w:tc>
          <w:tcPr>
            <w:tcW w:w="2740" w:type="dxa"/>
            <w:vAlign w:val="bottom"/>
            <w:gridSpan w:val="4"/>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563C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563C1"/>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787400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340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40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Report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-127000</wp:posOffset>
            </wp:positionH>
            <wp:positionV relativeFrom="paragraph">
              <wp:posOffset>5080</wp:posOffset>
            </wp:positionV>
            <wp:extent cx="711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15</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47</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2">
            <w:col w:w="9560" w:space="720"/>
            <w:col w:w="900"/>
          </w:cols>
          <w:pgMar w:left="360" w:top="1008" w:right="359" w:bottom="1068"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 and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6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8"/>
              </w:rPr>
              <w:t>Assets</w:t>
            </w:r>
          </w:p>
        </w:tc>
        <w:tc>
          <w:tcPr>
            <w:tcW w:w="7560" w:type="dxa"/>
            <w:vAlign w:val="bottom"/>
            <w:tcBorders>
              <w:bottom w:val="single" w:sz="8" w:color="CFF0FC"/>
            </w:tcBorders>
            <w:gridSpan w:val="2"/>
            <w:shd w:val="clear" w:color="auto" w:fill="CFF0FC"/>
          </w:tcPr>
          <w:p>
            <w:pPr>
              <w:spacing w:after="0"/>
              <w:rPr>
                <w:sz w:val="18"/>
                <w:szCs w:val="18"/>
                <w:color w:val="auto"/>
              </w:rPr>
            </w:pPr>
          </w:p>
        </w:tc>
        <w:tc>
          <w:tcPr>
            <w:tcW w:w="240" w:type="dxa"/>
            <w:vAlign w:val="bottom"/>
            <w:tcBorders>
              <w:top w:val="single" w:sz="8" w:color="auto"/>
              <w:bottom w:val="single" w:sz="8" w:color="CFF0FC"/>
            </w:tcBorders>
            <w:shd w:val="clear" w:color="auto" w:fill="CFF0FC"/>
          </w:tcPr>
          <w:p>
            <w:pPr>
              <w:spacing w:after="0"/>
              <w:rPr>
                <w:sz w:val="18"/>
                <w:szCs w:val="18"/>
                <w:color w:val="auto"/>
              </w:rPr>
            </w:pPr>
          </w:p>
        </w:tc>
        <w:tc>
          <w:tcPr>
            <w:tcW w:w="1420" w:type="dxa"/>
            <w:vAlign w:val="bottom"/>
            <w:tcBorders>
              <w:top w:val="single" w:sz="8" w:color="auto"/>
              <w:bottom w:val="single" w:sz="8" w:color="CFF0FC"/>
            </w:tcBorders>
            <w:shd w:val="clear" w:color="auto" w:fill="CFF0FC"/>
          </w:tcPr>
          <w:p>
            <w:pPr>
              <w:jc w:val="right"/>
              <w:ind w:right="399"/>
              <w:spacing w:after="0" w:line="175" w:lineRule="exact"/>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top w:val="single" w:sz="8" w:color="auto"/>
              <w:bottom w:val="single" w:sz="8" w:color="CFF0FC"/>
            </w:tcBorders>
            <w:shd w:val="clear" w:color="auto" w:fill="CFF0FC"/>
          </w:tcPr>
          <w:p>
            <w:pPr>
              <w:spacing w:after="0"/>
              <w:rPr>
                <w:sz w:val="18"/>
                <w:szCs w:val="18"/>
                <w:color w:val="auto"/>
              </w:rPr>
            </w:pPr>
          </w:p>
        </w:tc>
      </w:tr>
      <w:tr>
        <w:trPr>
          <w:trHeight w:val="220"/>
        </w:trPr>
        <w:tc>
          <w:tcPr>
            <w:tcW w:w="8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real estate investments: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9"/>
        </w:trPr>
        <w:tc>
          <w:tcPr>
            <w:tcW w:w="20" w:type="dxa"/>
            <w:vAlign w:val="bottom"/>
            <w:shd w:val="clear" w:color="auto" w:fill="CFF0FC"/>
          </w:tcPr>
          <w:p>
            <w:pPr>
              <w:spacing w:after="0"/>
              <w:rPr>
                <w:sz w:val="20"/>
                <w:szCs w:val="20"/>
                <w:color w:val="auto"/>
              </w:rPr>
            </w:pPr>
          </w:p>
        </w:tc>
        <w:tc>
          <w:tcPr>
            <w:tcW w:w="80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Real estate assets, at cost</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13,620,602</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13,454,391</w:t>
            </w:r>
          </w:p>
        </w:tc>
      </w:tr>
      <w:tr>
        <w:trPr>
          <w:trHeight w:val="223"/>
        </w:trPr>
        <w:tc>
          <w:tcPr>
            <w:tcW w:w="20" w:type="dxa"/>
            <w:vAlign w:val="bottom"/>
          </w:tcPr>
          <w:p>
            <w:pPr>
              <w:spacing w:after="0"/>
              <w:rPr>
                <w:sz w:val="19"/>
                <w:szCs w:val="19"/>
                <w:color w:val="auto"/>
              </w:rPr>
            </w:pPr>
          </w:p>
        </w:tc>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2,894,010</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2,691,386</w:t>
            </w:r>
          </w:p>
        </w:tc>
      </w:tr>
      <w:tr>
        <w:trPr>
          <w:trHeight w:val="230"/>
        </w:trPr>
        <w:tc>
          <w:tcPr>
            <w:tcW w:w="20" w:type="dxa"/>
            <w:vAlign w:val="bottom"/>
            <w:shd w:val="clear" w:color="auto" w:fill="CFF0FC"/>
          </w:tcPr>
          <w:p>
            <w:pPr>
              <w:spacing w:after="0"/>
              <w:rPr>
                <w:sz w:val="19"/>
                <w:szCs w:val="19"/>
                <w:color w:val="auto"/>
              </w:rPr>
            </w:pPr>
          </w:p>
        </w:tc>
        <w:tc>
          <w:tcPr>
            <w:tcW w:w="80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Real estate assets, net</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10,726,592</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10,763,005</w:t>
            </w:r>
          </w:p>
        </w:tc>
      </w:tr>
      <w:tr>
        <w:trPr>
          <w:trHeight w:val="220"/>
        </w:trPr>
        <w:tc>
          <w:tcPr>
            <w:tcW w:w="20" w:type="dxa"/>
            <w:vAlign w:val="bottom"/>
          </w:tcPr>
          <w:p>
            <w:pPr>
              <w:spacing w:after="0"/>
              <w:rPr>
                <w:sz w:val="19"/>
                <w:szCs w:val="19"/>
                <w:color w:val="auto"/>
              </w:rPr>
            </w:pPr>
          </w:p>
        </w:tc>
        <w:tc>
          <w:tcPr>
            <w:tcW w:w="80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Investments in sales-type lease, net</w:t>
            </w:r>
          </w:p>
        </w:tc>
        <w:tc>
          <w:tcPr>
            <w:tcW w:w="24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16,056</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8,705</w:t>
            </w:r>
          </w:p>
        </w:tc>
      </w:tr>
      <w:tr>
        <w:trPr>
          <w:trHeight w:val="233"/>
        </w:trPr>
        <w:tc>
          <w:tcPr>
            <w:tcW w:w="20" w:type="dxa"/>
            <w:vAlign w:val="bottom"/>
            <w:tcBorders>
              <w:bottom w:val="single" w:sz="8" w:color="CFF0FC"/>
            </w:tcBorders>
            <w:shd w:val="clear" w:color="auto" w:fill="CFF0FC"/>
          </w:tcPr>
          <w:p>
            <w:pPr>
              <w:spacing w:after="0"/>
              <w:rPr>
                <w:sz w:val="20"/>
                <w:szCs w:val="20"/>
                <w:color w:val="auto"/>
              </w:rPr>
            </w:pPr>
          </w:p>
        </w:tc>
        <w:tc>
          <w:tcPr>
            <w:tcW w:w="800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Investments in real estate partnerships</w:t>
            </w:r>
          </w:p>
        </w:tc>
        <w:tc>
          <w:tcPr>
            <w:tcW w:w="2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387,413</w:t>
            </w:r>
          </w:p>
        </w:tc>
        <w:tc>
          <w:tcPr>
            <w:tcW w:w="12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370,605</w:t>
            </w:r>
          </w:p>
        </w:tc>
      </w:tr>
      <w:tr>
        <w:trPr>
          <w:trHeight w:val="22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real estate investments</w:t>
            </w:r>
          </w:p>
        </w:tc>
        <w:tc>
          <w:tcPr>
            <w:tcW w:w="24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11,130,061</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11,142,315</w:t>
            </w:r>
          </w:p>
        </w:tc>
      </w:tr>
      <w:tr>
        <w:trPr>
          <w:trHeight w:val="239"/>
        </w:trPr>
        <w:tc>
          <w:tcPr>
            <w:tcW w:w="80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Properties held for sale, net</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18,878</w:t>
            </w:r>
          </w:p>
        </w:tc>
      </w:tr>
      <w:tr>
        <w:trPr>
          <w:trHeight w:val="202"/>
        </w:trPr>
        <w:tc>
          <w:tcPr>
            <w:tcW w:w="8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including $4,822 and $6,383 of restricted cash at September 30, 2024 and</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0"/>
        </w:trPr>
        <w:tc>
          <w:tcPr>
            <w:tcW w:w="8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24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114,831</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91,354</w:t>
            </w:r>
          </w:p>
        </w:tc>
      </w:tr>
      <w:tr>
        <w:trPr>
          <w:trHeight w:val="239"/>
        </w:trPr>
        <w:tc>
          <w:tcPr>
            <w:tcW w:w="80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Tenant and other receivables, net</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240,114</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206,162</w:t>
            </w:r>
          </w:p>
        </w:tc>
      </w:tr>
      <w:tr>
        <w:trPr>
          <w:trHeight w:val="202"/>
        </w:trPr>
        <w:tc>
          <w:tcPr>
            <w:tcW w:w="8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Deferred leasing costs, less accumulated amortization of $128,881 and $124,107 at September 30, 2024 and December</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0"/>
        </w:trPr>
        <w:tc>
          <w:tcPr>
            <w:tcW w:w="8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31, 2023, respectively</w:t>
            </w:r>
          </w:p>
        </w:tc>
        <w:tc>
          <w:tcPr>
            <w:tcW w:w="24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78,206</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73,398</w:t>
            </w:r>
          </w:p>
        </w:tc>
      </w:tr>
      <w:tr>
        <w:trPr>
          <w:trHeight w:val="212"/>
        </w:trPr>
        <w:tc>
          <w:tcPr>
            <w:tcW w:w="80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Acquired lease intangible assets, less accumulated amortization of $384,600 and $364,413 at September 30, 2024 and</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0"/>
        </w:trPr>
        <w:tc>
          <w:tcPr>
            <w:tcW w:w="80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242,529</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283,375</w:t>
            </w:r>
          </w:p>
        </w:tc>
      </w:tr>
      <w:tr>
        <w:trPr>
          <w:trHeight w:val="220"/>
        </w:trPr>
        <w:tc>
          <w:tcPr>
            <w:tcW w:w="80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Right of use assets, net</w:t>
            </w:r>
          </w:p>
        </w:tc>
        <w:tc>
          <w:tcPr>
            <w:tcW w:w="24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323,660</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328,002</w:t>
            </w:r>
          </w:p>
        </w:tc>
      </w:tr>
      <w:tr>
        <w:trPr>
          <w:trHeight w:val="233"/>
        </w:trPr>
        <w:tc>
          <w:tcPr>
            <w:tcW w:w="802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297,178</w:t>
            </w:r>
          </w:p>
        </w:tc>
        <w:tc>
          <w:tcPr>
            <w:tcW w:w="12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283,429</w:t>
            </w: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5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12,426,579</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12,426,913</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8000" w:type="dxa"/>
            <w:vAlign w:val="bottom"/>
            <w:gridSpan w:val="3"/>
            <w:shd w:val="clear" w:color="auto" w:fill="CFF0FC"/>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20"/>
        </w:trPr>
        <w:tc>
          <w:tcPr>
            <w:tcW w:w="20" w:type="dxa"/>
            <w:vAlign w:val="bottom"/>
            <w:tcBorders>
              <w:top w:val="single" w:sz="8" w:color="CFF0FC"/>
            </w:tcBorders>
          </w:tcPr>
          <w:p>
            <w:pPr>
              <w:spacing w:after="0"/>
              <w:rPr>
                <w:sz w:val="19"/>
                <w:szCs w:val="19"/>
                <w:color w:val="auto"/>
              </w:rPr>
            </w:pPr>
          </w:p>
        </w:tc>
        <w:tc>
          <w:tcPr>
            <w:tcW w:w="15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Liabilities:</w:t>
            </w:r>
          </w:p>
        </w:tc>
        <w:tc>
          <w:tcPr>
            <w:tcW w:w="650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420" w:type="dxa"/>
            <w:vAlign w:val="bottom"/>
            <w:tcBorders>
              <w:top w:val="single" w:sz="8" w:color="CFF0FC"/>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40" w:type="dxa"/>
            <w:vAlign w:val="bottom"/>
            <w:tcBorders>
              <w:top w:val="single" w:sz="8" w:color="CFF0FC"/>
            </w:tcBorders>
          </w:tcPr>
          <w:p>
            <w:pPr>
              <w:spacing w:after="0"/>
              <w:rPr>
                <w:sz w:val="19"/>
                <w:szCs w:val="19"/>
                <w:color w:val="auto"/>
              </w:rPr>
            </w:pPr>
          </w:p>
        </w:tc>
      </w:tr>
      <w:tr>
        <w:trPr>
          <w:trHeight w:val="239"/>
        </w:trPr>
        <w:tc>
          <w:tcPr>
            <w:tcW w:w="20" w:type="dxa"/>
            <w:vAlign w:val="bottom"/>
            <w:shd w:val="clear" w:color="auto" w:fill="CFF0FC"/>
          </w:tcPr>
          <w:p>
            <w:pPr>
              <w:spacing w:after="0"/>
              <w:rPr>
                <w:sz w:val="20"/>
                <w:szCs w:val="20"/>
                <w:color w:val="auto"/>
              </w:rPr>
            </w:pPr>
          </w:p>
        </w:tc>
        <w:tc>
          <w:tcPr>
            <w:tcW w:w="80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Notes payable, net</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4,365,007</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4,001,949</w:t>
            </w:r>
          </w:p>
        </w:tc>
      </w:tr>
      <w:tr>
        <w:trPr>
          <w:trHeight w:val="220"/>
        </w:trPr>
        <w:tc>
          <w:tcPr>
            <w:tcW w:w="20" w:type="dxa"/>
            <w:vAlign w:val="bottom"/>
          </w:tcPr>
          <w:p>
            <w:pPr>
              <w:spacing w:after="0"/>
              <w:rPr>
                <w:sz w:val="19"/>
                <w:szCs w:val="19"/>
                <w:color w:val="auto"/>
              </w:rPr>
            </w:pPr>
          </w:p>
        </w:tc>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Unsecured credit facility</w:t>
            </w:r>
          </w:p>
        </w:tc>
        <w:tc>
          <w:tcPr>
            <w:tcW w:w="24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30,000</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152,000</w:t>
            </w:r>
          </w:p>
        </w:tc>
      </w:tr>
      <w:tr>
        <w:trPr>
          <w:trHeight w:val="239"/>
        </w:trPr>
        <w:tc>
          <w:tcPr>
            <w:tcW w:w="20" w:type="dxa"/>
            <w:vAlign w:val="bottom"/>
            <w:shd w:val="clear" w:color="auto" w:fill="CFF0FC"/>
          </w:tcPr>
          <w:p>
            <w:pPr>
              <w:spacing w:after="0"/>
              <w:rPr>
                <w:sz w:val="20"/>
                <w:szCs w:val="20"/>
                <w:color w:val="auto"/>
              </w:rPr>
            </w:pPr>
          </w:p>
        </w:tc>
        <w:tc>
          <w:tcPr>
            <w:tcW w:w="80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389,055</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358,612</w:t>
            </w:r>
          </w:p>
        </w:tc>
      </w:tr>
      <w:tr>
        <w:trPr>
          <w:trHeight w:val="202"/>
        </w:trPr>
        <w:tc>
          <w:tcPr>
            <w:tcW w:w="20" w:type="dxa"/>
            <w:vAlign w:val="bottom"/>
          </w:tcPr>
          <w:p>
            <w:pPr>
              <w:spacing w:after="0"/>
              <w:rPr>
                <w:sz w:val="17"/>
                <w:szCs w:val="17"/>
                <w:color w:val="auto"/>
              </w:rPr>
            </w:pPr>
          </w:p>
        </w:tc>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Acquired lease intangible liabilities, less accumulated amortization of $214,684 and $211,067 at September 30, 2024</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and December 31, 2023, respectively</w:t>
            </w:r>
          </w:p>
        </w:tc>
        <w:tc>
          <w:tcPr>
            <w:tcW w:w="24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372,627</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398,302</w:t>
            </w:r>
          </w:p>
        </w:tc>
      </w:tr>
      <w:tr>
        <w:trPr>
          <w:trHeight w:val="239"/>
        </w:trPr>
        <w:tc>
          <w:tcPr>
            <w:tcW w:w="20" w:type="dxa"/>
            <w:vAlign w:val="bottom"/>
            <w:shd w:val="clear" w:color="auto" w:fill="CFF0FC"/>
          </w:tcPr>
          <w:p>
            <w:pPr>
              <w:spacing w:after="0"/>
              <w:rPr>
                <w:sz w:val="20"/>
                <w:szCs w:val="20"/>
                <w:color w:val="auto"/>
              </w:rPr>
            </w:pPr>
          </w:p>
        </w:tc>
        <w:tc>
          <w:tcPr>
            <w:tcW w:w="80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Lease liabilities</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245,107</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246,063</w:t>
            </w:r>
          </w:p>
        </w:tc>
      </w:tr>
      <w:tr>
        <w:trPr>
          <w:trHeight w:val="223"/>
        </w:trPr>
        <w:tc>
          <w:tcPr>
            <w:tcW w:w="20" w:type="dxa"/>
            <w:vAlign w:val="bottom"/>
          </w:tcPr>
          <w:p>
            <w:pPr>
              <w:spacing w:after="0"/>
              <w:rPr>
                <w:sz w:val="19"/>
                <w:szCs w:val="19"/>
                <w:color w:val="auto"/>
              </w:rPr>
            </w:pPr>
          </w:p>
        </w:tc>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Tenants' security, escrow deposits and prepaid rent</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80,586</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78,052</w:t>
            </w:r>
          </w:p>
        </w:tc>
      </w:tr>
      <w:tr>
        <w:trPr>
          <w:trHeight w:val="223"/>
        </w:trPr>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5,482,382</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5,234,978</w:t>
            </w:r>
          </w:p>
        </w:tc>
      </w:tr>
      <w:tr>
        <w:trPr>
          <w:trHeight w:val="220"/>
        </w:trPr>
        <w:tc>
          <w:tcPr>
            <w:tcW w:w="8020" w:type="dxa"/>
            <w:vAlign w:val="bottom"/>
            <w:tcBorders>
              <w:top w:val="single" w:sz="8" w:color="CFF0FC"/>
            </w:tcBorders>
            <w:gridSpan w:val="4"/>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9"/>
                <w:szCs w:val="19"/>
                <w:color w:val="auto"/>
              </w:rPr>
            </w:pP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0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Shareholders' equity:</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2"/>
        </w:trPr>
        <w:tc>
          <w:tcPr>
            <w:tcW w:w="20" w:type="dxa"/>
            <w:vAlign w:val="bottom"/>
            <w:shd w:val="clear" w:color="auto" w:fill="CFF0FC"/>
          </w:tcPr>
          <w:p>
            <w:pPr>
              <w:spacing w:after="0"/>
              <w:rPr>
                <w:sz w:val="18"/>
                <w:szCs w:val="18"/>
                <w:color w:val="auto"/>
              </w:rPr>
            </w:pPr>
          </w:p>
        </w:tc>
        <w:tc>
          <w:tcPr>
            <w:tcW w:w="80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Preferred stock $0.01 par value per share, 30,000,000 shares authorized; 9,000,000 shares issued and outstanding,</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03"/>
        </w:trPr>
        <w:tc>
          <w:tcPr>
            <w:tcW w:w="20" w:type="dxa"/>
            <w:vAlign w:val="bottom"/>
            <w:shd w:val="clear" w:color="auto" w:fill="CFF0FC"/>
          </w:tcPr>
          <w:p>
            <w:pPr>
              <w:spacing w:after="0"/>
              <w:rPr>
                <w:sz w:val="17"/>
                <w:szCs w:val="17"/>
                <w:color w:val="auto"/>
              </w:rPr>
            </w:pPr>
          </w:p>
        </w:tc>
        <w:tc>
          <w:tcPr>
            <w:tcW w:w="80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 the aggregate, in Series A and Series B at September 30, 2024 and December 31, 2023 with liquidation</w:t>
            </w: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r>
      <w:tr>
        <w:trPr>
          <w:trHeight w:val="230"/>
        </w:trPr>
        <w:tc>
          <w:tcPr>
            <w:tcW w:w="20" w:type="dxa"/>
            <w:vAlign w:val="bottom"/>
            <w:shd w:val="clear" w:color="auto" w:fill="CFF0FC"/>
          </w:tcPr>
          <w:p>
            <w:pPr>
              <w:spacing w:after="0"/>
              <w:rPr>
                <w:sz w:val="19"/>
                <w:szCs w:val="19"/>
                <w:color w:val="auto"/>
              </w:rPr>
            </w:pPr>
          </w:p>
        </w:tc>
        <w:tc>
          <w:tcPr>
            <w:tcW w:w="80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preference of $25 per share</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225,000</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225,000</w:t>
            </w:r>
          </w:p>
        </w:tc>
      </w:tr>
      <w:tr>
        <w:trPr>
          <w:trHeight w:val="202"/>
        </w:trPr>
        <w:tc>
          <w:tcPr>
            <w:tcW w:w="20" w:type="dxa"/>
            <w:vAlign w:val="bottom"/>
          </w:tcPr>
          <w:p>
            <w:pPr>
              <w:spacing w:after="0"/>
              <w:rPr>
                <w:sz w:val="17"/>
                <w:szCs w:val="17"/>
                <w:color w:val="auto"/>
              </w:rPr>
            </w:pPr>
          </w:p>
        </w:tc>
        <w:tc>
          <w:tcPr>
            <w:tcW w:w="80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Common stock $0.01 par value per share, 220,000,000 shares authorized; 181,502,569 and 184,581,070 shares</w:t>
            </w: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0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issued and outstanding at September 30, 2024 and December 31, 2023, respectively</w:t>
            </w:r>
          </w:p>
        </w:tc>
        <w:tc>
          <w:tcPr>
            <w:tcW w:w="24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1,815</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1,846</w:t>
            </w:r>
          </w:p>
        </w:tc>
      </w:tr>
      <w:tr>
        <w:trPr>
          <w:trHeight w:val="212"/>
        </w:trPr>
        <w:tc>
          <w:tcPr>
            <w:tcW w:w="20" w:type="dxa"/>
            <w:vAlign w:val="bottom"/>
            <w:shd w:val="clear" w:color="auto" w:fill="CFF0FC"/>
          </w:tcPr>
          <w:p>
            <w:pPr>
              <w:spacing w:after="0"/>
              <w:rPr>
                <w:sz w:val="18"/>
                <w:szCs w:val="18"/>
                <w:color w:val="auto"/>
              </w:rPr>
            </w:pPr>
          </w:p>
        </w:tc>
        <w:tc>
          <w:tcPr>
            <w:tcW w:w="80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Treasury stock at cost, 473,471 and 448,140 shares held at September 30, 2024 and December 31, 2023,</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0"/>
        </w:trPr>
        <w:tc>
          <w:tcPr>
            <w:tcW w:w="20" w:type="dxa"/>
            <w:vAlign w:val="bottom"/>
            <w:shd w:val="clear" w:color="auto" w:fill="CFF0FC"/>
          </w:tcPr>
          <w:p>
            <w:pPr>
              <w:spacing w:after="0"/>
              <w:rPr>
                <w:sz w:val="19"/>
                <w:szCs w:val="19"/>
                <w:color w:val="auto"/>
              </w:rPr>
            </w:pPr>
          </w:p>
        </w:tc>
        <w:tc>
          <w:tcPr>
            <w:tcW w:w="80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respectively</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(27,638 )</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(25,488 )</w:t>
            </w:r>
          </w:p>
        </w:tc>
      </w:tr>
      <w:tr>
        <w:trPr>
          <w:trHeight w:val="220"/>
        </w:trPr>
        <w:tc>
          <w:tcPr>
            <w:tcW w:w="20" w:type="dxa"/>
            <w:vAlign w:val="bottom"/>
          </w:tcPr>
          <w:p>
            <w:pPr>
              <w:spacing w:after="0"/>
              <w:rPr>
                <w:sz w:val="19"/>
                <w:szCs w:val="19"/>
                <w:color w:val="auto"/>
              </w:rPr>
            </w:pPr>
          </w:p>
        </w:tc>
        <w:tc>
          <w:tcPr>
            <w:tcW w:w="80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Additional paid-in-capital</w:t>
            </w:r>
          </w:p>
        </w:tc>
        <w:tc>
          <w:tcPr>
            <w:tcW w:w="240" w:type="dxa"/>
            <w:vAlign w:val="bottom"/>
          </w:tcPr>
          <w:p>
            <w:pPr>
              <w:spacing w:after="0"/>
              <w:rPr>
                <w:sz w:val="19"/>
                <w:szCs w:val="19"/>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8,509,021</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8,704,240</w:t>
            </w:r>
          </w:p>
        </w:tc>
      </w:tr>
      <w:tr>
        <w:trPr>
          <w:trHeight w:val="239"/>
        </w:trPr>
        <w:tc>
          <w:tcPr>
            <w:tcW w:w="20" w:type="dxa"/>
            <w:vAlign w:val="bottom"/>
            <w:shd w:val="clear" w:color="auto" w:fill="CFF0FC"/>
          </w:tcPr>
          <w:p>
            <w:pPr>
              <w:spacing w:after="0"/>
              <w:rPr>
                <w:sz w:val="20"/>
                <w:szCs w:val="20"/>
                <w:color w:val="auto"/>
              </w:rPr>
            </w:pPr>
          </w:p>
        </w:tc>
        <w:tc>
          <w:tcPr>
            <w:tcW w:w="80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(5,374 )</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(1,308 )</w:t>
            </w:r>
          </w:p>
        </w:tc>
      </w:tr>
      <w:tr>
        <w:trPr>
          <w:trHeight w:val="223"/>
        </w:trPr>
        <w:tc>
          <w:tcPr>
            <w:tcW w:w="20" w:type="dxa"/>
            <w:vAlign w:val="bottom"/>
          </w:tcPr>
          <w:p>
            <w:pPr>
              <w:spacing w:after="0"/>
              <w:rPr>
                <w:sz w:val="19"/>
                <w:szCs w:val="19"/>
                <w:color w:val="auto"/>
              </w:rPr>
            </w:pPr>
          </w:p>
        </w:tc>
        <w:tc>
          <w:tcPr>
            <w:tcW w:w="80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Distributions in excess of net income</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(1,935,358 )</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(1,871,603 )</w:t>
            </w:r>
          </w:p>
        </w:tc>
      </w:tr>
      <w:tr>
        <w:trPr>
          <w:trHeight w:val="223"/>
        </w:trPr>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5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6,767,466</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7,032,687</w:t>
            </w:r>
          </w:p>
        </w:tc>
      </w:tr>
      <w:tr>
        <w:trPr>
          <w:trHeight w:val="220"/>
        </w:trPr>
        <w:tc>
          <w:tcPr>
            <w:tcW w:w="20" w:type="dxa"/>
            <w:vAlign w:val="bottom"/>
            <w:tcBorders>
              <w:top w:val="single" w:sz="8" w:color="CFF0FC"/>
            </w:tcBorders>
          </w:tcPr>
          <w:p>
            <w:pPr>
              <w:spacing w:after="0"/>
              <w:rPr>
                <w:sz w:val="19"/>
                <w:szCs w:val="19"/>
                <w:color w:val="auto"/>
              </w:rPr>
            </w:pPr>
          </w:p>
        </w:tc>
        <w:tc>
          <w:tcPr>
            <w:tcW w:w="8000" w:type="dxa"/>
            <w:vAlign w:val="bottom"/>
            <w:tcBorders>
              <w:top w:val="single" w:sz="8" w:color="CFF0FC"/>
            </w:tcBorders>
            <w:gridSpan w:val="3"/>
          </w:tcPr>
          <w:p>
            <w:pPr>
              <w:ind w:left="18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12"/>
        </w:trPr>
        <w:tc>
          <w:tcPr>
            <w:tcW w:w="20" w:type="dxa"/>
            <w:vAlign w:val="bottom"/>
            <w:shd w:val="clear" w:color="auto" w:fill="CFF0FC"/>
          </w:tcPr>
          <w:p>
            <w:pPr>
              <w:spacing w:after="0"/>
              <w:rPr>
                <w:sz w:val="18"/>
                <w:szCs w:val="18"/>
                <w:color w:val="auto"/>
              </w:rPr>
            </w:pPr>
          </w:p>
        </w:tc>
        <w:tc>
          <w:tcPr>
            <w:tcW w:w="80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Exchangeable operating partnership units, aggregate redemption value of $79,212 and $74,199 at September 30,</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30"/>
        </w:trPr>
        <w:tc>
          <w:tcPr>
            <w:tcW w:w="20" w:type="dxa"/>
            <w:vAlign w:val="bottom"/>
            <w:shd w:val="clear" w:color="auto" w:fill="CFF0FC"/>
          </w:tcPr>
          <w:p>
            <w:pPr>
              <w:spacing w:after="0"/>
              <w:rPr>
                <w:sz w:val="19"/>
                <w:szCs w:val="19"/>
                <w:color w:val="auto"/>
              </w:rPr>
            </w:pPr>
          </w:p>
        </w:tc>
        <w:tc>
          <w:tcPr>
            <w:tcW w:w="80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2024 and December 31, 2023, respectively</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40,890</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42,195</w:t>
            </w:r>
          </w:p>
        </w:tc>
      </w:tr>
      <w:tr>
        <w:trPr>
          <w:trHeight w:val="223"/>
        </w:trPr>
        <w:tc>
          <w:tcPr>
            <w:tcW w:w="20" w:type="dxa"/>
            <w:vAlign w:val="bottom"/>
          </w:tcPr>
          <w:p>
            <w:pPr>
              <w:spacing w:after="0"/>
              <w:rPr>
                <w:sz w:val="19"/>
                <w:szCs w:val="19"/>
                <w:color w:val="auto"/>
              </w:rPr>
            </w:pPr>
          </w:p>
        </w:tc>
        <w:tc>
          <w:tcPr>
            <w:tcW w:w="80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Limited partners' interests in consolidated partnerships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135,841</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117,053</w:t>
            </w: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75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noncontrolling interests</w:t>
            </w:r>
          </w:p>
        </w:tc>
        <w:tc>
          <w:tcPr>
            <w:tcW w:w="2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176,731</w:t>
            </w:r>
          </w:p>
        </w:tc>
        <w:tc>
          <w:tcPr>
            <w:tcW w:w="12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159,248</w:t>
            </w: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5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 equity</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6,944,197</w:t>
            </w:r>
          </w:p>
        </w:tc>
        <w:tc>
          <w:tcPr>
            <w:tcW w:w="120" w:type="dxa"/>
            <w:vAlign w:val="bottom"/>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7,191,935</w:t>
            </w:r>
          </w:p>
        </w:tc>
      </w:tr>
      <w:tr>
        <w:trPr>
          <w:trHeight w:val="263"/>
        </w:trPr>
        <w:tc>
          <w:tcPr>
            <w:tcW w:w="2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CFF0FC"/>
            </w:tcBorders>
            <w:shd w:val="clear" w:color="auto" w:fill="CFF0FC"/>
          </w:tcPr>
          <w:p>
            <w:pPr>
              <w:spacing w:after="0"/>
              <w:rPr>
                <w:sz w:val="22"/>
                <w:szCs w:val="22"/>
                <w:color w:val="auto"/>
              </w:rPr>
            </w:pPr>
          </w:p>
        </w:tc>
        <w:tc>
          <w:tcPr>
            <w:tcW w:w="7560" w:type="dxa"/>
            <w:vAlign w:val="bottom"/>
            <w:tcBorders>
              <w:bottom w:val="single" w:sz="8" w:color="CFF0FC"/>
            </w:tcBorders>
            <w:gridSpan w:val="2"/>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12,426,579</w:t>
            </w:r>
          </w:p>
        </w:tc>
        <w:tc>
          <w:tcPr>
            <w:tcW w:w="12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12,426,913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-6240145</wp:posOffset>
            </wp:positionV>
            <wp:extent cx="857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-4679950</wp:posOffset>
            </wp:positionV>
            <wp:extent cx="85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-3051175</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-1062355</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-333375</wp:posOffset>
            </wp:positionV>
            <wp:extent cx="85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857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-7620</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001"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254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60" w:type="dxa"/>
            <w:vAlign w:val="bottom"/>
          </w:tcPr>
          <w:p>
            <w:pPr>
              <w:spacing w:after="0"/>
              <w:rPr>
                <w:sz w:val="17"/>
                <w:szCs w:val="17"/>
                <w:color w:val="auto"/>
              </w:rPr>
            </w:pPr>
          </w:p>
        </w:tc>
        <w:tc>
          <w:tcPr>
            <w:tcW w:w="236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25"/>
        </w:trPr>
        <w:tc>
          <w:tcPr>
            <w:tcW w:w="6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30,</w:t>
            </w:r>
          </w:p>
        </w:tc>
        <w:tc>
          <w:tcPr>
            <w:tcW w:w="11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w:t>
            </w:r>
          </w:p>
        </w:tc>
        <w:tc>
          <w:tcPr>
            <w:tcW w:w="1100" w:type="dxa"/>
            <w:vAlign w:val="bottom"/>
            <w:tcBorders>
              <w:bottom w:val="single" w:sz="8" w:color="auto"/>
            </w:tcBorders>
          </w:tcPr>
          <w:p>
            <w:pPr>
              <w:spacing w:after="0"/>
              <w:rPr>
                <w:sz w:val="19"/>
                <w:szCs w:val="19"/>
                <w:color w:val="auto"/>
              </w:rPr>
            </w:pPr>
          </w:p>
        </w:tc>
      </w:tr>
      <w:tr>
        <w:trPr>
          <w:trHeight w:val="223"/>
        </w:trPr>
        <w:tc>
          <w:tcPr>
            <w:tcW w:w="6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9"/>
                <w:szCs w:val="19"/>
                <w:color w:val="auto"/>
              </w:rPr>
            </w:pPr>
          </w:p>
        </w:tc>
        <w:tc>
          <w:tcPr>
            <w:tcW w:w="11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0"/>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20"/>
        </w:trPr>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Lease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349,057</w:t>
            </w:r>
          </w:p>
        </w:tc>
        <w:tc>
          <w:tcPr>
            <w:tcW w:w="18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320,921</w:t>
            </w:r>
          </w:p>
        </w:tc>
        <w:tc>
          <w:tcPr>
            <w:tcW w:w="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1,050,008</w:t>
            </w:r>
          </w:p>
        </w:tc>
        <w:tc>
          <w:tcPr>
            <w:tcW w:w="1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934,180</w:t>
            </w:r>
          </w:p>
        </w:tc>
      </w:tr>
      <w:tr>
        <w:trPr>
          <w:trHeight w:val="239"/>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property income</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4,444</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2,638</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11,464</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8,459</w:t>
            </w:r>
          </w:p>
        </w:tc>
      </w:tr>
      <w:tr>
        <w:trPr>
          <w:trHeight w:val="223"/>
        </w:trPr>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Management, transaction, and other fees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6,765</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7,079</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19,896</w:t>
            </w:r>
          </w:p>
        </w:tc>
        <w:tc>
          <w:tcPr>
            <w:tcW w:w="160" w:type="dxa"/>
            <w:vAlign w:val="bottom"/>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20,223</w:t>
            </w:r>
          </w:p>
        </w:tc>
      </w:tr>
      <w:tr>
        <w:trPr>
          <w:trHeight w:val="223"/>
        </w:trPr>
        <w:tc>
          <w:tcPr>
            <w:tcW w:w="6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revenues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360,266</w:t>
            </w:r>
          </w:p>
        </w:tc>
        <w:tc>
          <w:tcPr>
            <w:tcW w:w="1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330,638</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1,081,368</w:t>
            </w:r>
          </w:p>
        </w:tc>
        <w:tc>
          <w:tcPr>
            <w:tcW w:w="1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962,862</w:t>
            </w:r>
          </w:p>
        </w:tc>
      </w:tr>
      <w:tr>
        <w:trPr>
          <w:trHeight w:val="220"/>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9"/>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100,955</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87,505</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299,508</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253,373</w:t>
            </w:r>
          </w:p>
        </w:tc>
      </w:tr>
      <w:tr>
        <w:trPr>
          <w:trHeight w:val="220"/>
        </w:trPr>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operating expense</w:t>
            </w:r>
          </w:p>
        </w:tc>
        <w:tc>
          <w:tcPr>
            <w:tcW w:w="24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60,477</w:t>
            </w:r>
          </w:p>
        </w:tc>
        <w:tc>
          <w:tcPr>
            <w:tcW w:w="18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59,227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183,242</w:t>
            </w:r>
          </w:p>
        </w:tc>
        <w:tc>
          <w:tcPr>
            <w:tcW w:w="1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164,643</w:t>
            </w:r>
          </w:p>
        </w:tc>
      </w:tr>
      <w:tr>
        <w:trPr>
          <w:trHeight w:val="239"/>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Real estate taxes</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45,729</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40,171</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135,514</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117,157</w:t>
            </w:r>
          </w:p>
        </w:tc>
      </w:tr>
      <w:tr>
        <w:trPr>
          <w:trHeight w:val="220"/>
        </w:trPr>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4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25,073</w:t>
            </w:r>
          </w:p>
        </w:tc>
        <w:tc>
          <w:tcPr>
            <w:tcW w:w="18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20,903</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75,443</w:t>
            </w:r>
          </w:p>
        </w:tc>
        <w:tc>
          <w:tcPr>
            <w:tcW w:w="1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71,248</w:t>
            </w:r>
          </w:p>
        </w:tc>
      </w:tr>
      <w:tr>
        <w:trPr>
          <w:trHeight w:val="233"/>
        </w:trPr>
        <w:tc>
          <w:tcPr>
            <w:tcW w:w="6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3,654</w:t>
            </w:r>
          </w:p>
        </w:tc>
        <w:tc>
          <w:tcPr>
            <w:tcW w:w="1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3,533</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9,363</w:t>
            </w:r>
          </w:p>
        </w:tc>
        <w:tc>
          <w:tcPr>
            <w:tcW w:w="16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4,718</w:t>
            </w:r>
          </w:p>
        </w:tc>
      </w:tr>
      <w:tr>
        <w:trPr>
          <w:trHeight w:val="223"/>
        </w:trPr>
        <w:tc>
          <w:tcPr>
            <w:tcW w:w="6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235,888</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211,339</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703,070</w:t>
            </w:r>
          </w:p>
        </w:tc>
        <w:tc>
          <w:tcPr>
            <w:tcW w:w="160" w:type="dxa"/>
            <w:vAlign w:val="bottom"/>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611,139</w:t>
            </w:r>
          </w:p>
        </w:tc>
      </w:tr>
      <w:tr>
        <w:trPr>
          <w:trHeight w:val="229"/>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20"/>
        </w:trPr>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24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47,022</w:t>
            </w:r>
          </w:p>
        </w:tc>
        <w:tc>
          <w:tcPr>
            <w:tcW w:w="18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38,807</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133,068</w:t>
            </w:r>
          </w:p>
        </w:tc>
        <w:tc>
          <w:tcPr>
            <w:tcW w:w="1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112,156</w:t>
            </w:r>
          </w:p>
        </w:tc>
      </w:tr>
      <w:tr>
        <w:trPr>
          <w:trHeight w:val="239"/>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(11,360 )</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(33,844 )</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(515 )</w:t>
            </w:r>
          </w:p>
        </w:tc>
      </w:tr>
      <w:tr>
        <w:trPr>
          <w:trHeight w:val="220"/>
        </w:trPr>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24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180</w:t>
            </w:r>
          </w:p>
        </w:tc>
        <w:tc>
          <w:tcPr>
            <w:tcW w:w="1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investment (income) loss</w:t>
            </w: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(1,372 )</w:t>
            </w:r>
          </w:p>
        </w:tc>
        <w:tc>
          <w:tcPr>
            <w:tcW w:w="1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1,020</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(4,506 )</w:t>
            </w:r>
          </w:p>
        </w:tc>
        <w:tc>
          <w:tcPr>
            <w:tcW w:w="16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(2,449 )</w:t>
            </w:r>
          </w:p>
        </w:tc>
      </w:tr>
      <w:tr>
        <w:trPr>
          <w:trHeight w:val="223"/>
        </w:trPr>
        <w:tc>
          <w:tcPr>
            <w:tcW w:w="6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other expense, net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34,290</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39,643</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94,898</w:t>
            </w:r>
          </w:p>
        </w:tc>
        <w:tc>
          <w:tcPr>
            <w:tcW w:w="160" w:type="dxa"/>
            <w:vAlign w:val="bottom"/>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109,192</w:t>
            </w:r>
          </w:p>
        </w:tc>
      </w:tr>
      <w:tr>
        <w:trPr>
          <w:trHeight w:val="230"/>
        </w:trPr>
        <w:tc>
          <w:tcPr>
            <w:tcW w:w="61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Income before equity in income of investments in real estate partnerships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90,088</w:t>
            </w: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79,656</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283,400</w:t>
            </w: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242,531</w:t>
            </w: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income of investments in real estate partnerships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13,488</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12,517</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37,763</w:t>
            </w:r>
          </w:p>
        </w:tc>
        <w:tc>
          <w:tcPr>
            <w:tcW w:w="160" w:type="dxa"/>
            <w:vAlign w:val="bottom"/>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36,302</w:t>
            </w:r>
          </w:p>
        </w:tc>
      </w:tr>
      <w:tr>
        <w:trPr>
          <w:trHeight w:val="223"/>
        </w:trPr>
        <w:tc>
          <w:tcPr>
            <w:tcW w:w="61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103,576</w:t>
            </w:r>
          </w:p>
        </w:tc>
        <w:tc>
          <w:tcPr>
            <w:tcW w:w="1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92,173</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321,163</w:t>
            </w:r>
          </w:p>
        </w:tc>
        <w:tc>
          <w:tcPr>
            <w:tcW w:w="1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278,833</w:t>
            </w:r>
          </w:p>
        </w:tc>
      </w:tr>
      <w:tr>
        <w:trPr>
          <w:trHeight w:val="220"/>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9"/>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Exchangeable operating partnership units</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(593 )</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(520 )</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(1,836 )</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(1,490 )</w:t>
            </w:r>
          </w:p>
        </w:tc>
      </w:tr>
      <w:tr>
        <w:trPr>
          <w:trHeight w:val="223"/>
        </w:trPr>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Limited partners' interests in consolidated partnerships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(1,514 )</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(933 )</w:t>
            </w: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(5,416 )</w:t>
            </w:r>
          </w:p>
        </w:tc>
        <w:tc>
          <w:tcPr>
            <w:tcW w:w="16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(2,560 )</w:t>
            </w:r>
          </w:p>
        </w:tc>
      </w:tr>
      <w:tr>
        <w:trPr>
          <w:trHeight w:val="223"/>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(2,107 )</w:t>
            </w:r>
          </w:p>
        </w:tc>
        <w:tc>
          <w:tcPr>
            <w:tcW w:w="18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(1,453 )</w:t>
            </w:r>
          </w:p>
        </w:tc>
        <w:tc>
          <w:tcPr>
            <w:tcW w:w="1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(7,252 )</w:t>
            </w:r>
          </w:p>
        </w:tc>
        <w:tc>
          <w:tcPr>
            <w:tcW w:w="1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(4,050 )</w:t>
            </w:r>
          </w:p>
        </w:tc>
      </w:tr>
      <w:tr>
        <w:trPr>
          <w:trHeight w:val="220"/>
        </w:trPr>
        <w:tc>
          <w:tcPr>
            <w:tcW w:w="6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 attributable to the Company</w:t>
            </w:r>
          </w:p>
        </w:tc>
        <w:tc>
          <w:tcPr>
            <w:tcW w:w="240" w:type="dxa"/>
            <w:vAlign w:val="bottom"/>
          </w:tcPr>
          <w:p>
            <w:pPr>
              <w:spacing w:after="0"/>
              <w:rPr>
                <w:sz w:val="19"/>
                <w:szCs w:val="19"/>
                <w:color w:val="auto"/>
              </w:rPr>
            </w:pP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101,469</w:t>
            </w:r>
          </w:p>
        </w:tc>
        <w:tc>
          <w:tcPr>
            <w:tcW w:w="18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90,720</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313,911</w:t>
            </w:r>
          </w:p>
        </w:tc>
        <w:tc>
          <w:tcPr>
            <w:tcW w:w="1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274,783</w:t>
            </w:r>
          </w:p>
        </w:tc>
      </w:tr>
      <w:tr>
        <w:trPr>
          <w:trHeight w:val="233"/>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(3,413 )</w:t>
            </w:r>
          </w:p>
        </w:tc>
        <w:tc>
          <w:tcPr>
            <w:tcW w:w="18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(1,644 )</w:t>
            </w: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(10,239 )</w:t>
            </w:r>
          </w:p>
        </w:tc>
        <w:tc>
          <w:tcPr>
            <w:tcW w:w="16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(1,644 )</w:t>
            </w:r>
          </w:p>
        </w:tc>
      </w:tr>
      <w:tr>
        <w:trPr>
          <w:trHeight w:val="223"/>
        </w:trPr>
        <w:tc>
          <w:tcPr>
            <w:tcW w:w="61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 attributable to common shareholders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98,056</w:t>
            </w:r>
          </w:p>
        </w:tc>
        <w:tc>
          <w:tcPr>
            <w:tcW w:w="18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89,076</w:t>
            </w:r>
          </w:p>
        </w:tc>
        <w:tc>
          <w:tcPr>
            <w:tcW w:w="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303,672</w:t>
            </w:r>
          </w:p>
        </w:tc>
        <w:tc>
          <w:tcPr>
            <w:tcW w:w="16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273,139</w:t>
            </w:r>
          </w:p>
        </w:tc>
      </w:tr>
      <w:tr>
        <w:trPr>
          <w:trHeight w:val="20"/>
        </w:trPr>
        <w:tc>
          <w:tcPr>
            <w:tcW w:w="6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20"/>
        </w:trPr>
        <w:tc>
          <w:tcPr>
            <w:tcW w:w="6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shareholders: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9"/>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Per common share - basic</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0.54</w:t>
            </w: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0.50</w:t>
            </w:r>
          </w:p>
        </w:tc>
        <w:tc>
          <w:tcPr>
            <w:tcW w:w="3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1.66</w:t>
            </w:r>
          </w:p>
        </w:tc>
        <w:tc>
          <w:tcPr>
            <w:tcW w:w="1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r>
      <w:tr>
        <w:trPr>
          <w:trHeight w:val="210"/>
        </w:trPr>
        <w:tc>
          <w:tcPr>
            <w:tcW w:w="61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Per common share - diluted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0.54</w:t>
            </w:r>
          </w:p>
        </w:tc>
        <w:tc>
          <w:tcPr>
            <w:tcW w:w="18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0.50</w:t>
            </w:r>
          </w:p>
        </w:tc>
        <w:tc>
          <w:tcPr>
            <w:tcW w:w="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1.66</w:t>
            </w:r>
          </w:p>
        </w:tc>
        <w:tc>
          <w:tcPr>
            <w:tcW w:w="16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-4033520</wp:posOffset>
            </wp:positionV>
            <wp:extent cx="1111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-4033520</wp:posOffset>
            </wp:positionV>
            <wp:extent cx="1028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-4033520</wp:posOffset>
            </wp:positionV>
            <wp:extent cx="1028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-3150235</wp:posOffset>
            </wp:positionV>
            <wp:extent cx="1111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-3150235</wp:posOffset>
            </wp:positionV>
            <wp:extent cx="1028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-3150235</wp:posOffset>
            </wp:positionV>
            <wp:extent cx="1028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-2258695</wp:posOffset>
            </wp:positionV>
            <wp:extent cx="1111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-2258695</wp:posOffset>
            </wp:positionV>
            <wp:extent cx="1028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-2258695</wp:posOffset>
            </wp:positionV>
            <wp:extent cx="1028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-1650365</wp:posOffset>
            </wp:positionV>
            <wp:extent cx="1111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-1650365</wp:posOffset>
            </wp:positionV>
            <wp:extent cx="1028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-1650365</wp:posOffset>
            </wp:positionV>
            <wp:extent cx="1028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-1050290</wp:posOffset>
            </wp:positionV>
            <wp:extent cx="1111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-1050290</wp:posOffset>
            </wp:positionV>
            <wp:extent cx="1028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-1050290</wp:posOffset>
            </wp:positionV>
            <wp:extent cx="1028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-749935</wp:posOffset>
            </wp:positionV>
            <wp:extent cx="111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-749935</wp:posOffset>
            </wp:positionV>
            <wp:extent cx="1028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-749935</wp:posOffset>
            </wp:positionV>
            <wp:extent cx="1028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80" w:type="dxa"/>
            <w:vAlign w:val="bottom"/>
          </w:tcPr>
          <w:p>
            <w:pPr>
              <w:spacing w:after="0"/>
              <w:rPr>
                <w:sz w:val="17"/>
                <w:szCs w:val="17"/>
                <w:color w:val="auto"/>
              </w:rPr>
            </w:pPr>
          </w:p>
        </w:tc>
        <w:tc>
          <w:tcPr>
            <w:tcW w:w="238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25"/>
        </w:trPr>
        <w:tc>
          <w:tcPr>
            <w:tcW w:w="6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30,</w:t>
            </w:r>
          </w:p>
        </w:tc>
        <w:tc>
          <w:tcPr>
            <w:tcW w:w="11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30,</w:t>
            </w:r>
          </w:p>
        </w:tc>
        <w:tc>
          <w:tcPr>
            <w:tcW w:w="1120" w:type="dxa"/>
            <w:vAlign w:val="bottom"/>
            <w:tcBorders>
              <w:bottom w:val="single" w:sz="8" w:color="auto"/>
            </w:tcBorders>
          </w:tcPr>
          <w:p>
            <w:pPr>
              <w:spacing w:after="0"/>
              <w:rPr>
                <w:sz w:val="19"/>
                <w:szCs w:val="19"/>
                <w:color w:val="auto"/>
              </w:rPr>
            </w:pPr>
          </w:p>
        </w:tc>
      </w:tr>
      <w:tr>
        <w:trPr>
          <w:trHeight w:val="223"/>
        </w:trPr>
        <w:tc>
          <w:tcPr>
            <w:tcW w:w="6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9"/>
                <w:szCs w:val="19"/>
                <w:color w:val="auto"/>
              </w:rPr>
            </w:pPr>
          </w:p>
        </w:tc>
        <w:tc>
          <w:tcPr>
            <w:tcW w:w="11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9"/>
                <w:szCs w:val="19"/>
                <w:color w:val="auto"/>
              </w:rPr>
            </w:pPr>
          </w:p>
        </w:tc>
        <w:tc>
          <w:tcPr>
            <w:tcW w:w="11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0"/>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103,576</w:t>
            </w: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92,173</w:t>
            </w:r>
          </w:p>
        </w:tc>
        <w:tc>
          <w:tcPr>
            <w:tcW w:w="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321,163</w:t>
            </w: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278,833</w:t>
            </w:r>
          </w:p>
        </w:tc>
      </w:tr>
      <w:tr>
        <w:trPr>
          <w:trHeight w:val="220"/>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9"/>
        </w:trPr>
        <w:tc>
          <w:tcPr>
            <w:tcW w:w="6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Effective portion of change in fair value of derivative instruments:</w:t>
            </w: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20"/>
        </w:trPr>
        <w:tc>
          <w:tcPr>
            <w:tcW w:w="6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Effective portion of change in fair value of derivative instruments</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(9,305 )</w:t>
            </w:r>
          </w:p>
        </w:tc>
        <w:tc>
          <w:tcPr>
            <w:tcW w:w="18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4,606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2,412</w:t>
            </w:r>
          </w:p>
        </w:tc>
        <w:tc>
          <w:tcPr>
            <w:tcW w:w="16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7,327</w:t>
            </w:r>
          </w:p>
        </w:tc>
      </w:tr>
      <w:tr>
        <w:trPr>
          <w:trHeight w:val="239"/>
        </w:trPr>
        <w:tc>
          <w:tcPr>
            <w:tcW w:w="61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Reclassification adjustment of derivative instruments included in net income</w:t>
            </w:r>
          </w:p>
        </w:tc>
        <w:tc>
          <w:tcPr>
            <w:tcW w:w="10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(2,306 )</w:t>
            </w: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(2,161 )</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(7,113 )</w:t>
            </w:r>
          </w:p>
        </w:tc>
        <w:tc>
          <w:tcPr>
            <w:tcW w:w="16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(5,302 )</w:t>
            </w:r>
          </w:p>
        </w:tc>
      </w:tr>
      <w:tr>
        <w:trPr>
          <w:trHeight w:val="223"/>
        </w:trPr>
        <w:tc>
          <w:tcPr>
            <w:tcW w:w="6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Unrealized gain (loss) on available-for-sale debt securities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415</w:t>
            </w:r>
          </w:p>
        </w:tc>
        <w:tc>
          <w:tcPr>
            <w:tcW w:w="1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(292 )</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295</w:t>
            </w:r>
          </w:p>
        </w:tc>
        <w:tc>
          <w:tcPr>
            <w:tcW w:w="16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(215 )</w:t>
            </w:r>
          </w:p>
        </w:tc>
      </w:tr>
      <w:tr>
        <w:trPr>
          <w:trHeight w:val="223"/>
        </w:trPr>
        <w:tc>
          <w:tcPr>
            <w:tcW w:w="612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(11,196 )</w:t>
            </w:r>
          </w:p>
        </w:tc>
        <w:tc>
          <w:tcPr>
            <w:tcW w:w="18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2,153</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(4,406 )</w:t>
            </w:r>
          </w:p>
        </w:tc>
        <w:tc>
          <w:tcPr>
            <w:tcW w:w="160" w:type="dxa"/>
            <w:vAlign w:val="bottom"/>
            <w:tcBorders>
              <w:bottom w:val="single" w:sz="8" w:color="CFF0FC"/>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1,810</w:t>
            </w:r>
          </w:p>
        </w:tc>
      </w:tr>
      <w:tr>
        <w:trPr>
          <w:trHeight w:val="22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92,380</w:t>
            </w:r>
          </w:p>
        </w:tc>
        <w:tc>
          <w:tcPr>
            <w:tcW w:w="180" w:type="dxa"/>
            <w:vAlign w:val="bottom"/>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94,326</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316,757</w:t>
            </w:r>
          </w:p>
        </w:tc>
        <w:tc>
          <w:tcPr>
            <w:tcW w:w="160" w:type="dxa"/>
            <w:vAlign w:val="bottom"/>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280,643</w:t>
            </w:r>
          </w:p>
        </w:tc>
      </w:tr>
      <w:tr>
        <w:trPr>
          <w:trHeight w:val="229"/>
        </w:trPr>
        <w:tc>
          <w:tcPr>
            <w:tcW w:w="61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interests:</w:t>
            </w:r>
          </w:p>
        </w:tc>
        <w:tc>
          <w:tcPr>
            <w:tcW w:w="1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r>
      <w:tr>
        <w:trPr>
          <w:trHeight w:val="220"/>
        </w:trPr>
        <w:tc>
          <w:tcPr>
            <w:tcW w:w="6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0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2,107</w:t>
            </w:r>
          </w:p>
        </w:tc>
        <w:tc>
          <w:tcPr>
            <w:tcW w:w="180" w:type="dxa"/>
            <w:vAlign w:val="bottom"/>
          </w:tcPr>
          <w:p>
            <w:pPr>
              <w:spacing w:after="0"/>
              <w:rPr>
                <w:sz w:val="19"/>
                <w:szCs w:val="19"/>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7,252</w:t>
            </w:r>
          </w:p>
        </w:tc>
        <w:tc>
          <w:tcPr>
            <w:tcW w:w="16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4,050</w:t>
            </w:r>
          </w:p>
        </w:tc>
      </w:tr>
      <w:tr>
        <w:trPr>
          <w:trHeight w:val="233"/>
        </w:trPr>
        <w:tc>
          <w:tcPr>
            <w:tcW w:w="61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comprehensive (loss) income attributable to noncontrolling interests</w:t>
            </w:r>
          </w:p>
        </w:tc>
        <w:tc>
          <w:tcPr>
            <w:tcW w:w="10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(687 )</w:t>
            </w:r>
          </w:p>
        </w:tc>
        <w:tc>
          <w:tcPr>
            <w:tcW w:w="18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(340 )</w:t>
            </w:r>
          </w:p>
        </w:tc>
        <w:tc>
          <w:tcPr>
            <w:tcW w:w="16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223"/>
        </w:trPr>
        <w:tc>
          <w:tcPr>
            <w:tcW w:w="612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1,420</w:t>
            </w:r>
          </w:p>
        </w:tc>
        <w:tc>
          <w:tcPr>
            <w:tcW w:w="180" w:type="dxa"/>
            <w:vAlign w:val="bottom"/>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1,507</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6,912</w:t>
            </w:r>
          </w:p>
        </w:tc>
        <w:tc>
          <w:tcPr>
            <w:tcW w:w="160" w:type="dxa"/>
            <w:vAlign w:val="bottom"/>
          </w:tcPr>
          <w:p>
            <w:pPr>
              <w:spacing w:after="0"/>
              <w:rPr>
                <w:sz w:val="19"/>
                <w:szCs w:val="19"/>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3,985</w:t>
            </w:r>
          </w:p>
        </w:tc>
      </w:tr>
      <w:tr>
        <w:trPr>
          <w:trHeight w:val="263"/>
        </w:trPr>
        <w:tc>
          <w:tcPr>
            <w:tcW w:w="61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Comprehensive income attributable to the Company</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90,960</w:t>
            </w:r>
          </w:p>
        </w:tc>
        <w:tc>
          <w:tcPr>
            <w:tcW w:w="18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92,819</w:t>
            </w:r>
          </w:p>
        </w:tc>
        <w:tc>
          <w:tcPr>
            <w:tcW w:w="1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309,845</w:t>
            </w:r>
          </w:p>
        </w:tc>
        <w:tc>
          <w:tcPr>
            <w:tcW w:w="16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276,658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-934085</wp:posOffset>
            </wp:positionV>
            <wp:extent cx="1111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-934085</wp:posOffset>
            </wp:positionV>
            <wp:extent cx="1028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-934085</wp:posOffset>
            </wp:positionV>
            <wp:extent cx="1028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-334010</wp:posOffset>
            </wp:positionV>
            <wp:extent cx="1111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-334010</wp:posOffset>
            </wp:positionV>
            <wp:extent cx="1028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-334010</wp:posOffset>
            </wp:positionV>
            <wp:extent cx="1028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-25400</wp:posOffset>
            </wp:positionV>
            <wp:extent cx="1111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1111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-25400</wp:posOffset>
            </wp:positionV>
            <wp:extent cx="1028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-7620</wp:posOffset>
            </wp:positionV>
            <wp:extent cx="1028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1028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1028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6"/>
          <w:szCs w:val="16"/>
          <w:b w:val="1"/>
          <w:bCs w:val="1"/>
          <w:color w:val="auto"/>
        </w:rPr>
        <w:t>REGENCY CENTERS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months ended September 30, 2024 and 2023</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60" w:type="dxa"/>
            <w:vAlign w:val="bottom"/>
            <w:tcBorders>
              <w:bottom w:val="single" w:sz="8" w:color="auto"/>
            </w:tcBorders>
            <w:gridSpan w:val="5"/>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5"/>
              </w:rPr>
              <w:t>Noncontrolling Interests</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57"/>
              <w:spacing w:after="0" w:line="123" w:lineRule="exact"/>
              <w:rPr>
                <w:sz w:val="20"/>
                <w:szCs w:val="20"/>
                <w:color w:val="auto"/>
              </w:rPr>
            </w:pPr>
            <w:r>
              <w:rPr>
                <w:rFonts w:ascii="Times New Roman" w:cs="Times New Roman" w:eastAsia="Times New Roman" w:hAnsi="Times New Roman"/>
                <w:sz w:val="13"/>
                <w:szCs w:val="13"/>
                <w:b w:val="1"/>
                <w:bCs w:val="1"/>
                <w:color w:val="auto"/>
                <w:w w:val="95"/>
              </w:rPr>
              <w:t>Limited</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9"/>
              </w:rPr>
              <w:t>Distributi</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Partners'</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 w:type="dxa"/>
            <w:vAlign w:val="bottom"/>
          </w:tcPr>
          <w:p>
            <w:pPr>
              <w:spacing w:after="0"/>
              <w:rPr>
                <w:sz w:val="11"/>
                <w:szCs w:val="11"/>
                <w:color w:val="auto"/>
              </w:rPr>
            </w:pPr>
          </w:p>
        </w:tc>
        <w:tc>
          <w:tcPr>
            <w:tcW w:w="6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ons</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Exchangeabl</w:t>
            </w:r>
          </w:p>
        </w:tc>
        <w:tc>
          <w:tcPr>
            <w:tcW w:w="120" w:type="dxa"/>
            <w:vAlign w:val="bottom"/>
          </w:tcPr>
          <w:p>
            <w:pPr>
              <w:spacing w:after="0"/>
              <w:rPr>
                <w:sz w:val="11"/>
                <w:szCs w:val="11"/>
                <w:color w:val="auto"/>
              </w:rPr>
            </w:pPr>
          </w:p>
        </w:tc>
        <w:tc>
          <w:tcPr>
            <w:tcW w:w="7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Interest in</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58"/>
              <w:spacing w:after="0" w:line="135" w:lineRule="exact"/>
              <w:rPr>
                <w:sz w:val="20"/>
                <w:szCs w:val="20"/>
                <w:color w:val="auto"/>
              </w:rPr>
            </w:pPr>
            <w:r>
              <w:rPr>
                <w:rFonts w:ascii="Times New Roman" w:cs="Times New Roman" w:eastAsia="Times New Roman" w:hAnsi="Times New Roman"/>
                <w:sz w:val="13"/>
                <w:szCs w:val="13"/>
                <w:b w:val="1"/>
                <w:bCs w:val="1"/>
                <w:color w:val="auto"/>
                <w:w w:val="96"/>
              </w:rPr>
              <w:t>Additiona</w:t>
            </w:r>
          </w:p>
        </w:tc>
        <w:tc>
          <w:tcPr>
            <w:tcW w:w="10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00" w:type="dxa"/>
            <w:vAlign w:val="bottom"/>
          </w:tcPr>
          <w:p>
            <w:pPr>
              <w:spacing w:after="0"/>
              <w:rPr>
                <w:sz w:val="11"/>
                <w:szCs w:val="11"/>
                <w:color w:val="auto"/>
              </w:rPr>
            </w:pPr>
          </w:p>
        </w:tc>
        <w:tc>
          <w:tcPr>
            <w:tcW w:w="68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8"/>
              </w:rPr>
              <w:t>in Excess</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8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e</w:t>
            </w:r>
          </w:p>
        </w:tc>
        <w:tc>
          <w:tcPr>
            <w:tcW w:w="120" w:type="dxa"/>
            <w:vAlign w:val="bottom"/>
          </w:tcPr>
          <w:p>
            <w:pPr>
              <w:spacing w:after="0"/>
              <w:rPr>
                <w:sz w:val="11"/>
                <w:szCs w:val="11"/>
                <w:color w:val="auto"/>
              </w:rPr>
            </w:pPr>
          </w:p>
        </w:tc>
        <w:tc>
          <w:tcPr>
            <w:tcW w:w="7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Consolidat</w:t>
            </w:r>
          </w:p>
        </w:tc>
        <w:tc>
          <w:tcPr>
            <w:tcW w:w="10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480" w:type="dxa"/>
            <w:vAlign w:val="bottom"/>
            <w:gridSpan w:val="2"/>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Prefe</w:t>
            </w:r>
          </w:p>
        </w:tc>
        <w:tc>
          <w:tcPr>
            <w:tcW w:w="180" w:type="dxa"/>
            <w:vAlign w:val="bottom"/>
          </w:tcPr>
          <w:p>
            <w:pPr>
              <w:spacing w:after="0"/>
              <w:rPr>
                <w:sz w:val="11"/>
                <w:szCs w:val="11"/>
                <w:color w:val="auto"/>
              </w:rPr>
            </w:pPr>
          </w:p>
        </w:tc>
        <w:tc>
          <w:tcPr>
            <w:tcW w:w="42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mon</w:t>
            </w:r>
          </w:p>
        </w:tc>
        <w:tc>
          <w:tcPr>
            <w:tcW w:w="120" w:type="dxa"/>
            <w:vAlign w:val="bottom"/>
          </w:tcPr>
          <w:p>
            <w:pPr>
              <w:spacing w:after="0"/>
              <w:rPr>
                <w:sz w:val="11"/>
                <w:szCs w:val="11"/>
                <w:color w:val="auto"/>
              </w:rPr>
            </w:pPr>
          </w:p>
        </w:tc>
        <w:tc>
          <w:tcPr>
            <w:tcW w:w="6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3"/>
              </w:rPr>
              <w:t>Treasur</w:t>
            </w:r>
          </w:p>
        </w:tc>
        <w:tc>
          <w:tcPr>
            <w:tcW w:w="120" w:type="dxa"/>
            <w:vAlign w:val="bottom"/>
          </w:tcPr>
          <w:p>
            <w:pPr>
              <w:spacing w:after="0"/>
              <w:rPr>
                <w:sz w:val="11"/>
                <w:szCs w:val="11"/>
                <w:color w:val="auto"/>
              </w:rPr>
            </w:pPr>
          </w:p>
        </w:tc>
        <w:tc>
          <w:tcPr>
            <w:tcW w:w="700" w:type="dxa"/>
            <w:vAlign w:val="bottom"/>
          </w:tcPr>
          <w:p>
            <w:pPr>
              <w:jc w:val="center"/>
              <w:ind w:right="58"/>
              <w:spacing w:after="0"/>
              <w:rPr>
                <w:sz w:val="20"/>
                <w:szCs w:val="20"/>
                <w:color w:val="auto"/>
              </w:rPr>
            </w:pPr>
            <w:r>
              <w:rPr>
                <w:rFonts w:ascii="Times New Roman" w:cs="Times New Roman" w:eastAsia="Times New Roman" w:hAnsi="Times New Roman"/>
                <w:sz w:val="10"/>
                <w:szCs w:val="10"/>
                <w:b w:val="1"/>
                <w:bCs w:val="1"/>
                <w:color w:val="auto"/>
                <w:w w:val="70"/>
              </w:rPr>
              <w:t>l</w:t>
            </w:r>
          </w:p>
        </w:tc>
        <w:tc>
          <w:tcPr>
            <w:tcW w:w="10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w:t>
            </w:r>
          </w:p>
        </w:tc>
        <w:tc>
          <w:tcPr>
            <w:tcW w:w="100" w:type="dxa"/>
            <w:vAlign w:val="bottom"/>
          </w:tcPr>
          <w:p>
            <w:pPr>
              <w:spacing w:after="0"/>
              <w:rPr>
                <w:sz w:val="11"/>
                <w:szCs w:val="11"/>
                <w:color w:val="auto"/>
              </w:rPr>
            </w:pPr>
          </w:p>
        </w:tc>
        <w:tc>
          <w:tcPr>
            <w:tcW w:w="68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120" w:type="dxa"/>
            <w:vAlign w:val="bottom"/>
          </w:tcPr>
          <w:p>
            <w:pPr>
              <w:spacing w:after="0"/>
              <w:rPr>
                <w:sz w:val="11"/>
                <w:szCs w:val="11"/>
                <w:color w:val="auto"/>
              </w:rPr>
            </w:pPr>
          </w:p>
        </w:tc>
        <w:tc>
          <w:tcPr>
            <w:tcW w:w="96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Shareholders</w:t>
            </w:r>
          </w:p>
        </w:tc>
        <w:tc>
          <w:tcPr>
            <w:tcW w:w="8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Operating</w:t>
            </w:r>
          </w:p>
        </w:tc>
        <w:tc>
          <w:tcPr>
            <w:tcW w:w="120" w:type="dxa"/>
            <w:vAlign w:val="bottom"/>
          </w:tcPr>
          <w:p>
            <w:pPr>
              <w:spacing w:after="0"/>
              <w:rPr>
                <w:sz w:val="11"/>
                <w:szCs w:val="11"/>
                <w:color w:val="auto"/>
              </w:rPr>
            </w:pPr>
          </w:p>
        </w:tc>
        <w:tc>
          <w:tcPr>
            <w:tcW w:w="7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ed</w:t>
            </w:r>
          </w:p>
        </w:tc>
        <w:tc>
          <w:tcPr>
            <w:tcW w:w="10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Noncontrolli</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480" w:type="dxa"/>
            <w:vAlign w:val="bottom"/>
            <w:gridSpan w:val="2"/>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rred</w:t>
            </w:r>
          </w:p>
        </w:tc>
        <w:tc>
          <w:tcPr>
            <w:tcW w:w="180" w:type="dxa"/>
            <w:vAlign w:val="bottom"/>
          </w:tcPr>
          <w:p>
            <w:pPr>
              <w:spacing w:after="0"/>
              <w:rPr>
                <w:sz w:val="11"/>
                <w:szCs w:val="11"/>
                <w:color w:val="auto"/>
              </w:rPr>
            </w:pPr>
          </w:p>
        </w:tc>
        <w:tc>
          <w:tcPr>
            <w:tcW w:w="4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2"/>
              </w:rPr>
              <w:t>Stoc</w:t>
            </w:r>
          </w:p>
        </w:tc>
        <w:tc>
          <w:tcPr>
            <w:tcW w:w="120" w:type="dxa"/>
            <w:vAlign w:val="bottom"/>
          </w:tcPr>
          <w:p>
            <w:pPr>
              <w:spacing w:after="0"/>
              <w:rPr>
                <w:sz w:val="11"/>
                <w:szCs w:val="11"/>
                <w:color w:val="auto"/>
              </w:rPr>
            </w:pPr>
          </w:p>
        </w:tc>
        <w:tc>
          <w:tcPr>
            <w:tcW w:w="6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1"/>
              </w:rPr>
              <w:t>y</w:t>
            </w:r>
          </w:p>
        </w:tc>
        <w:tc>
          <w:tcPr>
            <w:tcW w:w="120" w:type="dxa"/>
            <w:vAlign w:val="bottom"/>
          </w:tcPr>
          <w:p>
            <w:pPr>
              <w:spacing w:after="0"/>
              <w:rPr>
                <w:sz w:val="11"/>
                <w:szCs w:val="11"/>
                <w:color w:val="auto"/>
              </w:rPr>
            </w:pPr>
          </w:p>
        </w:tc>
        <w:tc>
          <w:tcPr>
            <w:tcW w:w="700" w:type="dxa"/>
            <w:vAlign w:val="bottom"/>
          </w:tcPr>
          <w:p>
            <w:pPr>
              <w:jc w:val="center"/>
              <w:ind w:right="58"/>
              <w:spacing w:after="0" w:line="135" w:lineRule="exact"/>
              <w:rPr>
                <w:sz w:val="20"/>
                <w:szCs w:val="20"/>
                <w:color w:val="auto"/>
              </w:rPr>
            </w:pPr>
            <w:r>
              <w:rPr>
                <w:rFonts w:ascii="Times New Roman" w:cs="Times New Roman" w:eastAsia="Times New Roman" w:hAnsi="Times New Roman"/>
                <w:sz w:val="13"/>
                <w:szCs w:val="13"/>
                <w:b w:val="1"/>
                <w:bCs w:val="1"/>
                <w:color w:val="auto"/>
                <w:w w:val="92"/>
              </w:rPr>
              <w:t>Paid In</w:t>
            </w:r>
          </w:p>
        </w:tc>
        <w:tc>
          <w:tcPr>
            <w:tcW w:w="10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ive</w:t>
            </w:r>
          </w:p>
        </w:tc>
        <w:tc>
          <w:tcPr>
            <w:tcW w:w="100" w:type="dxa"/>
            <w:vAlign w:val="bottom"/>
          </w:tcPr>
          <w:p>
            <w:pPr>
              <w:spacing w:after="0"/>
              <w:rPr>
                <w:sz w:val="11"/>
                <w:szCs w:val="11"/>
                <w:color w:val="auto"/>
              </w:rPr>
            </w:pPr>
          </w:p>
        </w:tc>
        <w:tc>
          <w:tcPr>
            <w:tcW w:w="6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Net</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0"/>
                <w:szCs w:val="10"/>
                <w:b w:val="1"/>
                <w:bCs w:val="1"/>
                <w:color w:val="auto"/>
                <w:w w:val="70"/>
              </w:rPr>
              <w:t>'</w:t>
            </w:r>
          </w:p>
        </w:tc>
        <w:tc>
          <w:tcPr>
            <w:tcW w:w="120" w:type="dxa"/>
            <w:vAlign w:val="bottom"/>
          </w:tcPr>
          <w:p>
            <w:pPr>
              <w:spacing w:after="0"/>
              <w:rPr>
                <w:sz w:val="11"/>
                <w:szCs w:val="11"/>
                <w:color w:val="auto"/>
              </w:rPr>
            </w:pPr>
          </w:p>
        </w:tc>
        <w:tc>
          <w:tcPr>
            <w:tcW w:w="8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Partnership</w:t>
            </w:r>
          </w:p>
        </w:tc>
        <w:tc>
          <w:tcPr>
            <w:tcW w:w="120" w:type="dxa"/>
            <w:vAlign w:val="bottom"/>
          </w:tcPr>
          <w:p>
            <w:pPr>
              <w:spacing w:after="0"/>
              <w:rPr>
                <w:sz w:val="11"/>
                <w:szCs w:val="11"/>
                <w:color w:val="auto"/>
              </w:rPr>
            </w:pPr>
          </w:p>
        </w:tc>
        <w:tc>
          <w:tcPr>
            <w:tcW w:w="7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Partnershi</w:t>
            </w:r>
          </w:p>
        </w:tc>
        <w:tc>
          <w:tcPr>
            <w:tcW w:w="100" w:type="dxa"/>
            <w:vAlign w:val="bottom"/>
          </w:tcPr>
          <w:p>
            <w:pPr>
              <w:spacing w:after="0"/>
              <w:rPr>
                <w:sz w:val="11"/>
                <w:szCs w:val="11"/>
                <w:color w:val="auto"/>
              </w:rPr>
            </w:pPr>
          </w:p>
        </w:tc>
        <w:tc>
          <w:tcPr>
            <w:tcW w:w="86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87"/>
              </w:rPr>
              <w:t>ng</w:t>
            </w:r>
          </w:p>
        </w:tc>
        <w:tc>
          <w:tcPr>
            <w:tcW w:w="100" w:type="dxa"/>
            <w:vAlign w:val="bottom"/>
          </w:tcPr>
          <w:p>
            <w:pPr>
              <w:spacing w:after="0"/>
              <w:rPr>
                <w:sz w:val="11"/>
                <w:szCs w:val="11"/>
                <w:color w:val="auto"/>
              </w:rPr>
            </w:pPr>
          </w:p>
        </w:tc>
        <w:tc>
          <w:tcPr>
            <w:tcW w:w="760" w:type="dxa"/>
            <w:vAlign w:val="bottom"/>
          </w:tcPr>
          <w:p>
            <w:pPr>
              <w:jc w:val="right"/>
              <w:ind w:right="23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7"/>
        </w:trPr>
        <w:tc>
          <w:tcPr>
            <w:tcW w:w="2260" w:type="dxa"/>
            <w:vAlign w:val="bottom"/>
          </w:tcPr>
          <w:p>
            <w:pPr>
              <w:spacing w:after="0"/>
              <w:rPr>
                <w:sz w:val="14"/>
                <w:szCs w:val="14"/>
                <w:color w:val="auto"/>
              </w:rPr>
            </w:pPr>
          </w:p>
        </w:tc>
        <w:tc>
          <w:tcPr>
            <w:tcW w:w="480" w:type="dxa"/>
            <w:vAlign w:val="bottom"/>
            <w:tcBorders>
              <w:bottom w:val="single" w:sz="8" w:color="auto"/>
            </w:tcBorders>
            <w:gridSpan w:val="2"/>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80" w:type="dxa"/>
            <w:vAlign w:val="bottom"/>
          </w:tcPr>
          <w:p>
            <w:pPr>
              <w:spacing w:after="0"/>
              <w:rPr>
                <w:sz w:val="14"/>
                <w:szCs w:val="14"/>
                <w:color w:val="auto"/>
              </w:rPr>
            </w:pPr>
          </w:p>
        </w:tc>
        <w:tc>
          <w:tcPr>
            <w:tcW w:w="4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82"/>
              </w:rPr>
              <w:t>k</w:t>
            </w:r>
          </w:p>
        </w:tc>
        <w:tc>
          <w:tcPr>
            <w:tcW w:w="120" w:type="dxa"/>
            <w:vAlign w:val="bottom"/>
          </w:tcPr>
          <w:p>
            <w:pPr>
              <w:spacing w:after="0"/>
              <w:rPr>
                <w:sz w:val="14"/>
                <w:szCs w:val="14"/>
                <w:color w:val="auto"/>
              </w:rPr>
            </w:pPr>
          </w:p>
        </w:tc>
        <w:tc>
          <w:tcPr>
            <w:tcW w:w="6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2"/>
              </w:rPr>
              <w:t>Capital</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7"/>
              </w:rPr>
              <w:t>ps</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25"/>
        </w:trPr>
        <w:tc>
          <w:tcPr>
            <w:tcW w:w="2380" w:type="dxa"/>
            <w:vAlign w:val="bottom"/>
            <w:gridSpan w:val="2"/>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Balance at June 30, 2023</w:t>
            </w:r>
          </w:p>
        </w:tc>
        <w:tc>
          <w:tcPr>
            <w:tcW w:w="36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ind w:right="77"/>
              <w:spacing w:after="0" w:line="125" w:lineRule="exact"/>
              <w:rPr>
                <w:sz w:val="20"/>
                <w:szCs w:val="20"/>
                <w:color w:val="auto"/>
              </w:rPr>
            </w:pPr>
            <w:r>
              <w:rPr>
                <w:rFonts w:ascii="Times New Roman" w:cs="Times New Roman" w:eastAsia="Times New Roman" w:hAnsi="Times New Roman"/>
                <w:sz w:val="13"/>
                <w:szCs w:val="13"/>
                <w:color w:val="auto"/>
              </w:rPr>
              <w:t>1,7</w:t>
            </w:r>
          </w:p>
        </w:tc>
        <w:tc>
          <w:tcPr>
            <w:tcW w:w="740" w:type="dxa"/>
            <w:vAlign w:val="bottom"/>
            <w:gridSpan w:val="2"/>
            <w:shd w:val="clear" w:color="auto" w:fill="CFF0FC"/>
          </w:tcPr>
          <w:p>
            <w:pPr>
              <w:jc w:val="right"/>
              <w:ind w:right="77"/>
              <w:spacing w:after="0" w:line="125" w:lineRule="exact"/>
              <w:rPr>
                <w:sz w:val="20"/>
                <w:szCs w:val="20"/>
                <w:color w:val="auto"/>
              </w:rPr>
            </w:pPr>
            <w:r>
              <w:rPr>
                <w:rFonts w:ascii="Times New Roman" w:cs="Times New Roman" w:eastAsia="Times New Roman" w:hAnsi="Times New Roman"/>
                <w:sz w:val="13"/>
                <w:szCs w:val="13"/>
                <w:color w:val="auto"/>
              </w:rPr>
              <w:t>(24,67</w:t>
            </w:r>
          </w:p>
        </w:tc>
        <w:tc>
          <w:tcPr>
            <w:tcW w:w="820" w:type="dxa"/>
            <w:vAlign w:val="bottom"/>
            <w:gridSpan w:val="2"/>
            <w:shd w:val="clear" w:color="auto" w:fill="CFF0FC"/>
          </w:tcPr>
          <w:p>
            <w:pPr>
              <w:jc w:val="right"/>
              <w:ind w:right="78"/>
              <w:spacing w:after="0" w:line="125" w:lineRule="exact"/>
              <w:rPr>
                <w:sz w:val="20"/>
                <w:szCs w:val="20"/>
                <w:color w:val="auto"/>
              </w:rPr>
            </w:pPr>
            <w:r>
              <w:rPr>
                <w:rFonts w:ascii="Times New Roman" w:cs="Times New Roman" w:eastAsia="Times New Roman" w:hAnsi="Times New Roman"/>
                <w:sz w:val="13"/>
                <w:szCs w:val="13"/>
                <w:color w:val="auto"/>
              </w:rPr>
              <w:t>7,859,24</w:t>
            </w: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57"/>
              <w:spacing w:after="0" w:line="125" w:lineRule="exact"/>
              <w:rPr>
                <w:sz w:val="20"/>
                <w:szCs w:val="20"/>
                <w:color w:val="auto"/>
              </w:rPr>
            </w:pPr>
            <w:r>
              <w:rPr>
                <w:rFonts w:ascii="Times New Roman" w:cs="Times New Roman" w:eastAsia="Times New Roman" w:hAnsi="Times New Roman"/>
                <w:sz w:val="13"/>
                <w:szCs w:val="13"/>
                <w:color w:val="auto"/>
              </w:rPr>
              <w:t>(1,803,4</w:t>
            </w: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80" w:type="dxa"/>
            <w:vAlign w:val="bottom"/>
            <w:gridSpan w:val="2"/>
            <w:shd w:val="clear" w:color="auto" w:fill="CFF0FC"/>
          </w:tcPr>
          <w:p>
            <w:pPr>
              <w:ind w:left="22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w:t>
            </w:r>
          </w:p>
        </w:tc>
        <w:tc>
          <w:tcPr>
            <w:tcW w:w="74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6 )</w:t>
            </w:r>
          </w:p>
        </w:tc>
        <w:tc>
          <w:tcPr>
            <w:tcW w:w="82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9</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7,336</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6,040,213</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54,281</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49,292</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103,573</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6,143,786</w:t>
            </w:r>
          </w:p>
        </w:tc>
        <w:tc>
          <w:tcPr>
            <w:tcW w:w="0" w:type="dxa"/>
            <w:vAlign w:val="bottom"/>
          </w:tcPr>
          <w:p>
            <w:pPr>
              <w:spacing w:after="0"/>
              <w:rPr>
                <w:sz w:val="1"/>
                <w:szCs w:val="1"/>
                <w:color w:val="auto"/>
              </w:rPr>
            </w:pPr>
          </w:p>
        </w:tc>
      </w:tr>
      <w:tr>
        <w:trPr>
          <w:trHeight w:val="162"/>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90,720</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90,720</w:t>
            </w: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520</w:t>
            </w: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933</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1,453</w:t>
            </w: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92,173</w:t>
            </w:r>
          </w:p>
        </w:tc>
        <w:tc>
          <w:tcPr>
            <w:tcW w:w="0" w:type="dxa"/>
            <w:vAlign w:val="bottom"/>
          </w:tcPr>
          <w:p>
            <w:pPr>
              <w:spacing w:after="0"/>
              <w:rPr>
                <w:sz w:val="1"/>
                <w:szCs w:val="1"/>
                <w:color w:val="auto"/>
              </w:rPr>
            </w:pPr>
          </w:p>
        </w:tc>
      </w:tr>
      <w:tr>
        <w:trPr>
          <w:trHeight w:val="162"/>
        </w:trPr>
        <w:tc>
          <w:tcPr>
            <w:tcW w:w="2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3"/>
                <w:szCs w:val="13"/>
                <w:color w:val="auto"/>
              </w:rPr>
              <w:t>Other comprehensive income before</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3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reclassification</w:t>
            </w:r>
          </w:p>
        </w:tc>
        <w:tc>
          <w:tcPr>
            <w:tcW w:w="3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4,026</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4,026</w:t>
            </w: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25</w:t>
            </w: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263</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288</w:t>
            </w: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4,314</w:t>
            </w:r>
          </w:p>
        </w:tc>
        <w:tc>
          <w:tcPr>
            <w:tcW w:w="0" w:type="dxa"/>
            <w:vAlign w:val="bottom"/>
          </w:tcPr>
          <w:p>
            <w:pPr>
              <w:spacing w:after="0"/>
              <w:rPr>
                <w:sz w:val="1"/>
                <w:szCs w:val="1"/>
                <w:color w:val="auto"/>
              </w:rPr>
            </w:pPr>
          </w:p>
        </w:tc>
      </w:tr>
      <w:tr>
        <w:trPr>
          <w:trHeight w:val="132"/>
        </w:trPr>
        <w:tc>
          <w:tcPr>
            <w:tcW w:w="2380" w:type="dxa"/>
            <w:vAlign w:val="bottom"/>
            <w:gridSpan w:val="2"/>
            <w:shd w:val="clear" w:color="auto" w:fill="CFF0FC"/>
          </w:tcPr>
          <w:p>
            <w:pPr>
              <w:ind w:left="160"/>
              <w:spacing w:after="0" w:line="132" w:lineRule="exact"/>
              <w:rPr>
                <w:sz w:val="20"/>
                <w:szCs w:val="20"/>
                <w:color w:val="auto"/>
              </w:rPr>
            </w:pPr>
            <w:r>
              <w:rPr>
                <w:rFonts w:ascii="Times New Roman" w:cs="Times New Roman" w:eastAsia="Times New Roman" w:hAnsi="Times New Roman"/>
                <w:sz w:val="13"/>
                <w:szCs w:val="13"/>
                <w:color w:val="auto"/>
              </w:rPr>
              <w:t>Amounts reclassified from</w:t>
            </w: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accumulated other comprehensive</w:t>
            </w: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income</w:t>
            </w:r>
          </w:p>
        </w:tc>
        <w:tc>
          <w:tcPr>
            <w:tcW w:w="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(1,927 )</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(1,927 )</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(11 )</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(223 )</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(234 )</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(2,161 )</w:t>
            </w:r>
          </w:p>
        </w:tc>
        <w:tc>
          <w:tcPr>
            <w:tcW w:w="0" w:type="dxa"/>
            <w:vAlign w:val="bottom"/>
          </w:tcPr>
          <w:p>
            <w:pPr>
              <w:spacing w:after="0"/>
              <w:rPr>
                <w:sz w:val="1"/>
                <w:szCs w:val="1"/>
                <w:color w:val="auto"/>
              </w:rPr>
            </w:pPr>
          </w:p>
        </w:tc>
      </w:tr>
      <w:tr>
        <w:trPr>
          <w:trHeight w:val="162"/>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Deferred compensation plan, net</w:t>
            </w:r>
          </w:p>
        </w:tc>
        <w:tc>
          <w:tcPr>
            <w:tcW w:w="3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(405 )</w:t>
            </w:r>
          </w:p>
        </w:tc>
        <w:tc>
          <w:tcPr>
            <w:tcW w:w="82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405</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2380" w:type="dxa"/>
            <w:vAlign w:val="bottom"/>
            <w:gridSpan w:val="2"/>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color w:val="auto"/>
              </w:rPr>
              <w:t>Restricted stock issued, net of</w:t>
            </w: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amortization</w:t>
            </w:r>
          </w:p>
        </w:tc>
        <w:tc>
          <w:tcPr>
            <w:tcW w:w="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5,465</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5,465</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5,465</w:t>
            </w:r>
          </w:p>
        </w:tc>
        <w:tc>
          <w:tcPr>
            <w:tcW w:w="0" w:type="dxa"/>
            <w:vAlign w:val="bottom"/>
          </w:tcPr>
          <w:p>
            <w:pPr>
              <w:spacing w:after="0"/>
              <w:rPr>
                <w:sz w:val="1"/>
                <w:szCs w:val="1"/>
                <w:color w:val="auto"/>
              </w:rPr>
            </w:pPr>
          </w:p>
        </w:tc>
      </w:tr>
      <w:tr>
        <w:trPr>
          <w:trHeight w:val="130"/>
        </w:trPr>
        <w:tc>
          <w:tcPr>
            <w:tcW w:w="23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Common stock repurchased for taxes</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color w:val="auto"/>
              </w:rPr>
              <w:t>withheld for stock based compensation,</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w:t>
            </w:r>
          </w:p>
        </w:tc>
        <w:tc>
          <w:tcPr>
            <w:tcW w:w="3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125</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125</w:t>
            </w: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132"/>
        </w:trPr>
        <w:tc>
          <w:tcPr>
            <w:tcW w:w="2380" w:type="dxa"/>
            <w:vAlign w:val="bottom"/>
            <w:gridSpan w:val="2"/>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Common stock issued under dividend</w:t>
            </w: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reinvestment plan</w:t>
            </w:r>
          </w:p>
        </w:tc>
        <w:tc>
          <w:tcPr>
            <w:tcW w:w="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162</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162</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162</w:t>
            </w:r>
          </w:p>
        </w:tc>
        <w:tc>
          <w:tcPr>
            <w:tcW w:w="0" w:type="dxa"/>
            <w:vAlign w:val="bottom"/>
          </w:tcPr>
          <w:p>
            <w:pPr>
              <w:spacing w:after="0"/>
              <w:rPr>
                <w:sz w:val="1"/>
                <w:szCs w:val="1"/>
                <w:color w:val="auto"/>
              </w:rPr>
            </w:pPr>
          </w:p>
        </w:tc>
      </w:tr>
      <w:tr>
        <w:trPr>
          <w:trHeight w:val="130"/>
        </w:trPr>
        <w:tc>
          <w:tcPr>
            <w:tcW w:w="23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Common stock issued for partnership</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units exchanged</w:t>
            </w:r>
          </w:p>
        </w:tc>
        <w:tc>
          <w:tcPr>
            <w:tcW w:w="3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198</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(198 )</w:t>
            </w:r>
          </w:p>
        </w:tc>
        <w:tc>
          <w:tcPr>
            <w:tcW w:w="1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(198 )</w:t>
            </w:r>
          </w:p>
        </w:tc>
        <w:tc>
          <w:tcPr>
            <w:tcW w:w="10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2"/>
        </w:trPr>
        <w:tc>
          <w:tcPr>
            <w:tcW w:w="2380" w:type="dxa"/>
            <w:vAlign w:val="bottom"/>
            <w:gridSpan w:val="2"/>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Common stock issued, net of issuance</w:t>
            </w:r>
          </w:p>
        </w:tc>
        <w:tc>
          <w:tcPr>
            <w:tcW w:w="36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57"/>
              <w:spacing w:after="0" w:line="132" w:lineRule="exact"/>
              <w:rPr>
                <w:sz w:val="20"/>
                <w:szCs w:val="20"/>
                <w:color w:val="auto"/>
              </w:rPr>
            </w:pPr>
            <w:r>
              <w:rPr>
                <w:rFonts w:ascii="Times New Roman" w:cs="Times New Roman" w:eastAsia="Times New Roman" w:hAnsi="Times New Roman"/>
                <w:sz w:val="13"/>
                <w:szCs w:val="13"/>
                <w:color w:val="auto"/>
              </w:rPr>
              <w:t>13</w:t>
            </w: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costs</w:t>
            </w:r>
          </w:p>
        </w:tc>
        <w:tc>
          <w:tcPr>
            <w:tcW w:w="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818,408</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818,544</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818,544</w:t>
            </w:r>
          </w:p>
        </w:tc>
        <w:tc>
          <w:tcPr>
            <w:tcW w:w="0" w:type="dxa"/>
            <w:vAlign w:val="bottom"/>
          </w:tcPr>
          <w:p>
            <w:pPr>
              <w:spacing w:after="0"/>
              <w:rPr>
                <w:sz w:val="1"/>
                <w:szCs w:val="1"/>
                <w:color w:val="auto"/>
              </w:rPr>
            </w:pPr>
          </w:p>
        </w:tc>
      </w:tr>
      <w:tr>
        <w:trPr>
          <w:trHeight w:val="130"/>
        </w:trPr>
        <w:tc>
          <w:tcPr>
            <w:tcW w:w="23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preferred stock</w:t>
            </w:r>
          </w:p>
        </w:tc>
        <w:tc>
          <w:tcPr>
            <w:tcW w:w="360" w:type="dxa"/>
            <w:vAlign w:val="bottom"/>
          </w:tcPr>
          <w:p>
            <w:pPr>
              <w:jc w:val="right"/>
              <w:ind w:right="57"/>
              <w:spacing w:after="0" w:line="131" w:lineRule="exact"/>
              <w:rPr>
                <w:sz w:val="20"/>
                <w:szCs w:val="20"/>
                <w:color w:val="auto"/>
              </w:rPr>
            </w:pPr>
            <w:r>
              <w:rPr>
                <w:rFonts w:ascii="Times New Roman" w:cs="Times New Roman" w:eastAsia="Times New Roman" w:hAnsi="Times New Roman"/>
                <w:sz w:val="13"/>
                <w:szCs w:val="13"/>
                <w:color w:val="auto"/>
              </w:rPr>
              <w:t>225</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Pr>
          <w:p>
            <w:pPr>
              <w:spacing w:after="0"/>
              <w:rPr>
                <w:sz w:val="14"/>
                <w:szCs w:val="14"/>
                <w:color w:val="auto"/>
              </w:rPr>
            </w:pPr>
          </w:p>
        </w:tc>
        <w:tc>
          <w:tcPr>
            <w:tcW w:w="4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225,000</w:t>
            </w: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225,000</w:t>
            </w:r>
          </w:p>
        </w:tc>
        <w:tc>
          <w:tcPr>
            <w:tcW w:w="0" w:type="dxa"/>
            <w:vAlign w:val="bottom"/>
          </w:tcPr>
          <w:p>
            <w:pPr>
              <w:spacing w:after="0"/>
              <w:rPr>
                <w:sz w:val="1"/>
                <w:szCs w:val="1"/>
                <w:color w:val="auto"/>
              </w:rPr>
            </w:pPr>
          </w:p>
        </w:tc>
      </w:tr>
      <w:tr>
        <w:trPr>
          <w:trHeight w:val="163"/>
        </w:trPr>
        <w:tc>
          <w:tcPr>
            <w:tcW w:w="2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Contributions from partners</w:t>
            </w:r>
          </w:p>
        </w:tc>
        <w:tc>
          <w:tcPr>
            <w:tcW w:w="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69,625</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69,625</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69,625</w:t>
            </w:r>
          </w:p>
        </w:tc>
        <w:tc>
          <w:tcPr>
            <w:tcW w:w="0" w:type="dxa"/>
            <w:vAlign w:val="bottom"/>
          </w:tcPr>
          <w:p>
            <w:pPr>
              <w:spacing w:after="0"/>
              <w:rPr>
                <w:sz w:val="1"/>
                <w:szCs w:val="1"/>
                <w:color w:val="auto"/>
              </w:rPr>
            </w:pPr>
          </w:p>
        </w:tc>
      </w:tr>
      <w:tr>
        <w:trPr>
          <w:trHeight w:val="162"/>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Distributions to partners</w:t>
            </w:r>
          </w:p>
        </w:tc>
        <w:tc>
          <w:tcPr>
            <w:tcW w:w="3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(3,191 )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(3,191 )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(3,191 )</w:t>
            </w:r>
          </w:p>
        </w:tc>
        <w:tc>
          <w:tcPr>
            <w:tcW w:w="0" w:type="dxa"/>
            <w:vAlign w:val="bottom"/>
          </w:tcPr>
          <w:p>
            <w:pPr>
              <w:spacing w:after="0"/>
              <w:rPr>
                <w:sz w:val="1"/>
                <w:szCs w:val="1"/>
                <w:color w:val="auto"/>
              </w:rPr>
            </w:pPr>
          </w:p>
        </w:tc>
      </w:tr>
      <w:tr>
        <w:trPr>
          <w:trHeight w:val="162"/>
        </w:trPr>
        <w:tc>
          <w:tcPr>
            <w:tcW w:w="2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3"/>
                <w:szCs w:val="13"/>
                <w:color w:val="auto"/>
              </w:rPr>
              <w:t>Preferred stock (Series A:</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tcPr>
          <w:p>
            <w:pPr>
              <w:ind w:left="160"/>
              <w:spacing w:after="0" w:line="135" w:lineRule="exact"/>
              <w:rPr>
                <w:sz w:val="20"/>
                <w:szCs w:val="20"/>
                <w:color w:val="auto"/>
              </w:rPr>
            </w:pPr>
            <w:r>
              <w:rPr>
                <w:rFonts w:ascii="Times New Roman" w:cs="Times New Roman" w:eastAsia="Times New Roman" w:hAnsi="Times New Roman"/>
                <w:sz w:val="13"/>
                <w:szCs w:val="13"/>
                <w:color w:val="auto"/>
              </w:rPr>
              <w:t>$0.390625 per share/unit; Series B:</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3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$0.367200 per share/unit)</w:t>
            </w:r>
          </w:p>
        </w:tc>
        <w:tc>
          <w:tcPr>
            <w:tcW w:w="3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(1,644 )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(1,644 )</w:t>
            </w: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(1,644 )</w:t>
            </w:r>
          </w:p>
        </w:tc>
        <w:tc>
          <w:tcPr>
            <w:tcW w:w="0" w:type="dxa"/>
            <w:vAlign w:val="bottom"/>
          </w:tcPr>
          <w:p>
            <w:pPr>
              <w:spacing w:after="0"/>
              <w:rPr>
                <w:sz w:val="1"/>
                <w:szCs w:val="1"/>
                <w:color w:val="auto"/>
              </w:rPr>
            </w:pPr>
          </w:p>
        </w:tc>
      </w:tr>
      <w:tr>
        <w:trPr>
          <w:trHeight w:val="132"/>
        </w:trPr>
        <w:tc>
          <w:tcPr>
            <w:tcW w:w="2380" w:type="dxa"/>
            <w:vAlign w:val="bottom"/>
            <w:gridSpan w:val="2"/>
            <w:shd w:val="clear" w:color="auto" w:fill="CFF0FC"/>
          </w:tcPr>
          <w:p>
            <w:pPr>
              <w:ind w:left="160"/>
              <w:spacing w:after="0" w:line="132" w:lineRule="exact"/>
              <w:rPr>
                <w:sz w:val="20"/>
                <w:szCs w:val="20"/>
                <w:color w:val="auto"/>
              </w:rPr>
            </w:pPr>
            <w:r>
              <w:rPr>
                <w:rFonts w:ascii="Times New Roman" w:cs="Times New Roman" w:eastAsia="Times New Roman" w:hAnsi="Times New Roman"/>
                <w:sz w:val="13"/>
                <w:szCs w:val="13"/>
                <w:color w:val="auto"/>
              </w:rPr>
              <w:t>Common stock ($0.650 per share/unit)</w:t>
            </w: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37"/>
              <w:spacing w:after="0" w:line="132" w:lineRule="exact"/>
              <w:rPr>
                <w:sz w:val="20"/>
                <w:szCs w:val="20"/>
                <w:color w:val="auto"/>
              </w:rPr>
            </w:pPr>
            <w:r>
              <w:rPr>
                <w:rFonts w:ascii="Times New Roman" w:cs="Times New Roman" w:eastAsia="Times New Roman" w:hAnsi="Times New Roman"/>
                <w:sz w:val="13"/>
                <w:szCs w:val="13"/>
                <w:color w:val="auto"/>
              </w:rPr>
              <w:t>(119,96</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CFF0FC"/>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8 )</w:t>
            </w: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(119,968 )</w:t>
            </w: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(703 )</w:t>
            </w:r>
          </w:p>
        </w:tc>
        <w:tc>
          <w:tcPr>
            <w:tcW w:w="12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(703 )</w:t>
            </w:r>
          </w:p>
        </w:tc>
        <w:tc>
          <w:tcPr>
            <w:tcW w:w="1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(120,671 )</w:t>
            </w:r>
          </w:p>
        </w:tc>
        <w:tc>
          <w:tcPr>
            <w:tcW w:w="0" w:type="dxa"/>
            <w:vAlign w:val="bottom"/>
          </w:tcPr>
          <w:p>
            <w:pPr>
              <w:spacing w:after="0"/>
              <w:rPr>
                <w:sz w:val="1"/>
                <w:szCs w:val="1"/>
                <w:color w:val="auto"/>
              </w:rPr>
            </w:pPr>
          </w:p>
        </w:tc>
      </w:tr>
      <w:tr>
        <w:trPr>
          <w:trHeight w:val="125"/>
        </w:trPr>
        <w:tc>
          <w:tcPr>
            <w:tcW w:w="238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Balance at September 30, 2023</w:t>
            </w:r>
          </w:p>
        </w:tc>
        <w:tc>
          <w:tcPr>
            <w:tcW w:w="360" w:type="dxa"/>
            <w:vAlign w:val="bottom"/>
          </w:tcPr>
          <w:p>
            <w:pPr>
              <w:jc w:val="right"/>
              <w:ind w:right="57"/>
              <w:spacing w:after="0" w:line="125" w:lineRule="exact"/>
              <w:rPr>
                <w:sz w:val="20"/>
                <w:szCs w:val="20"/>
                <w:color w:val="auto"/>
              </w:rPr>
            </w:pPr>
            <w:r>
              <w:rPr>
                <w:rFonts w:ascii="Times New Roman" w:cs="Times New Roman" w:eastAsia="Times New Roman" w:hAnsi="Times New Roman"/>
                <w:sz w:val="13"/>
                <w:szCs w:val="13"/>
                <w:color w:val="auto"/>
              </w:rPr>
              <w:t>225</w:t>
            </w: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60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74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(25,08</w:t>
            </w:r>
          </w:p>
        </w:tc>
        <w:tc>
          <w:tcPr>
            <w:tcW w:w="820" w:type="dxa"/>
            <w:vAlign w:val="bottom"/>
            <w:gridSpan w:val="2"/>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8,684,01</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(1,834,2</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380" w:type="dxa"/>
            <w:vAlign w:val="bottom"/>
            <w:gridSpan w:val="2"/>
          </w:tcPr>
          <w:p>
            <w:pPr>
              <w:ind w:left="22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0</w:t>
            </w:r>
          </w:p>
        </w:tc>
        <w:tc>
          <w:tcPr>
            <w:tcW w:w="6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46</w:t>
            </w:r>
          </w:p>
        </w:tc>
        <w:tc>
          <w:tcPr>
            <w:tcW w:w="74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1 )</w:t>
            </w:r>
          </w:p>
        </w:tc>
        <w:tc>
          <w:tcPr>
            <w:tcW w:w="82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2</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9,435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98 )</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7,060,914</w:t>
            </w: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53,914</w:t>
            </w: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116,699</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170,613</w:t>
            </w: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7,231,527</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380" w:type="dxa"/>
            <w:vAlign w:val="bottom"/>
            <w:gridSpan w:val="2"/>
            <w:shd w:val="clear" w:color="auto" w:fill="CFF0FC"/>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Balance at June 30, 2024</w:t>
            </w:r>
          </w:p>
        </w:tc>
        <w:tc>
          <w:tcPr>
            <w:tcW w:w="360" w:type="dxa"/>
            <w:vAlign w:val="bottom"/>
            <w:shd w:val="clear" w:color="auto" w:fill="CFF0FC"/>
          </w:tcPr>
          <w:p>
            <w:pPr>
              <w:jc w:val="right"/>
              <w:ind w:right="57"/>
              <w:spacing w:after="0" w:line="131" w:lineRule="exact"/>
              <w:rPr>
                <w:sz w:val="20"/>
                <w:szCs w:val="20"/>
                <w:color w:val="auto"/>
              </w:rPr>
            </w:pPr>
            <w:r>
              <w:rPr>
                <w:rFonts w:ascii="Times New Roman" w:cs="Times New Roman" w:eastAsia="Times New Roman" w:hAnsi="Times New Roman"/>
                <w:sz w:val="13"/>
                <w:szCs w:val="13"/>
                <w:color w:val="auto"/>
              </w:rPr>
              <w:t>225</w:t>
            </w:r>
          </w:p>
        </w:tc>
        <w:tc>
          <w:tcPr>
            <w:tcW w:w="1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600" w:type="dxa"/>
            <w:vAlign w:val="bottom"/>
            <w:gridSpan w:val="2"/>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740" w:type="dxa"/>
            <w:vAlign w:val="bottom"/>
            <w:gridSpan w:val="2"/>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(27,23</w:t>
            </w:r>
          </w:p>
        </w:tc>
        <w:tc>
          <w:tcPr>
            <w:tcW w:w="820" w:type="dxa"/>
            <w:vAlign w:val="bottom"/>
            <w:gridSpan w:val="2"/>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8,502,75</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(1,911,7</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gridSpan w:val="2"/>
            <w:shd w:val="clear" w:color="auto" w:fill="CFF0FC"/>
          </w:tcPr>
          <w:p>
            <w:pPr>
              <w:ind w:left="228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0</w:t>
            </w:r>
          </w:p>
        </w:tc>
        <w:tc>
          <w:tcPr>
            <w:tcW w:w="60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15</w:t>
            </w:r>
          </w:p>
        </w:tc>
        <w:tc>
          <w:tcPr>
            <w:tcW w:w="74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4 )</w:t>
            </w:r>
          </w:p>
        </w:tc>
        <w:tc>
          <w:tcPr>
            <w:tcW w:w="82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3</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5,135</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41 )</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6,795,728</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40,738</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126,704</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167,442</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6,963,170</w:t>
            </w:r>
          </w:p>
        </w:tc>
        <w:tc>
          <w:tcPr>
            <w:tcW w:w="0" w:type="dxa"/>
            <w:vAlign w:val="bottom"/>
          </w:tcPr>
          <w:p>
            <w:pPr>
              <w:spacing w:after="0"/>
              <w:rPr>
                <w:sz w:val="1"/>
                <w:szCs w:val="1"/>
                <w:color w:val="auto"/>
              </w:rPr>
            </w:pPr>
          </w:p>
        </w:tc>
      </w:tr>
      <w:tr>
        <w:trPr>
          <w:trHeight w:val="162"/>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3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101,469</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101,469</w:t>
            </w: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593</w:t>
            </w: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1,514</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2,107</w:t>
            </w: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103,576</w:t>
            </w:r>
          </w:p>
        </w:tc>
        <w:tc>
          <w:tcPr>
            <w:tcW w:w="0" w:type="dxa"/>
            <w:vAlign w:val="bottom"/>
          </w:tcPr>
          <w:p>
            <w:pPr>
              <w:spacing w:after="0"/>
              <w:rPr>
                <w:sz w:val="1"/>
                <w:szCs w:val="1"/>
                <w:color w:val="auto"/>
              </w:rPr>
            </w:pPr>
          </w:p>
        </w:tc>
      </w:tr>
      <w:tr>
        <w:trPr>
          <w:trHeight w:val="162"/>
        </w:trPr>
        <w:tc>
          <w:tcPr>
            <w:tcW w:w="2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3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3"/>
                <w:szCs w:val="13"/>
                <w:color w:val="auto"/>
              </w:rPr>
              <w:t>Other comprehensive income before</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3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reclassification</w:t>
            </w:r>
          </w:p>
        </w:tc>
        <w:tc>
          <w:tcPr>
            <w:tcW w:w="3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(8,357 )</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(8,357 )</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(480 )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(533 )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(8,890 )</w:t>
            </w:r>
          </w:p>
        </w:tc>
        <w:tc>
          <w:tcPr>
            <w:tcW w:w="0" w:type="dxa"/>
            <w:vAlign w:val="bottom"/>
          </w:tcPr>
          <w:p>
            <w:pPr>
              <w:spacing w:after="0"/>
              <w:rPr>
                <w:sz w:val="1"/>
                <w:szCs w:val="1"/>
                <w:color w:val="auto"/>
              </w:rPr>
            </w:pPr>
          </w:p>
        </w:tc>
      </w:tr>
      <w:tr>
        <w:trPr>
          <w:trHeight w:val="132"/>
        </w:trPr>
        <w:tc>
          <w:tcPr>
            <w:tcW w:w="2380" w:type="dxa"/>
            <w:vAlign w:val="bottom"/>
            <w:gridSpan w:val="2"/>
            <w:shd w:val="clear" w:color="auto" w:fill="CFF0FC"/>
          </w:tcPr>
          <w:p>
            <w:pPr>
              <w:ind w:left="160"/>
              <w:spacing w:after="0" w:line="132" w:lineRule="exact"/>
              <w:rPr>
                <w:sz w:val="20"/>
                <w:szCs w:val="20"/>
                <w:color w:val="auto"/>
              </w:rPr>
            </w:pPr>
            <w:r>
              <w:rPr>
                <w:rFonts w:ascii="Times New Roman" w:cs="Times New Roman" w:eastAsia="Times New Roman" w:hAnsi="Times New Roman"/>
                <w:sz w:val="13"/>
                <w:szCs w:val="13"/>
                <w:color w:val="auto"/>
              </w:rPr>
              <w:t>Amounts reclassified from</w:t>
            </w: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accumulated other comprehensive</w:t>
            </w: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income</w:t>
            </w:r>
          </w:p>
        </w:tc>
        <w:tc>
          <w:tcPr>
            <w:tcW w:w="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(2,152 )</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(2,152 )</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(14 )</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(140 )</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(154 )</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(2,306 )</w:t>
            </w:r>
          </w:p>
        </w:tc>
        <w:tc>
          <w:tcPr>
            <w:tcW w:w="0" w:type="dxa"/>
            <w:vAlign w:val="bottom"/>
          </w:tcPr>
          <w:p>
            <w:pPr>
              <w:spacing w:after="0"/>
              <w:rPr>
                <w:sz w:val="1"/>
                <w:szCs w:val="1"/>
                <w:color w:val="auto"/>
              </w:rPr>
            </w:pPr>
          </w:p>
        </w:tc>
      </w:tr>
      <w:tr>
        <w:trPr>
          <w:trHeight w:val="162"/>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Adjustment for noncontrolling interests</w:t>
            </w:r>
          </w:p>
        </w:tc>
        <w:tc>
          <w:tcPr>
            <w:tcW w:w="3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(1,305 )</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(1,305 )</w:t>
            </w: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1,305</w:t>
            </w:r>
          </w:p>
        </w:tc>
        <w:tc>
          <w:tcPr>
            <w:tcW w:w="1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1,305</w:t>
            </w:r>
          </w:p>
        </w:tc>
        <w:tc>
          <w:tcPr>
            <w:tcW w:w="10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2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Deferred compensation plan, net</w:t>
            </w:r>
          </w:p>
        </w:tc>
        <w:tc>
          <w:tcPr>
            <w:tcW w:w="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(404 )</w:t>
            </w:r>
          </w:p>
        </w:tc>
        <w:tc>
          <w:tcPr>
            <w:tcW w:w="82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404</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0"/>
        </w:trPr>
        <w:tc>
          <w:tcPr>
            <w:tcW w:w="23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Restricted stock issued, net of</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amortization</w:t>
            </w:r>
          </w:p>
        </w:tc>
        <w:tc>
          <w:tcPr>
            <w:tcW w:w="3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6,674</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6,674</w:t>
            </w: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6,674</w:t>
            </w:r>
          </w:p>
        </w:tc>
        <w:tc>
          <w:tcPr>
            <w:tcW w:w="0" w:type="dxa"/>
            <w:vAlign w:val="bottom"/>
          </w:tcPr>
          <w:p>
            <w:pPr>
              <w:spacing w:after="0"/>
              <w:rPr>
                <w:sz w:val="1"/>
                <w:szCs w:val="1"/>
                <w:color w:val="auto"/>
              </w:rPr>
            </w:pPr>
          </w:p>
        </w:tc>
      </w:tr>
      <w:tr>
        <w:trPr>
          <w:trHeight w:val="132"/>
        </w:trPr>
        <w:tc>
          <w:tcPr>
            <w:tcW w:w="2380" w:type="dxa"/>
            <w:vAlign w:val="bottom"/>
            <w:gridSpan w:val="2"/>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Common stock repurchased for taxes</w:t>
            </w: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withheld for stock based compensation,</w:t>
            </w: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w:t>
            </w:r>
          </w:p>
        </w:tc>
        <w:tc>
          <w:tcPr>
            <w:tcW w:w="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119</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119</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119</w:t>
            </w:r>
          </w:p>
        </w:tc>
        <w:tc>
          <w:tcPr>
            <w:tcW w:w="0" w:type="dxa"/>
            <w:vAlign w:val="bottom"/>
          </w:tcPr>
          <w:p>
            <w:pPr>
              <w:spacing w:after="0"/>
              <w:rPr>
                <w:sz w:val="1"/>
                <w:szCs w:val="1"/>
                <w:color w:val="auto"/>
              </w:rPr>
            </w:pPr>
          </w:p>
        </w:tc>
      </w:tr>
      <w:tr>
        <w:trPr>
          <w:trHeight w:val="130"/>
        </w:trPr>
        <w:tc>
          <w:tcPr>
            <w:tcW w:w="238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Common stock issued under dividend</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reinvestment plan</w:t>
            </w:r>
          </w:p>
        </w:tc>
        <w:tc>
          <w:tcPr>
            <w:tcW w:w="3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58"/>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170</w:t>
            </w:r>
          </w:p>
        </w:tc>
        <w:tc>
          <w:tcPr>
            <w:tcW w:w="12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170</w:t>
            </w:r>
          </w:p>
        </w:tc>
        <w:tc>
          <w:tcPr>
            <w:tcW w:w="0" w:type="dxa"/>
            <w:vAlign w:val="bottom"/>
          </w:tcPr>
          <w:p>
            <w:pPr>
              <w:spacing w:after="0"/>
              <w:rPr>
                <w:sz w:val="1"/>
                <w:szCs w:val="1"/>
                <w:color w:val="auto"/>
              </w:rPr>
            </w:pPr>
          </w:p>
        </w:tc>
      </w:tr>
      <w:tr>
        <w:trPr>
          <w:trHeight w:val="132"/>
        </w:trPr>
        <w:tc>
          <w:tcPr>
            <w:tcW w:w="2380" w:type="dxa"/>
            <w:vAlign w:val="bottom"/>
            <w:gridSpan w:val="2"/>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Common stock issued for partnership</w:t>
            </w: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units exchanged</w:t>
            </w:r>
          </w:p>
        </w:tc>
        <w:tc>
          <w:tcPr>
            <w:tcW w:w="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206</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206</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(206 )</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(206 )</w:t>
            </w:r>
          </w:p>
        </w:tc>
        <w:tc>
          <w:tcPr>
            <w:tcW w:w="10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Contributions from partners</w:t>
            </w:r>
          </w:p>
        </w:tc>
        <w:tc>
          <w:tcPr>
            <w:tcW w:w="3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vMerge w:val="restart"/>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11,424</w:t>
            </w:r>
          </w:p>
        </w:tc>
        <w:tc>
          <w:tcPr>
            <w:tcW w:w="96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11,424</w:t>
            </w:r>
          </w:p>
        </w:tc>
        <w:tc>
          <w:tcPr>
            <w:tcW w:w="860" w:type="dxa"/>
            <w:vAlign w:val="bottom"/>
            <w:gridSpan w:val="2"/>
            <w:vMerge w:val="restart"/>
          </w:tcPr>
          <w:p>
            <w:pPr>
              <w:jc w:val="right"/>
              <w:ind w:right="57"/>
              <w:spacing w:after="0"/>
              <w:rPr>
                <w:sz w:val="20"/>
                <w:szCs w:val="20"/>
                <w:color w:val="auto"/>
              </w:rPr>
            </w:pPr>
            <w:r>
              <w:rPr>
                <w:rFonts w:ascii="Times New Roman" w:cs="Times New Roman" w:eastAsia="Times New Roman" w:hAnsi="Times New Roman"/>
                <w:sz w:val="13"/>
                <w:szCs w:val="13"/>
                <w:color w:val="auto"/>
              </w:rPr>
              <w:t>11,424</w:t>
            </w:r>
          </w:p>
        </w:tc>
        <w:tc>
          <w:tcPr>
            <w:tcW w:w="0" w:type="dxa"/>
            <w:vAlign w:val="bottom"/>
          </w:tcPr>
          <w:p>
            <w:pPr>
              <w:spacing w:after="0"/>
              <w:rPr>
                <w:sz w:val="1"/>
                <w:szCs w:val="1"/>
                <w:color w:val="auto"/>
              </w:rPr>
            </w:pPr>
          </w:p>
        </w:tc>
      </w:tr>
      <w:tr>
        <w:trPr>
          <w:trHeight w:val="105"/>
        </w:trPr>
        <w:tc>
          <w:tcPr>
            <w:tcW w:w="2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3"/>
        </w:trPr>
        <w:tc>
          <w:tcPr>
            <w:tcW w:w="2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Distributions to partners</w:t>
            </w:r>
          </w:p>
        </w:tc>
        <w:tc>
          <w:tcPr>
            <w:tcW w:w="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(3,181 )</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(3,181 )</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(3,181 )</w:t>
            </w:r>
          </w:p>
        </w:tc>
        <w:tc>
          <w:tcPr>
            <w:tcW w:w="0" w:type="dxa"/>
            <w:vAlign w:val="bottom"/>
          </w:tcPr>
          <w:p>
            <w:pPr>
              <w:spacing w:after="0"/>
              <w:rPr>
                <w:sz w:val="1"/>
                <w:szCs w:val="1"/>
                <w:color w:val="auto"/>
              </w:rPr>
            </w:pPr>
          </w:p>
        </w:tc>
      </w:tr>
      <w:tr>
        <w:trPr>
          <w:trHeight w:val="162"/>
        </w:trPr>
        <w:tc>
          <w:tcPr>
            <w:tcW w:w="23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380" w:type="dxa"/>
            <w:vAlign w:val="bottom"/>
            <w:gridSpan w:val="2"/>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Preferred stock (Series A:</w:t>
            </w: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80" w:type="dxa"/>
            <w:vAlign w:val="bottom"/>
            <w:gridSpan w:val="2"/>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$0.390625 per share/unit; Series B:</w:t>
            </w:r>
          </w:p>
        </w:tc>
        <w:tc>
          <w:tcPr>
            <w:tcW w:w="36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4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$0.367200 per share/unit)</w:t>
            </w:r>
          </w:p>
        </w:tc>
        <w:tc>
          <w:tcPr>
            <w:tcW w:w="3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(3,413 )</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(3,413 )</w:t>
            </w: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(3,413 )</w:t>
            </w:r>
          </w:p>
        </w:tc>
        <w:tc>
          <w:tcPr>
            <w:tcW w:w="0" w:type="dxa"/>
            <w:vAlign w:val="bottom"/>
          </w:tcPr>
          <w:p>
            <w:pPr>
              <w:spacing w:after="0"/>
              <w:rPr>
                <w:sz w:val="1"/>
                <w:szCs w:val="1"/>
                <w:color w:val="auto"/>
              </w:rPr>
            </w:pPr>
          </w:p>
        </w:tc>
      </w:tr>
      <w:tr>
        <w:trPr>
          <w:trHeight w:val="130"/>
        </w:trPr>
        <w:tc>
          <w:tcPr>
            <w:tcW w:w="23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3"/>
                <w:szCs w:val="13"/>
                <w:color w:val="auto"/>
              </w:rPr>
              <w:t>Common stock ($0.670 per share/unit)</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jc w:val="right"/>
              <w:ind w:right="57"/>
              <w:spacing w:after="0" w:line="131" w:lineRule="exact"/>
              <w:rPr>
                <w:sz w:val="20"/>
                <w:szCs w:val="20"/>
                <w:color w:val="auto"/>
              </w:rPr>
            </w:pPr>
            <w:r>
              <w:rPr>
                <w:rFonts w:ascii="Times New Roman" w:cs="Times New Roman" w:eastAsia="Times New Roman" w:hAnsi="Times New Roman"/>
                <w:sz w:val="13"/>
                <w:szCs w:val="13"/>
                <w:color w:val="auto"/>
              </w:rPr>
              <w:t>(121,67</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4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(121,673 )</w:t>
            </w:r>
          </w:p>
        </w:tc>
        <w:tc>
          <w:tcPr>
            <w:tcW w:w="120" w:type="dxa"/>
            <w:vAlign w:val="bottom"/>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(1,473 )</w:t>
            </w:r>
          </w:p>
        </w:tc>
        <w:tc>
          <w:tcPr>
            <w:tcW w:w="120" w:type="dxa"/>
            <w:vAlign w:val="bottom"/>
          </w:tcPr>
          <w:p>
            <w:pPr>
              <w:spacing w:after="0"/>
              <w:rPr>
                <w:sz w:val="14"/>
                <w:szCs w:val="14"/>
                <w:color w:val="auto"/>
              </w:rPr>
            </w:pPr>
          </w:p>
        </w:tc>
        <w:tc>
          <w:tcPr>
            <w:tcW w:w="7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(1,473 )</w:t>
            </w: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(123,146 )</w:t>
            </w:r>
          </w:p>
        </w:tc>
        <w:tc>
          <w:tcPr>
            <w:tcW w:w="0" w:type="dxa"/>
            <w:vAlign w:val="bottom"/>
          </w:tcPr>
          <w:p>
            <w:pPr>
              <w:spacing w:after="0"/>
              <w:rPr>
                <w:sz w:val="1"/>
                <w:szCs w:val="1"/>
                <w:color w:val="auto"/>
              </w:rPr>
            </w:pPr>
          </w:p>
        </w:tc>
      </w:tr>
      <w:tr>
        <w:trPr>
          <w:trHeight w:val="125"/>
        </w:trPr>
        <w:tc>
          <w:tcPr>
            <w:tcW w:w="2380" w:type="dxa"/>
            <w:vAlign w:val="bottom"/>
            <w:gridSpan w:val="2"/>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360" w:type="dxa"/>
            <w:vAlign w:val="bottom"/>
            <w:shd w:val="clear" w:color="auto" w:fill="CFF0FC"/>
          </w:tcPr>
          <w:p>
            <w:pPr>
              <w:jc w:val="right"/>
              <w:ind w:right="57"/>
              <w:spacing w:after="0" w:line="125" w:lineRule="exact"/>
              <w:rPr>
                <w:sz w:val="20"/>
                <w:szCs w:val="20"/>
                <w:color w:val="auto"/>
              </w:rPr>
            </w:pPr>
            <w:r>
              <w:rPr>
                <w:rFonts w:ascii="Times New Roman" w:cs="Times New Roman" w:eastAsia="Times New Roman" w:hAnsi="Times New Roman"/>
                <w:sz w:val="13"/>
                <w:szCs w:val="13"/>
                <w:color w:val="auto"/>
              </w:rPr>
              <w:t>225</w:t>
            </w:r>
          </w:p>
        </w:tc>
        <w:tc>
          <w:tcPr>
            <w:tcW w:w="180" w:type="dxa"/>
            <w:vAlign w:val="bottom"/>
            <w:shd w:val="clear" w:color="auto" w:fill="CFF0FC"/>
          </w:tcPr>
          <w:p>
            <w:pPr>
              <w:spacing w:after="0"/>
              <w:rPr>
                <w:sz w:val="10"/>
                <w:szCs w:val="10"/>
                <w:color w:val="auto"/>
              </w:rPr>
            </w:pPr>
          </w:p>
        </w:tc>
        <w:tc>
          <w:tcPr>
            <w:tcW w:w="4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600" w:type="dxa"/>
            <w:vAlign w:val="bottom"/>
            <w:gridSpan w:val="2"/>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740" w:type="dxa"/>
            <w:vAlign w:val="bottom"/>
            <w:gridSpan w:val="2"/>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(27,63</w:t>
            </w:r>
          </w:p>
        </w:tc>
        <w:tc>
          <w:tcPr>
            <w:tcW w:w="820" w:type="dxa"/>
            <w:vAlign w:val="bottom"/>
            <w:gridSpan w:val="2"/>
            <w:shd w:val="clear" w:color="auto" w:fill="CFF0FC"/>
          </w:tcPr>
          <w:p>
            <w:pPr>
              <w:jc w:val="right"/>
              <w:ind w:right="78"/>
              <w:spacing w:after="0" w:line="135" w:lineRule="exact"/>
              <w:rPr>
                <w:sz w:val="20"/>
                <w:szCs w:val="20"/>
                <w:color w:val="auto"/>
              </w:rPr>
            </w:pPr>
            <w:r>
              <w:rPr>
                <w:rFonts w:ascii="Times New Roman" w:cs="Times New Roman" w:eastAsia="Times New Roman" w:hAnsi="Times New Roman"/>
                <w:sz w:val="13"/>
                <w:szCs w:val="13"/>
                <w:color w:val="auto"/>
              </w:rPr>
              <w:t>8,509,02</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(1,935,3</w:t>
            </w: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26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0</w:t>
            </w:r>
          </w:p>
        </w:tc>
        <w:tc>
          <w:tcPr>
            <w:tcW w:w="180" w:type="dxa"/>
            <w:vAlign w:val="bottom"/>
            <w:tcBorders>
              <w:bottom w:val="single" w:sz="8" w:color="CFF0FC"/>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8 )</w:t>
            </w:r>
          </w:p>
        </w:tc>
        <w:tc>
          <w:tcPr>
            <w:tcW w:w="12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(5,374 )</w:t>
            </w:r>
          </w:p>
        </w:tc>
        <w:tc>
          <w:tcPr>
            <w:tcW w:w="1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58 )</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6,767,466</w:t>
            </w:r>
          </w:p>
        </w:tc>
        <w:tc>
          <w:tcPr>
            <w:tcW w:w="12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40,890</w:t>
            </w:r>
          </w:p>
        </w:tc>
        <w:tc>
          <w:tcPr>
            <w:tcW w:w="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135,841</w:t>
            </w: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176,731</w:t>
            </w:r>
          </w:p>
        </w:tc>
        <w:tc>
          <w:tcPr>
            <w:tcW w:w="1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6,944,197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-3548380</wp:posOffset>
            </wp:positionV>
            <wp:extent cx="1028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-3548380</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-3548380</wp:posOffset>
            </wp:positionV>
            <wp:extent cx="768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-3548380</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-3548380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-3548380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-3548380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-3548380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-3548380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-3548380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-25400</wp:posOffset>
            </wp:positionV>
            <wp:extent cx="1028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1744980</wp:posOffset>
            </wp:positionH>
            <wp:positionV relativeFrom="paragraph">
              <wp:posOffset>-8255</wp:posOffset>
            </wp:positionV>
            <wp:extent cx="1028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-25400</wp:posOffset>
            </wp:positionV>
            <wp:extent cx="768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-8255</wp:posOffset>
            </wp:positionV>
            <wp:extent cx="768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-25400</wp:posOffset>
            </wp:positionV>
            <wp:extent cx="76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-8255</wp:posOffset>
            </wp:positionV>
            <wp:extent cx="76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-25400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3108325</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-25400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-8255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-25400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-8255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-25400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-8255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-25400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-25400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-8255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REGENCY CENTERS CORPORATION</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Equity</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2024 and 2023</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per share data)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tcBorders>
              <w:bottom w:val="single" w:sz="8" w:color="auto"/>
            </w:tcBorders>
            <w:gridSpan w:val="5"/>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Noncontrolling Interests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24"/>
        </w:trPr>
        <w:tc>
          <w:tcPr>
            <w:tcW w:w="2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57"/>
              <w:spacing w:after="0" w:line="124" w:lineRule="exact"/>
              <w:rPr>
                <w:sz w:val="20"/>
                <w:szCs w:val="20"/>
                <w:color w:val="auto"/>
              </w:rPr>
            </w:pPr>
            <w:r>
              <w:rPr>
                <w:rFonts w:ascii="Times New Roman" w:cs="Times New Roman" w:eastAsia="Times New Roman" w:hAnsi="Times New Roman"/>
                <w:sz w:val="13"/>
                <w:szCs w:val="13"/>
                <w:b w:val="1"/>
                <w:bCs w:val="1"/>
                <w:color w:val="auto"/>
                <w:w w:val="98"/>
              </w:rPr>
              <w:t>Accumulat</w:t>
            </w:r>
          </w:p>
        </w:tc>
        <w:tc>
          <w:tcPr>
            <w:tcW w:w="120" w:type="dxa"/>
            <w:vAlign w:val="bottom"/>
          </w:tcPr>
          <w:p>
            <w:pPr>
              <w:spacing w:after="0"/>
              <w:rPr>
                <w:sz w:val="10"/>
                <w:szCs w:val="10"/>
                <w:color w:val="auto"/>
              </w:rPr>
            </w:pPr>
          </w:p>
        </w:tc>
        <w:tc>
          <w:tcPr>
            <w:tcW w:w="620" w:type="dxa"/>
            <w:vAlign w:val="bottom"/>
          </w:tcPr>
          <w:p>
            <w:pPr>
              <w:jc w:val="center"/>
              <w:ind w:right="57"/>
              <w:spacing w:after="0" w:line="124" w:lineRule="exact"/>
              <w:rPr>
                <w:sz w:val="20"/>
                <w:szCs w:val="20"/>
                <w:color w:val="auto"/>
              </w:rPr>
            </w:pPr>
            <w:r>
              <w:rPr>
                <w:rFonts w:ascii="Times New Roman" w:cs="Times New Roman" w:eastAsia="Times New Roman" w:hAnsi="Times New Roman"/>
                <w:sz w:val="13"/>
                <w:szCs w:val="13"/>
                <w:b w:val="1"/>
                <w:bCs w:val="1"/>
                <w:color w:val="auto"/>
                <w:w w:val="99"/>
              </w:rPr>
              <w:t>Distribu</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jc w:val="center"/>
              <w:ind w:right="37"/>
              <w:spacing w:after="0" w:line="124" w:lineRule="exact"/>
              <w:rPr>
                <w:sz w:val="20"/>
                <w:szCs w:val="20"/>
                <w:color w:val="auto"/>
              </w:rPr>
            </w:pPr>
            <w:r>
              <w:rPr>
                <w:rFonts w:ascii="Times New Roman" w:cs="Times New Roman" w:eastAsia="Times New Roman" w:hAnsi="Times New Roman"/>
                <w:sz w:val="13"/>
                <w:szCs w:val="13"/>
                <w:b w:val="1"/>
                <w:bCs w:val="1"/>
                <w:color w:val="auto"/>
                <w:w w:val="99"/>
              </w:rPr>
              <w:t>Exchang</w:t>
            </w:r>
          </w:p>
        </w:tc>
        <w:tc>
          <w:tcPr>
            <w:tcW w:w="120" w:type="dxa"/>
            <w:vAlign w:val="bottom"/>
          </w:tcPr>
          <w:p>
            <w:pPr>
              <w:spacing w:after="0"/>
              <w:rPr>
                <w:sz w:val="10"/>
                <w:szCs w:val="10"/>
                <w:color w:val="auto"/>
              </w:rPr>
            </w:pPr>
          </w:p>
        </w:tc>
        <w:tc>
          <w:tcPr>
            <w:tcW w:w="720" w:type="dxa"/>
            <w:vAlign w:val="bottom"/>
          </w:tcPr>
          <w:p>
            <w:pPr>
              <w:jc w:val="center"/>
              <w:ind w:right="57"/>
              <w:spacing w:after="0" w:line="124" w:lineRule="exact"/>
              <w:rPr>
                <w:sz w:val="20"/>
                <w:szCs w:val="20"/>
                <w:color w:val="auto"/>
              </w:rPr>
            </w:pPr>
            <w:r>
              <w:rPr>
                <w:rFonts w:ascii="Times New Roman" w:cs="Times New Roman" w:eastAsia="Times New Roman" w:hAnsi="Times New Roman"/>
                <w:sz w:val="13"/>
                <w:szCs w:val="13"/>
                <w:b w:val="1"/>
                <w:bCs w:val="1"/>
                <w:color w:val="auto"/>
                <w:w w:val="99"/>
              </w:rPr>
              <w:t>Limited</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35"/>
        </w:trPr>
        <w:tc>
          <w:tcPr>
            <w:tcW w:w="2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1"/>
              </w:rPr>
              <w:t>ed</w:t>
            </w:r>
          </w:p>
        </w:tc>
        <w:tc>
          <w:tcPr>
            <w:tcW w:w="120" w:type="dxa"/>
            <w:vAlign w:val="bottom"/>
          </w:tcPr>
          <w:p>
            <w:pPr>
              <w:spacing w:after="0"/>
              <w:rPr>
                <w:sz w:val="11"/>
                <w:szCs w:val="11"/>
                <w:color w:val="auto"/>
              </w:rPr>
            </w:pPr>
          </w:p>
        </w:tc>
        <w:tc>
          <w:tcPr>
            <w:tcW w:w="6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tions</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eable</w:t>
            </w:r>
          </w:p>
        </w:tc>
        <w:tc>
          <w:tcPr>
            <w:tcW w:w="120" w:type="dxa"/>
            <w:vAlign w:val="bottom"/>
          </w:tcPr>
          <w:p>
            <w:pPr>
              <w:spacing w:after="0"/>
              <w:rPr>
                <w:sz w:val="11"/>
                <w:szCs w:val="11"/>
                <w:color w:val="auto"/>
              </w:rPr>
            </w:pPr>
          </w:p>
        </w:tc>
        <w:tc>
          <w:tcPr>
            <w:tcW w:w="7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9"/>
              </w:rPr>
              <w:t>Partners'</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62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1"/>
              </w:rPr>
              <w:t>in</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Operati</w:t>
            </w:r>
          </w:p>
        </w:tc>
        <w:tc>
          <w:tcPr>
            <w:tcW w:w="120" w:type="dxa"/>
            <w:vAlign w:val="bottom"/>
          </w:tcPr>
          <w:p>
            <w:pPr>
              <w:spacing w:after="0"/>
              <w:rPr>
                <w:sz w:val="11"/>
                <w:szCs w:val="11"/>
                <w:color w:val="auto"/>
              </w:rPr>
            </w:pPr>
          </w:p>
        </w:tc>
        <w:tc>
          <w:tcPr>
            <w:tcW w:w="7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Interest in</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Addition</w:t>
            </w:r>
          </w:p>
        </w:tc>
        <w:tc>
          <w:tcPr>
            <w:tcW w:w="120" w:type="dxa"/>
            <w:vAlign w:val="bottom"/>
          </w:tcPr>
          <w:p>
            <w:pPr>
              <w:spacing w:after="0"/>
              <w:rPr>
                <w:sz w:val="11"/>
                <w:szCs w:val="11"/>
                <w:color w:val="auto"/>
              </w:rPr>
            </w:pPr>
          </w:p>
        </w:tc>
        <w:tc>
          <w:tcPr>
            <w:tcW w:w="7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Comprehen</w:t>
            </w:r>
          </w:p>
        </w:tc>
        <w:tc>
          <w:tcPr>
            <w:tcW w:w="120" w:type="dxa"/>
            <w:vAlign w:val="bottom"/>
          </w:tcPr>
          <w:p>
            <w:pPr>
              <w:spacing w:after="0"/>
              <w:rPr>
                <w:sz w:val="11"/>
                <w:szCs w:val="11"/>
                <w:color w:val="auto"/>
              </w:rPr>
            </w:pPr>
          </w:p>
        </w:tc>
        <w:tc>
          <w:tcPr>
            <w:tcW w:w="62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2"/>
              </w:rPr>
              <w:t>Excess</w:t>
            </w:r>
          </w:p>
        </w:tc>
        <w:tc>
          <w:tcPr>
            <w:tcW w:w="12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87"/>
              </w:rPr>
              <w:t>Total</w:t>
            </w:r>
          </w:p>
        </w:tc>
        <w:tc>
          <w:tcPr>
            <w:tcW w:w="6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87"/>
              </w:rPr>
              <w:t>ng</w:t>
            </w:r>
          </w:p>
        </w:tc>
        <w:tc>
          <w:tcPr>
            <w:tcW w:w="120" w:type="dxa"/>
            <w:vAlign w:val="bottom"/>
          </w:tcPr>
          <w:p>
            <w:pPr>
              <w:spacing w:after="0"/>
              <w:rPr>
                <w:sz w:val="11"/>
                <w:szCs w:val="11"/>
                <w:color w:val="auto"/>
              </w:rPr>
            </w:pPr>
          </w:p>
        </w:tc>
        <w:tc>
          <w:tcPr>
            <w:tcW w:w="7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Consolidat</w:t>
            </w:r>
          </w:p>
        </w:tc>
        <w:tc>
          <w:tcPr>
            <w:tcW w:w="10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940" w:type="dxa"/>
            <w:vAlign w:val="bottom"/>
          </w:tcPr>
          <w:p>
            <w:pPr>
              <w:spacing w:after="0"/>
              <w:rPr>
                <w:sz w:val="11"/>
                <w:szCs w:val="11"/>
                <w:color w:val="auto"/>
              </w:rPr>
            </w:pPr>
          </w:p>
        </w:tc>
        <w:tc>
          <w:tcPr>
            <w:tcW w:w="640" w:type="dxa"/>
            <w:vAlign w:val="bottom"/>
            <w:gridSpan w:val="2"/>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3"/>
              </w:rPr>
              <w:t>Preferre</w:t>
            </w:r>
          </w:p>
        </w:tc>
        <w:tc>
          <w:tcPr>
            <w:tcW w:w="120" w:type="dxa"/>
            <w:vAlign w:val="bottom"/>
          </w:tcPr>
          <w:p>
            <w:pPr>
              <w:spacing w:after="0"/>
              <w:rPr>
                <w:sz w:val="11"/>
                <w:szCs w:val="11"/>
                <w:color w:val="auto"/>
              </w:rPr>
            </w:pPr>
          </w:p>
        </w:tc>
        <w:tc>
          <w:tcPr>
            <w:tcW w:w="5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Commo</w:t>
            </w:r>
          </w:p>
        </w:tc>
        <w:tc>
          <w:tcPr>
            <w:tcW w:w="120" w:type="dxa"/>
            <w:vAlign w:val="bottom"/>
          </w:tcPr>
          <w:p>
            <w:pPr>
              <w:spacing w:after="0"/>
              <w:rPr>
                <w:sz w:val="11"/>
                <w:szCs w:val="11"/>
                <w:color w:val="auto"/>
              </w:rPr>
            </w:pPr>
          </w:p>
        </w:tc>
        <w:tc>
          <w:tcPr>
            <w:tcW w:w="5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4"/>
              </w:rPr>
              <w:t>Treas</w:t>
            </w:r>
          </w:p>
        </w:tc>
        <w:tc>
          <w:tcPr>
            <w:tcW w:w="120" w:type="dxa"/>
            <w:vAlign w:val="bottom"/>
          </w:tcPr>
          <w:p>
            <w:pPr>
              <w:spacing w:after="0"/>
              <w:rPr>
                <w:sz w:val="11"/>
                <w:szCs w:val="11"/>
                <w:color w:val="auto"/>
              </w:rPr>
            </w:pPr>
          </w:p>
        </w:tc>
        <w:tc>
          <w:tcPr>
            <w:tcW w:w="6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78"/>
              </w:rPr>
              <w:t>al</w:t>
            </w:r>
          </w:p>
        </w:tc>
        <w:tc>
          <w:tcPr>
            <w:tcW w:w="120" w:type="dxa"/>
            <w:vAlign w:val="bottom"/>
          </w:tcPr>
          <w:p>
            <w:pPr>
              <w:spacing w:after="0"/>
              <w:rPr>
                <w:sz w:val="11"/>
                <w:szCs w:val="11"/>
                <w:color w:val="auto"/>
              </w:rPr>
            </w:pPr>
          </w:p>
        </w:tc>
        <w:tc>
          <w:tcPr>
            <w:tcW w:w="76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5"/>
              </w:rPr>
              <w:t>sive</w:t>
            </w:r>
          </w:p>
        </w:tc>
        <w:tc>
          <w:tcPr>
            <w:tcW w:w="120" w:type="dxa"/>
            <w:vAlign w:val="bottom"/>
          </w:tcPr>
          <w:p>
            <w:pPr>
              <w:spacing w:after="0"/>
              <w:rPr>
                <w:sz w:val="11"/>
                <w:szCs w:val="11"/>
                <w:color w:val="auto"/>
              </w:rPr>
            </w:pPr>
          </w:p>
        </w:tc>
        <w:tc>
          <w:tcPr>
            <w:tcW w:w="6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120" w:type="dxa"/>
            <w:vAlign w:val="bottom"/>
          </w:tcPr>
          <w:p>
            <w:pPr>
              <w:spacing w:after="0"/>
              <w:rPr>
                <w:sz w:val="11"/>
                <w:szCs w:val="11"/>
                <w:color w:val="auto"/>
              </w:rPr>
            </w:pPr>
          </w:p>
        </w:tc>
        <w:tc>
          <w:tcPr>
            <w:tcW w:w="7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Sharehol</w:t>
            </w:r>
          </w:p>
        </w:tc>
        <w:tc>
          <w:tcPr>
            <w:tcW w:w="6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9"/>
              </w:rPr>
              <w:t>Partners</w:t>
            </w:r>
          </w:p>
        </w:tc>
        <w:tc>
          <w:tcPr>
            <w:tcW w:w="120" w:type="dxa"/>
            <w:vAlign w:val="bottom"/>
          </w:tcPr>
          <w:p>
            <w:pPr>
              <w:spacing w:after="0"/>
              <w:rPr>
                <w:sz w:val="11"/>
                <w:szCs w:val="11"/>
                <w:color w:val="auto"/>
              </w:rPr>
            </w:pPr>
          </w:p>
        </w:tc>
        <w:tc>
          <w:tcPr>
            <w:tcW w:w="7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1"/>
              </w:rPr>
              <w:t>ed</w:t>
            </w:r>
          </w:p>
        </w:tc>
        <w:tc>
          <w:tcPr>
            <w:tcW w:w="10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Noncontro</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35"/>
        </w:trPr>
        <w:tc>
          <w:tcPr>
            <w:tcW w:w="2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center"/>
              <w:ind w:right="157"/>
              <w:spacing w:after="0" w:line="135" w:lineRule="exact"/>
              <w:rPr>
                <w:sz w:val="20"/>
                <w:szCs w:val="20"/>
                <w:color w:val="auto"/>
              </w:rPr>
            </w:pPr>
            <w:r>
              <w:rPr>
                <w:rFonts w:ascii="Times New Roman" w:cs="Times New Roman" w:eastAsia="Times New Roman" w:hAnsi="Times New Roman"/>
                <w:sz w:val="13"/>
                <w:szCs w:val="13"/>
                <w:b w:val="1"/>
                <w:bCs w:val="1"/>
                <w:color w:val="auto"/>
                <w:w w:val="82"/>
              </w:rPr>
              <w:t>d</w:t>
            </w:r>
          </w:p>
        </w:tc>
        <w:tc>
          <w:tcPr>
            <w:tcW w:w="120" w:type="dxa"/>
            <w:vAlign w:val="bottom"/>
          </w:tcPr>
          <w:p>
            <w:pPr>
              <w:spacing w:after="0"/>
              <w:rPr>
                <w:sz w:val="11"/>
                <w:szCs w:val="11"/>
                <w:color w:val="auto"/>
              </w:rPr>
            </w:pPr>
          </w:p>
        </w:tc>
        <w:tc>
          <w:tcPr>
            <w:tcW w:w="5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82"/>
              </w:rPr>
              <w:t>n</w:t>
            </w:r>
          </w:p>
        </w:tc>
        <w:tc>
          <w:tcPr>
            <w:tcW w:w="120" w:type="dxa"/>
            <w:vAlign w:val="bottom"/>
          </w:tcPr>
          <w:p>
            <w:pPr>
              <w:spacing w:after="0"/>
              <w:rPr>
                <w:sz w:val="11"/>
                <w:szCs w:val="11"/>
                <w:color w:val="auto"/>
              </w:rPr>
            </w:pPr>
          </w:p>
        </w:tc>
        <w:tc>
          <w:tcPr>
            <w:tcW w:w="5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ury</w:t>
            </w:r>
          </w:p>
        </w:tc>
        <w:tc>
          <w:tcPr>
            <w:tcW w:w="120" w:type="dxa"/>
            <w:vAlign w:val="bottom"/>
          </w:tcPr>
          <w:p>
            <w:pPr>
              <w:spacing w:after="0"/>
              <w:rPr>
                <w:sz w:val="11"/>
                <w:szCs w:val="11"/>
                <w:color w:val="auto"/>
              </w:rPr>
            </w:pPr>
          </w:p>
        </w:tc>
        <w:tc>
          <w:tcPr>
            <w:tcW w:w="68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Paid In</w:t>
            </w:r>
          </w:p>
        </w:tc>
        <w:tc>
          <w:tcPr>
            <w:tcW w:w="120" w:type="dxa"/>
            <w:vAlign w:val="bottom"/>
          </w:tcPr>
          <w:p>
            <w:pPr>
              <w:spacing w:after="0"/>
              <w:rPr>
                <w:sz w:val="11"/>
                <w:szCs w:val="11"/>
                <w:color w:val="auto"/>
              </w:rPr>
            </w:pPr>
          </w:p>
        </w:tc>
        <w:tc>
          <w:tcPr>
            <w:tcW w:w="76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1"/>
                <w:szCs w:val="11"/>
                <w:color w:val="auto"/>
              </w:rPr>
            </w:pPr>
          </w:p>
        </w:tc>
        <w:tc>
          <w:tcPr>
            <w:tcW w:w="620" w:type="dxa"/>
            <w:vAlign w:val="bottom"/>
          </w:tcPr>
          <w:p>
            <w:pPr>
              <w:jc w:val="center"/>
              <w:ind w:right="97"/>
              <w:spacing w:after="0" w:line="135"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120" w:type="dxa"/>
            <w:vAlign w:val="bottom"/>
          </w:tcPr>
          <w:p>
            <w:pPr>
              <w:spacing w:after="0"/>
              <w:rPr>
                <w:sz w:val="11"/>
                <w:szCs w:val="11"/>
                <w:color w:val="auto"/>
              </w:rPr>
            </w:pPr>
          </w:p>
        </w:tc>
        <w:tc>
          <w:tcPr>
            <w:tcW w:w="7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ders'</w:t>
            </w:r>
          </w:p>
        </w:tc>
        <w:tc>
          <w:tcPr>
            <w:tcW w:w="6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88"/>
              </w:rPr>
              <w:t>hip</w:t>
            </w:r>
          </w:p>
        </w:tc>
        <w:tc>
          <w:tcPr>
            <w:tcW w:w="120" w:type="dxa"/>
            <w:vAlign w:val="bottom"/>
          </w:tcPr>
          <w:p>
            <w:pPr>
              <w:spacing w:after="0"/>
              <w:rPr>
                <w:sz w:val="11"/>
                <w:szCs w:val="11"/>
                <w:color w:val="auto"/>
              </w:rPr>
            </w:pPr>
          </w:p>
        </w:tc>
        <w:tc>
          <w:tcPr>
            <w:tcW w:w="7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Partnershi</w:t>
            </w:r>
          </w:p>
        </w:tc>
        <w:tc>
          <w:tcPr>
            <w:tcW w:w="100" w:type="dxa"/>
            <w:vAlign w:val="bottom"/>
          </w:tcPr>
          <w:p>
            <w:pPr>
              <w:spacing w:after="0"/>
              <w:rPr>
                <w:sz w:val="11"/>
                <w:szCs w:val="11"/>
                <w:color w:val="auto"/>
              </w:rPr>
            </w:pPr>
          </w:p>
        </w:tc>
        <w:tc>
          <w:tcPr>
            <w:tcW w:w="7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lling</w:t>
            </w:r>
          </w:p>
        </w:tc>
        <w:tc>
          <w:tcPr>
            <w:tcW w:w="100" w:type="dxa"/>
            <w:vAlign w:val="bottom"/>
          </w:tcPr>
          <w:p>
            <w:pPr>
              <w:spacing w:after="0"/>
              <w:rPr>
                <w:sz w:val="11"/>
                <w:szCs w:val="11"/>
                <w:color w:val="auto"/>
              </w:rPr>
            </w:pPr>
          </w:p>
        </w:tc>
        <w:tc>
          <w:tcPr>
            <w:tcW w:w="68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67"/>
        </w:trPr>
        <w:tc>
          <w:tcPr>
            <w:tcW w:w="2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120" w:type="dxa"/>
            <w:vAlign w:val="bottom"/>
          </w:tcPr>
          <w:p>
            <w:pPr>
              <w:spacing w:after="0"/>
              <w:rPr>
                <w:sz w:val="14"/>
                <w:szCs w:val="14"/>
                <w:color w:val="auto"/>
              </w:rPr>
            </w:pPr>
          </w:p>
        </w:tc>
        <w:tc>
          <w:tcPr>
            <w:tcW w:w="6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Income</w:t>
            </w:r>
          </w:p>
        </w:tc>
        <w:tc>
          <w:tcPr>
            <w:tcW w:w="120" w:type="dxa"/>
            <w:vAlign w:val="bottom"/>
          </w:tcPr>
          <w:p>
            <w:pPr>
              <w:spacing w:after="0"/>
              <w:rPr>
                <w:sz w:val="14"/>
                <w:szCs w:val="14"/>
                <w:color w:val="auto"/>
              </w:rPr>
            </w:pPr>
          </w:p>
        </w:tc>
        <w:tc>
          <w:tcPr>
            <w:tcW w:w="6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Units</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7"/>
              </w:rPr>
              <w:t>ps</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9"/>
              </w:rPr>
              <w:t>Interests</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Equity</w:t>
            </w:r>
          </w:p>
        </w:tc>
      </w:tr>
      <w:tr>
        <w:trPr>
          <w:trHeight w:val="125"/>
        </w:trPr>
        <w:tc>
          <w:tcPr>
            <w:tcW w:w="3020" w:type="dxa"/>
            <w:vAlign w:val="bottom"/>
            <w:gridSpan w:val="2"/>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5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77"/>
              <w:spacing w:after="0" w:line="125" w:lineRule="exact"/>
              <w:rPr>
                <w:sz w:val="20"/>
                <w:szCs w:val="20"/>
                <w:color w:val="auto"/>
              </w:rPr>
            </w:pPr>
            <w:r>
              <w:rPr>
                <w:rFonts w:ascii="Times New Roman" w:cs="Times New Roman" w:eastAsia="Times New Roman" w:hAnsi="Times New Roman"/>
                <w:sz w:val="13"/>
                <w:szCs w:val="13"/>
                <w:color w:val="auto"/>
              </w:rPr>
              <w:t>(24,</w:t>
            </w:r>
          </w:p>
        </w:tc>
        <w:tc>
          <w:tcPr>
            <w:tcW w:w="800" w:type="dxa"/>
            <w:vAlign w:val="bottom"/>
            <w:gridSpan w:val="2"/>
            <w:shd w:val="clear" w:color="auto" w:fill="CFF0FC"/>
          </w:tcPr>
          <w:p>
            <w:pPr>
              <w:jc w:val="right"/>
              <w:ind w:right="77"/>
              <w:spacing w:after="0" w:line="125" w:lineRule="exact"/>
              <w:rPr>
                <w:sz w:val="20"/>
                <w:szCs w:val="20"/>
                <w:color w:val="auto"/>
              </w:rPr>
            </w:pPr>
            <w:r>
              <w:rPr>
                <w:rFonts w:ascii="Times New Roman" w:cs="Times New Roman" w:eastAsia="Times New Roman" w:hAnsi="Times New Roman"/>
                <w:sz w:val="13"/>
                <w:szCs w:val="13"/>
                <w:color w:val="auto"/>
              </w:rPr>
              <w:t>7,877,1</w:t>
            </w: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57"/>
              <w:spacing w:after="0" w:line="125" w:lineRule="exact"/>
              <w:rPr>
                <w:sz w:val="20"/>
                <w:szCs w:val="20"/>
                <w:color w:val="auto"/>
              </w:rPr>
            </w:pPr>
            <w:r>
              <w:rPr>
                <w:rFonts w:ascii="Times New Roman" w:cs="Times New Roman" w:eastAsia="Times New Roman" w:hAnsi="Times New Roman"/>
                <w:sz w:val="13"/>
                <w:szCs w:val="13"/>
                <w:color w:val="auto"/>
              </w:rPr>
              <w:t>(1,764,</w:t>
            </w:r>
          </w:p>
        </w:tc>
        <w:tc>
          <w:tcPr>
            <w:tcW w:w="740" w:type="dxa"/>
            <w:vAlign w:val="bottom"/>
            <w:gridSpan w:val="2"/>
            <w:shd w:val="clear" w:color="auto" w:fill="CFF0FC"/>
          </w:tcPr>
          <w:p>
            <w:pPr>
              <w:jc w:val="right"/>
              <w:ind w:right="57"/>
              <w:spacing w:after="0" w:line="125" w:lineRule="exact"/>
              <w:rPr>
                <w:sz w:val="20"/>
                <w:szCs w:val="20"/>
                <w:color w:val="auto"/>
              </w:rPr>
            </w:pPr>
            <w:r>
              <w:rPr>
                <w:rFonts w:ascii="Times New Roman" w:cs="Times New Roman" w:eastAsia="Times New Roman" w:hAnsi="Times New Roman"/>
                <w:sz w:val="13"/>
                <w:szCs w:val="13"/>
                <w:color w:val="auto"/>
              </w:rPr>
              <w:t>6,096,9</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57"/>
              <w:spacing w:after="0" w:line="125" w:lineRule="exact"/>
              <w:rPr>
                <w:sz w:val="20"/>
                <w:szCs w:val="20"/>
                <w:color w:val="auto"/>
              </w:rPr>
            </w:pPr>
            <w:r>
              <w:rPr>
                <w:rFonts w:ascii="Times New Roman" w:cs="Times New Roman" w:eastAsia="Times New Roman" w:hAnsi="Times New Roman"/>
                <w:sz w:val="13"/>
                <w:szCs w:val="13"/>
                <w:color w:val="auto"/>
              </w:rPr>
              <w:t>6,178,0</w:t>
            </w:r>
          </w:p>
        </w:tc>
      </w:tr>
      <w:tr>
        <w:trPr>
          <w:trHeight w:val="167"/>
        </w:trPr>
        <w:tc>
          <w:tcPr>
            <w:tcW w:w="3020" w:type="dxa"/>
            <w:vAlign w:val="bottom"/>
            <w:gridSpan w:val="2"/>
            <w:shd w:val="clear" w:color="auto" w:fill="CFF0FC"/>
          </w:tcPr>
          <w:p>
            <w:pPr>
              <w:ind w:left="29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1,711</w:t>
            </w: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461 )</w:t>
            </w:r>
          </w:p>
        </w:tc>
        <w:tc>
          <w:tcPr>
            <w:tcW w:w="80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52</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7,560</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977 )</w:t>
            </w:r>
          </w:p>
        </w:tc>
        <w:tc>
          <w:tcPr>
            <w:tcW w:w="7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85</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34,489</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46,565</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81,054</w:t>
            </w:r>
          </w:p>
        </w:tc>
        <w:tc>
          <w:tcPr>
            <w:tcW w:w="7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39</w:t>
            </w:r>
          </w:p>
        </w:tc>
      </w:tr>
      <w:tr>
        <w:trPr>
          <w:trHeight w:val="130"/>
        </w:trPr>
        <w:tc>
          <w:tcPr>
            <w:tcW w:w="30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Net income</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2"/>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274,78</w:t>
            </w:r>
          </w:p>
        </w:tc>
        <w:tc>
          <w:tcPr>
            <w:tcW w:w="740" w:type="dxa"/>
            <w:vAlign w:val="bottom"/>
            <w:gridSpan w:val="2"/>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274,78</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5"/>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7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1,490</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2,560</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4,050</w:t>
            </w:r>
          </w:p>
        </w:tc>
        <w:tc>
          <w:tcPr>
            <w:tcW w:w="7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278,833</w:t>
            </w:r>
          </w:p>
        </w:tc>
      </w:tr>
      <w:tr>
        <w:trPr>
          <w:trHeight w:val="163"/>
        </w:trPr>
        <w:tc>
          <w:tcPr>
            <w:tcW w:w="3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r>
      <w:tr>
        <w:trPr>
          <w:trHeight w:val="162"/>
        </w:trPr>
        <w:tc>
          <w:tcPr>
            <w:tcW w:w="30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Other comprehensive income before reclassification</w:t>
            </w: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6,596</w:t>
            </w:r>
          </w:p>
        </w:tc>
        <w:tc>
          <w:tcPr>
            <w:tcW w:w="12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6,596</w:t>
            </w:r>
          </w:p>
        </w:tc>
        <w:tc>
          <w:tcPr>
            <w:tcW w:w="10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46</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470</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516</w:t>
            </w:r>
          </w:p>
        </w:tc>
        <w:tc>
          <w:tcPr>
            <w:tcW w:w="7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7,112</w:t>
            </w:r>
          </w:p>
        </w:tc>
      </w:tr>
      <w:tr>
        <w:trPr>
          <w:trHeight w:val="130"/>
        </w:trPr>
        <w:tc>
          <w:tcPr>
            <w:tcW w:w="3020" w:type="dxa"/>
            <w:vAlign w:val="bottom"/>
            <w:gridSpan w:val="2"/>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Amounts reclassified from accumulated other</w:t>
            </w: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67"/>
        </w:trPr>
        <w:tc>
          <w:tcPr>
            <w:tcW w:w="3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comprehensive income</w:t>
            </w: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(4,721 )</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(4,721 )</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(555 )</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(581 )</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(5,302 )</w:t>
            </w:r>
          </w:p>
        </w:tc>
      </w:tr>
      <w:tr>
        <w:trPr>
          <w:trHeight w:val="130"/>
        </w:trPr>
        <w:tc>
          <w:tcPr>
            <w:tcW w:w="30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Deferred compensation plan, net</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57"/>
              <w:spacing w:after="0" w:line="131" w:lineRule="exact"/>
              <w:rPr>
                <w:sz w:val="20"/>
                <w:szCs w:val="20"/>
                <w:color w:val="auto"/>
              </w:rPr>
            </w:pPr>
            <w:r>
              <w:rPr>
                <w:rFonts w:ascii="Times New Roman" w:cs="Times New Roman" w:eastAsia="Times New Roman" w:hAnsi="Times New Roman"/>
                <w:sz w:val="13"/>
                <w:szCs w:val="13"/>
                <w:color w:val="auto"/>
              </w:rPr>
              <w:t>(62</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5"/>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0 )</w:t>
            </w:r>
          </w:p>
        </w:tc>
        <w:tc>
          <w:tcPr>
            <w:tcW w:w="8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620</w:t>
            </w: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3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Restricted stock issued, net of amortization</w:t>
            </w: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14,387</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14,389</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14,389</w:t>
            </w:r>
          </w:p>
        </w:tc>
      </w:tr>
      <w:tr>
        <w:trPr>
          <w:trHeight w:val="130"/>
        </w:trPr>
        <w:tc>
          <w:tcPr>
            <w:tcW w:w="30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Common stock repurchased for taxes withheld for</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5"/>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based compensation, net</w:t>
            </w: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(7,201 )</w:t>
            </w: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(7,201 )</w:t>
            </w:r>
          </w:p>
        </w:tc>
        <w:tc>
          <w:tcPr>
            <w:tcW w:w="10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(7,201 )</w:t>
            </w:r>
          </w:p>
        </w:tc>
      </w:tr>
      <w:tr>
        <w:trPr>
          <w:trHeight w:val="132"/>
        </w:trPr>
        <w:tc>
          <w:tcPr>
            <w:tcW w:w="3020" w:type="dxa"/>
            <w:vAlign w:val="bottom"/>
            <w:gridSpan w:val="2"/>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Common stock repurchased and retired</w:t>
            </w: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57"/>
              <w:spacing w:after="0" w:line="132" w:lineRule="exact"/>
              <w:rPr>
                <w:sz w:val="20"/>
                <w:szCs w:val="20"/>
                <w:color w:val="auto"/>
              </w:rPr>
            </w:pPr>
            <w:r>
              <w:rPr>
                <w:rFonts w:ascii="Times New Roman" w:cs="Times New Roman" w:eastAsia="Times New Roman" w:hAnsi="Times New Roman"/>
                <w:sz w:val="13"/>
                <w:szCs w:val="13"/>
                <w:color w:val="auto"/>
              </w:rPr>
              <w:t>(20,00</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67"/>
        </w:trPr>
        <w:tc>
          <w:tcPr>
            <w:tcW w:w="2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(20,003 )</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6 )</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(20,006 )</w:t>
            </w:r>
          </w:p>
        </w:tc>
      </w:tr>
      <w:tr>
        <w:trPr>
          <w:trHeight w:val="130"/>
        </w:trPr>
        <w:tc>
          <w:tcPr>
            <w:tcW w:w="30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Common stock issued under dividend reinvestment</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5"/>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461</w:t>
            </w: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461</w:t>
            </w:r>
          </w:p>
        </w:tc>
        <w:tc>
          <w:tcPr>
            <w:tcW w:w="10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461</w:t>
            </w:r>
          </w:p>
        </w:tc>
      </w:tr>
      <w:tr>
        <w:trPr>
          <w:trHeight w:val="163"/>
        </w:trPr>
        <w:tc>
          <w:tcPr>
            <w:tcW w:w="3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Common stock issued for partnership units exchanged</w:t>
            </w: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198</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198</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(198 )</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(198 )</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30"/>
        </w:trPr>
        <w:tc>
          <w:tcPr>
            <w:tcW w:w="30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Common stock issued, net of issuance costs</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2"/>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818,39</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818,53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5"/>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136</w:t>
            </w:r>
          </w:p>
        </w:tc>
        <w:tc>
          <w:tcPr>
            <w:tcW w:w="12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818,534</w:t>
            </w:r>
          </w:p>
        </w:tc>
      </w:tr>
      <w:tr>
        <w:trPr>
          <w:trHeight w:val="163"/>
        </w:trPr>
        <w:tc>
          <w:tcPr>
            <w:tcW w:w="3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 of exchangeable operating partnership units</w:t>
            </w: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20,000</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20,000</w:t>
            </w:r>
          </w:p>
        </w:tc>
        <w:tc>
          <w:tcPr>
            <w:tcW w:w="7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20,000</w:t>
            </w:r>
          </w:p>
        </w:tc>
      </w:tr>
      <w:tr>
        <w:trPr>
          <w:trHeight w:val="130"/>
        </w:trPr>
        <w:tc>
          <w:tcPr>
            <w:tcW w:w="30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of preferred stock</w:t>
            </w:r>
          </w:p>
        </w:tc>
        <w:tc>
          <w:tcPr>
            <w:tcW w:w="560" w:type="dxa"/>
            <w:vAlign w:val="bottom"/>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225,00</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gridSpan w:val="2"/>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225,00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5"/>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0</w:t>
            </w:r>
          </w:p>
        </w:tc>
        <w:tc>
          <w:tcPr>
            <w:tcW w:w="10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225,000</w:t>
            </w:r>
          </w:p>
        </w:tc>
      </w:tr>
      <w:tr>
        <w:trPr>
          <w:trHeight w:val="163"/>
        </w:trPr>
        <w:tc>
          <w:tcPr>
            <w:tcW w:w="3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Contributions from partners</w:t>
            </w: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72,830</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72,830</w:t>
            </w:r>
          </w:p>
        </w:tc>
        <w:tc>
          <w:tcPr>
            <w:tcW w:w="7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72,830</w:t>
            </w:r>
          </w:p>
        </w:tc>
      </w:tr>
      <w:tr>
        <w:trPr>
          <w:trHeight w:val="162"/>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Distributions to partners</w:t>
            </w: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(5,171 )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(5,171 )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(5,171 )</w:t>
            </w:r>
          </w:p>
        </w:tc>
      </w:tr>
      <w:tr>
        <w:trPr>
          <w:trHeight w:val="162"/>
        </w:trPr>
        <w:tc>
          <w:tcPr>
            <w:tcW w:w="3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r>
      <w:tr>
        <w:trPr>
          <w:trHeight w:val="130"/>
        </w:trPr>
        <w:tc>
          <w:tcPr>
            <w:tcW w:w="302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3"/>
                <w:szCs w:val="13"/>
                <w:color w:val="auto"/>
              </w:rPr>
              <w:t>Preferred stock (Series A: $0.390625 per share/unit;</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5"/>
        </w:trPr>
        <w:tc>
          <w:tcPr>
            <w:tcW w:w="30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Series B: $0.367200 per share/unit)</w:t>
            </w: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(1,644 )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(1,644 )</w:t>
            </w:r>
          </w:p>
        </w:tc>
        <w:tc>
          <w:tcPr>
            <w:tcW w:w="10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(1,644 )</w:t>
            </w:r>
          </w:p>
        </w:tc>
      </w:tr>
      <w:tr>
        <w:trPr>
          <w:trHeight w:val="132"/>
        </w:trPr>
        <w:tc>
          <w:tcPr>
            <w:tcW w:w="3020" w:type="dxa"/>
            <w:vAlign w:val="bottom"/>
            <w:gridSpan w:val="2"/>
            <w:shd w:val="clear" w:color="auto" w:fill="CFF0FC"/>
          </w:tcPr>
          <w:p>
            <w:pPr>
              <w:ind w:left="160"/>
              <w:spacing w:after="0" w:line="132" w:lineRule="exact"/>
              <w:rPr>
                <w:sz w:val="20"/>
                <w:szCs w:val="20"/>
                <w:color w:val="auto"/>
              </w:rPr>
            </w:pPr>
            <w:r>
              <w:rPr>
                <w:rFonts w:ascii="Times New Roman" w:cs="Times New Roman" w:eastAsia="Times New Roman" w:hAnsi="Times New Roman"/>
                <w:sz w:val="13"/>
                <w:szCs w:val="13"/>
                <w:color w:val="auto"/>
              </w:rPr>
              <w:t>Common stock ($1.950 per share/unit)</w:t>
            </w: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77"/>
              <w:spacing w:after="0" w:line="132" w:lineRule="exact"/>
              <w:rPr>
                <w:sz w:val="20"/>
                <w:szCs w:val="20"/>
                <w:color w:val="auto"/>
              </w:rPr>
            </w:pPr>
            <w:r>
              <w:rPr>
                <w:rFonts w:ascii="Times New Roman" w:cs="Times New Roman" w:eastAsia="Times New Roman" w:hAnsi="Times New Roman"/>
                <w:sz w:val="13"/>
                <w:szCs w:val="13"/>
                <w:color w:val="auto"/>
              </w:rPr>
              <w:t>(342,4</w:t>
            </w:r>
          </w:p>
        </w:tc>
        <w:tc>
          <w:tcPr>
            <w:tcW w:w="740" w:type="dxa"/>
            <w:vAlign w:val="bottom"/>
            <w:gridSpan w:val="2"/>
            <w:shd w:val="clear" w:color="auto" w:fill="CFF0FC"/>
          </w:tcPr>
          <w:p>
            <w:pPr>
              <w:jc w:val="right"/>
              <w:ind w:right="57"/>
              <w:spacing w:after="0" w:line="132" w:lineRule="exact"/>
              <w:rPr>
                <w:sz w:val="20"/>
                <w:szCs w:val="20"/>
                <w:color w:val="auto"/>
              </w:rPr>
            </w:pPr>
            <w:r>
              <w:rPr>
                <w:rFonts w:ascii="Times New Roman" w:cs="Times New Roman" w:eastAsia="Times New Roman" w:hAnsi="Times New Roman"/>
                <w:sz w:val="13"/>
                <w:szCs w:val="13"/>
                <w:color w:val="auto"/>
              </w:rPr>
              <w:t>(342,4</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57"/>
              <w:spacing w:after="0" w:line="132" w:lineRule="exact"/>
              <w:rPr>
                <w:sz w:val="20"/>
                <w:szCs w:val="20"/>
                <w:color w:val="auto"/>
              </w:rPr>
            </w:pPr>
            <w:r>
              <w:rPr>
                <w:rFonts w:ascii="Times New Roman" w:cs="Times New Roman" w:eastAsia="Times New Roman" w:hAnsi="Times New Roman"/>
                <w:sz w:val="13"/>
                <w:szCs w:val="13"/>
                <w:color w:val="auto"/>
              </w:rPr>
              <w:t>(344,34</w:t>
            </w:r>
          </w:p>
        </w:tc>
      </w:tr>
      <w:tr>
        <w:trPr>
          <w:trHeight w:val="165"/>
        </w:trPr>
        <w:tc>
          <w:tcPr>
            <w:tcW w:w="29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60 )</w:t>
            </w:r>
          </w:p>
        </w:tc>
        <w:tc>
          <w:tcPr>
            <w:tcW w:w="12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60 )</w:t>
            </w:r>
          </w:p>
        </w:tc>
        <w:tc>
          <w:tcPr>
            <w:tcW w:w="10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(1,887 )</w:t>
            </w:r>
          </w:p>
        </w:tc>
        <w:tc>
          <w:tcPr>
            <w:tcW w:w="12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(1,887 )</w:t>
            </w:r>
          </w:p>
        </w:tc>
        <w:tc>
          <w:tcPr>
            <w:tcW w:w="10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7 )</w:t>
            </w:r>
          </w:p>
        </w:tc>
      </w:tr>
      <w:tr>
        <w:trPr>
          <w:trHeight w:val="125"/>
        </w:trPr>
        <w:tc>
          <w:tcPr>
            <w:tcW w:w="3020" w:type="dxa"/>
            <w:vAlign w:val="bottom"/>
            <w:gridSpan w:val="2"/>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Balance at September 30, 2023</w:t>
            </w:r>
          </w:p>
        </w:tc>
        <w:tc>
          <w:tcPr>
            <w:tcW w:w="560" w:type="dxa"/>
            <w:vAlign w:val="bottom"/>
          </w:tcPr>
          <w:p>
            <w:pPr>
              <w:jc w:val="right"/>
              <w:ind w:right="77"/>
              <w:spacing w:after="0" w:line="125" w:lineRule="exact"/>
              <w:rPr>
                <w:sz w:val="20"/>
                <w:szCs w:val="20"/>
                <w:color w:val="auto"/>
              </w:rPr>
            </w:pPr>
            <w:r>
              <w:rPr>
                <w:rFonts w:ascii="Times New Roman" w:cs="Times New Roman" w:eastAsia="Times New Roman" w:hAnsi="Times New Roman"/>
                <w:sz w:val="13"/>
                <w:szCs w:val="13"/>
                <w:color w:val="auto"/>
              </w:rPr>
              <w:t>225,00</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gridSpan w:val="2"/>
          </w:tcPr>
          <w:p>
            <w:pPr>
              <w:jc w:val="right"/>
              <w:ind w:right="77"/>
              <w:spacing w:after="0" w:line="125" w:lineRule="exact"/>
              <w:rPr>
                <w:sz w:val="20"/>
                <w:szCs w:val="20"/>
                <w:color w:val="auto"/>
              </w:rPr>
            </w:pPr>
            <w:r>
              <w:rPr>
                <w:rFonts w:ascii="Times New Roman" w:cs="Times New Roman" w:eastAsia="Times New Roman" w:hAnsi="Times New Roman"/>
                <w:sz w:val="13"/>
                <w:szCs w:val="13"/>
                <w:color w:val="auto"/>
              </w:rPr>
              <w:t>(25,</w:t>
            </w:r>
          </w:p>
        </w:tc>
        <w:tc>
          <w:tcPr>
            <w:tcW w:w="800" w:type="dxa"/>
            <w:vAlign w:val="bottom"/>
            <w:gridSpan w:val="2"/>
          </w:tcPr>
          <w:p>
            <w:pPr>
              <w:jc w:val="right"/>
              <w:ind w:right="77"/>
              <w:spacing w:after="0" w:line="125" w:lineRule="exact"/>
              <w:rPr>
                <w:sz w:val="20"/>
                <w:szCs w:val="20"/>
                <w:color w:val="auto"/>
              </w:rPr>
            </w:pPr>
            <w:r>
              <w:rPr>
                <w:rFonts w:ascii="Times New Roman" w:cs="Times New Roman" w:eastAsia="Times New Roman" w:hAnsi="Times New Roman"/>
                <w:sz w:val="13"/>
                <w:szCs w:val="13"/>
                <w:color w:val="auto"/>
              </w:rPr>
              <w:t>8,684,0</w:t>
            </w: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40" w:type="dxa"/>
            <w:vAlign w:val="bottom"/>
            <w:gridSpan w:val="2"/>
          </w:tcPr>
          <w:p>
            <w:pPr>
              <w:jc w:val="right"/>
              <w:ind w:right="57"/>
              <w:spacing w:after="0" w:line="125" w:lineRule="exact"/>
              <w:rPr>
                <w:sz w:val="20"/>
                <w:szCs w:val="20"/>
                <w:color w:val="auto"/>
              </w:rPr>
            </w:pPr>
            <w:r>
              <w:rPr>
                <w:rFonts w:ascii="Times New Roman" w:cs="Times New Roman" w:eastAsia="Times New Roman" w:hAnsi="Times New Roman"/>
                <w:sz w:val="13"/>
                <w:szCs w:val="13"/>
                <w:color w:val="auto"/>
              </w:rPr>
              <w:t>(1,834,</w:t>
            </w:r>
          </w:p>
        </w:tc>
        <w:tc>
          <w:tcPr>
            <w:tcW w:w="740" w:type="dxa"/>
            <w:vAlign w:val="bottom"/>
            <w:gridSpan w:val="2"/>
          </w:tcPr>
          <w:p>
            <w:pPr>
              <w:jc w:val="right"/>
              <w:ind w:right="57"/>
              <w:spacing w:after="0" w:line="125" w:lineRule="exact"/>
              <w:rPr>
                <w:sz w:val="20"/>
                <w:szCs w:val="20"/>
                <w:color w:val="auto"/>
              </w:rPr>
            </w:pPr>
            <w:r>
              <w:rPr>
                <w:rFonts w:ascii="Times New Roman" w:cs="Times New Roman" w:eastAsia="Times New Roman" w:hAnsi="Times New Roman"/>
                <w:sz w:val="13"/>
                <w:szCs w:val="13"/>
                <w:color w:val="auto"/>
              </w:rPr>
              <w:t>7,060,9</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gridSpan w:val="2"/>
          </w:tcPr>
          <w:p>
            <w:pPr>
              <w:jc w:val="right"/>
              <w:ind w:right="57"/>
              <w:spacing w:after="0" w:line="125" w:lineRule="exact"/>
              <w:rPr>
                <w:sz w:val="20"/>
                <w:szCs w:val="20"/>
                <w:color w:val="auto"/>
              </w:rPr>
            </w:pPr>
            <w:r>
              <w:rPr>
                <w:rFonts w:ascii="Times New Roman" w:cs="Times New Roman" w:eastAsia="Times New Roman" w:hAnsi="Times New Roman"/>
                <w:sz w:val="13"/>
                <w:szCs w:val="13"/>
                <w:color w:val="auto"/>
              </w:rPr>
              <w:t>7,231,5</w:t>
            </w:r>
          </w:p>
        </w:tc>
      </w:tr>
      <w:tr>
        <w:trPr>
          <w:trHeight w:val="165"/>
        </w:trPr>
        <w:tc>
          <w:tcPr>
            <w:tcW w:w="3020" w:type="dxa"/>
            <w:vAlign w:val="bottom"/>
            <w:gridSpan w:val="2"/>
          </w:tcPr>
          <w:p>
            <w:pPr>
              <w:ind w:left="29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w:t>
            </w:r>
          </w:p>
        </w:tc>
        <w:tc>
          <w:tcPr>
            <w:tcW w:w="7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1,846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081 )</w:t>
            </w:r>
          </w:p>
        </w:tc>
        <w:tc>
          <w:tcPr>
            <w:tcW w:w="8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12</w:t>
            </w:r>
          </w:p>
        </w:tc>
        <w:tc>
          <w:tcPr>
            <w:tcW w:w="8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9,435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298 )</w:t>
            </w:r>
          </w:p>
        </w:tc>
        <w:tc>
          <w:tcPr>
            <w:tcW w:w="7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53,914</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116,699</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170,613</w:t>
            </w:r>
          </w:p>
        </w:tc>
        <w:tc>
          <w:tcPr>
            <w:tcW w:w="7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27</w:t>
            </w:r>
          </w:p>
        </w:tc>
      </w:tr>
      <w:tr>
        <w:trPr>
          <w:trHeight w:val="20"/>
        </w:trPr>
        <w:tc>
          <w:tcPr>
            <w:tcW w:w="2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144"/>
        </w:trPr>
        <w:tc>
          <w:tcPr>
            <w:tcW w:w="29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r>
      <w:tr>
        <w:trPr>
          <w:trHeight w:val="130"/>
        </w:trPr>
        <w:tc>
          <w:tcPr>
            <w:tcW w:w="30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560" w:type="dxa"/>
            <w:vAlign w:val="bottom"/>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225,00</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(25,</w:t>
            </w:r>
          </w:p>
        </w:tc>
        <w:tc>
          <w:tcPr>
            <w:tcW w:w="800" w:type="dxa"/>
            <w:vAlign w:val="bottom"/>
            <w:gridSpan w:val="2"/>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8,704,2</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2"/>
          </w:tcPr>
          <w:p>
            <w:pPr>
              <w:jc w:val="right"/>
              <w:ind w:right="57"/>
              <w:spacing w:after="0" w:line="131" w:lineRule="exact"/>
              <w:rPr>
                <w:sz w:val="20"/>
                <w:szCs w:val="20"/>
                <w:color w:val="auto"/>
              </w:rPr>
            </w:pPr>
            <w:r>
              <w:rPr>
                <w:rFonts w:ascii="Times New Roman" w:cs="Times New Roman" w:eastAsia="Times New Roman" w:hAnsi="Times New Roman"/>
                <w:sz w:val="13"/>
                <w:szCs w:val="13"/>
                <w:color w:val="auto"/>
              </w:rPr>
              <w:t>(1,871,</w:t>
            </w:r>
          </w:p>
        </w:tc>
        <w:tc>
          <w:tcPr>
            <w:tcW w:w="740" w:type="dxa"/>
            <w:vAlign w:val="bottom"/>
            <w:gridSpan w:val="2"/>
          </w:tcPr>
          <w:p>
            <w:pPr>
              <w:jc w:val="right"/>
              <w:ind w:right="57"/>
              <w:spacing w:after="0" w:line="131" w:lineRule="exact"/>
              <w:rPr>
                <w:sz w:val="20"/>
                <w:szCs w:val="20"/>
                <w:color w:val="auto"/>
              </w:rPr>
            </w:pPr>
            <w:r>
              <w:rPr>
                <w:rFonts w:ascii="Times New Roman" w:cs="Times New Roman" w:eastAsia="Times New Roman" w:hAnsi="Times New Roman"/>
                <w:sz w:val="13"/>
                <w:szCs w:val="13"/>
                <w:color w:val="auto"/>
              </w:rPr>
              <w:t>7,032,6</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jc w:val="right"/>
              <w:ind w:right="57"/>
              <w:spacing w:after="0" w:line="131" w:lineRule="exact"/>
              <w:rPr>
                <w:sz w:val="20"/>
                <w:szCs w:val="20"/>
                <w:color w:val="auto"/>
              </w:rPr>
            </w:pPr>
            <w:r>
              <w:rPr>
                <w:rFonts w:ascii="Times New Roman" w:cs="Times New Roman" w:eastAsia="Times New Roman" w:hAnsi="Times New Roman"/>
                <w:sz w:val="13"/>
                <w:szCs w:val="13"/>
                <w:color w:val="auto"/>
              </w:rPr>
              <w:t>7,191,9</w:t>
            </w:r>
          </w:p>
        </w:tc>
      </w:tr>
      <w:tr>
        <w:trPr>
          <w:trHeight w:val="165"/>
        </w:trPr>
        <w:tc>
          <w:tcPr>
            <w:tcW w:w="3020" w:type="dxa"/>
            <w:vAlign w:val="bottom"/>
            <w:gridSpan w:val="2"/>
          </w:tcPr>
          <w:p>
            <w:pPr>
              <w:ind w:left="296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0</w:t>
            </w:r>
          </w:p>
        </w:tc>
        <w:tc>
          <w:tcPr>
            <w:tcW w:w="70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  1,846</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488 )</w:t>
            </w:r>
          </w:p>
        </w:tc>
        <w:tc>
          <w:tcPr>
            <w:tcW w:w="8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40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(1,308 )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603 )</w:t>
            </w:r>
          </w:p>
        </w:tc>
        <w:tc>
          <w:tcPr>
            <w:tcW w:w="7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87</w:t>
            </w:r>
          </w:p>
        </w:tc>
        <w:tc>
          <w:tcPr>
            <w:tcW w:w="10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42,195</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117,053</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159,248</w:t>
            </w:r>
          </w:p>
        </w:tc>
        <w:tc>
          <w:tcPr>
            <w:tcW w:w="7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35</w:t>
            </w:r>
          </w:p>
        </w:tc>
      </w:tr>
      <w:tr>
        <w:trPr>
          <w:trHeight w:val="132"/>
        </w:trPr>
        <w:tc>
          <w:tcPr>
            <w:tcW w:w="3020" w:type="dxa"/>
            <w:vAlign w:val="bottom"/>
            <w:gridSpan w:val="2"/>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Net income</w:t>
            </w: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57"/>
              <w:spacing w:after="0" w:line="132" w:lineRule="exact"/>
              <w:rPr>
                <w:sz w:val="20"/>
                <w:szCs w:val="20"/>
                <w:color w:val="auto"/>
              </w:rPr>
            </w:pPr>
            <w:r>
              <w:rPr>
                <w:rFonts w:ascii="Times New Roman" w:cs="Times New Roman" w:eastAsia="Times New Roman" w:hAnsi="Times New Roman"/>
                <w:sz w:val="13"/>
                <w:szCs w:val="13"/>
                <w:color w:val="auto"/>
              </w:rPr>
              <w:t>313,91</w:t>
            </w:r>
          </w:p>
        </w:tc>
        <w:tc>
          <w:tcPr>
            <w:tcW w:w="740" w:type="dxa"/>
            <w:vAlign w:val="bottom"/>
            <w:gridSpan w:val="2"/>
            <w:shd w:val="clear" w:color="auto" w:fill="CFF0FC"/>
          </w:tcPr>
          <w:p>
            <w:pPr>
              <w:jc w:val="right"/>
              <w:ind w:right="57"/>
              <w:spacing w:after="0" w:line="132" w:lineRule="exact"/>
              <w:rPr>
                <w:sz w:val="20"/>
                <w:szCs w:val="20"/>
                <w:color w:val="auto"/>
              </w:rPr>
            </w:pPr>
            <w:r>
              <w:rPr>
                <w:rFonts w:ascii="Times New Roman" w:cs="Times New Roman" w:eastAsia="Times New Roman" w:hAnsi="Times New Roman"/>
                <w:sz w:val="13"/>
                <w:szCs w:val="13"/>
                <w:color w:val="auto"/>
              </w:rPr>
              <w:t>313,91</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67"/>
        </w:trPr>
        <w:tc>
          <w:tcPr>
            <w:tcW w:w="2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7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1,836</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5,416</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7,252</w:t>
            </w:r>
          </w:p>
        </w:tc>
        <w:tc>
          <w:tcPr>
            <w:tcW w:w="7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321,163</w:t>
            </w:r>
          </w:p>
        </w:tc>
      </w:tr>
      <w:tr>
        <w:trPr>
          <w:trHeight w:val="162"/>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2"/>
        </w:trPr>
        <w:tc>
          <w:tcPr>
            <w:tcW w:w="3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Other comprehensive income before reclassification</w:t>
            </w: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2,585</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2,585</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109</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122</w:t>
            </w:r>
          </w:p>
        </w:tc>
        <w:tc>
          <w:tcPr>
            <w:tcW w:w="7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2,707</w:t>
            </w:r>
          </w:p>
        </w:tc>
      </w:tr>
      <w:tr>
        <w:trPr>
          <w:trHeight w:val="130"/>
        </w:trPr>
        <w:tc>
          <w:tcPr>
            <w:tcW w:w="302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3"/>
                <w:szCs w:val="13"/>
                <w:color w:val="auto"/>
              </w:rPr>
              <w:t>Amounts reclassified from accumulated other</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5"/>
        </w:trPr>
        <w:tc>
          <w:tcPr>
            <w:tcW w:w="30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comprehensive income</w:t>
            </w: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(6,651 )</w:t>
            </w:r>
          </w:p>
        </w:tc>
        <w:tc>
          <w:tcPr>
            <w:tcW w:w="12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(6,651 )</w:t>
            </w: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(421 )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(462 )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(7,113 )</w:t>
            </w:r>
          </w:p>
        </w:tc>
      </w:tr>
      <w:tr>
        <w:trPr>
          <w:trHeight w:val="163"/>
        </w:trPr>
        <w:tc>
          <w:tcPr>
            <w:tcW w:w="3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Adjustment for noncontrolling interests</w:t>
            </w: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(9,999 )</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(9,999 )</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1,305</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8,694</w:t>
            </w:r>
          </w:p>
        </w:tc>
        <w:tc>
          <w:tcPr>
            <w:tcW w:w="8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9,999</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30"/>
        </w:trPr>
        <w:tc>
          <w:tcPr>
            <w:tcW w:w="30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Deferred compensation plan, net</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(2,1</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5"/>
        </w:trPr>
        <w:tc>
          <w:tcPr>
            <w:tcW w:w="2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50 )</w:t>
            </w:r>
          </w:p>
        </w:tc>
        <w:tc>
          <w:tcPr>
            <w:tcW w:w="8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2,150</w:t>
            </w: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3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Restricted stock issued, net of amortization</w:t>
            </w: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19,809</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19,811</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19,811</w:t>
            </w:r>
          </w:p>
        </w:tc>
      </w:tr>
      <w:tr>
        <w:trPr>
          <w:trHeight w:val="130"/>
        </w:trPr>
        <w:tc>
          <w:tcPr>
            <w:tcW w:w="30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Common stock repurchased for taxes withheld for</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5"/>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stock based compensation, net</w:t>
            </w: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7"/>
              <w:spacing w:after="0"/>
              <w:rPr>
                <w:sz w:val="20"/>
                <w:szCs w:val="20"/>
                <w:color w:val="auto"/>
              </w:rPr>
            </w:pPr>
            <w:r>
              <w:rPr>
                <w:rFonts w:ascii="Times New Roman" w:cs="Times New Roman" w:eastAsia="Times New Roman" w:hAnsi="Times New Roman"/>
                <w:sz w:val="13"/>
                <w:szCs w:val="13"/>
                <w:color w:val="auto"/>
              </w:rPr>
              <w:t>(8,375 )</w:t>
            </w: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(8,375 )</w:t>
            </w:r>
          </w:p>
        </w:tc>
        <w:tc>
          <w:tcPr>
            <w:tcW w:w="10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(8,375 )</w:t>
            </w:r>
          </w:p>
        </w:tc>
      </w:tr>
      <w:tr>
        <w:trPr>
          <w:trHeight w:val="132"/>
        </w:trPr>
        <w:tc>
          <w:tcPr>
            <w:tcW w:w="3020" w:type="dxa"/>
            <w:vAlign w:val="bottom"/>
            <w:gridSpan w:val="2"/>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Common stock repurchased and retired</w:t>
            </w: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77"/>
              <w:spacing w:after="0" w:line="132" w:lineRule="exact"/>
              <w:rPr>
                <w:sz w:val="20"/>
                <w:szCs w:val="20"/>
                <w:color w:val="auto"/>
              </w:rPr>
            </w:pPr>
            <w:r>
              <w:rPr>
                <w:rFonts w:ascii="Times New Roman" w:cs="Times New Roman" w:eastAsia="Times New Roman" w:hAnsi="Times New Roman"/>
                <w:sz w:val="13"/>
                <w:szCs w:val="13"/>
                <w:color w:val="auto"/>
              </w:rPr>
              <w:t>(200,03</w:t>
            </w: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57"/>
              <w:spacing w:after="0" w:line="132" w:lineRule="exact"/>
              <w:rPr>
                <w:sz w:val="20"/>
                <w:szCs w:val="20"/>
                <w:color w:val="auto"/>
              </w:rPr>
            </w:pPr>
            <w:r>
              <w:rPr>
                <w:rFonts w:ascii="Times New Roman" w:cs="Times New Roman" w:eastAsia="Times New Roman" w:hAnsi="Times New Roman"/>
                <w:sz w:val="13"/>
                <w:szCs w:val="13"/>
                <w:color w:val="auto"/>
              </w:rPr>
              <w:t>(200,0</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780" w:type="dxa"/>
            <w:vAlign w:val="bottom"/>
            <w:gridSpan w:val="2"/>
            <w:shd w:val="clear" w:color="auto" w:fill="CFF0FC"/>
          </w:tcPr>
          <w:p>
            <w:pPr>
              <w:jc w:val="right"/>
              <w:ind w:right="57"/>
              <w:spacing w:after="0" w:line="132" w:lineRule="exact"/>
              <w:rPr>
                <w:sz w:val="20"/>
                <w:szCs w:val="20"/>
                <w:color w:val="auto"/>
              </w:rPr>
            </w:pPr>
            <w:r>
              <w:rPr>
                <w:rFonts w:ascii="Times New Roman" w:cs="Times New Roman" w:eastAsia="Times New Roman" w:hAnsi="Times New Roman"/>
                <w:sz w:val="13"/>
                <w:szCs w:val="13"/>
                <w:color w:val="auto"/>
              </w:rPr>
              <w:t>(200,06</w:t>
            </w:r>
          </w:p>
        </w:tc>
      </w:tr>
      <w:tr>
        <w:trPr>
          <w:trHeight w:val="167"/>
        </w:trPr>
        <w:tc>
          <w:tcPr>
            <w:tcW w:w="2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(33 )</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17"/>
              <w:spacing w:after="0"/>
              <w:rPr>
                <w:sz w:val="20"/>
                <w:szCs w:val="20"/>
                <w:color w:val="auto"/>
              </w:rPr>
            </w:pPr>
            <w:r>
              <w:rPr>
                <w:rFonts w:ascii="Times New Roman" w:cs="Times New Roman" w:eastAsia="Times New Roman" w:hAnsi="Times New Roman"/>
                <w:sz w:val="13"/>
                <w:szCs w:val="13"/>
                <w:color w:val="auto"/>
              </w:rPr>
              <w:t>3 )</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66 )</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6 )</w:t>
            </w:r>
          </w:p>
        </w:tc>
      </w:tr>
      <w:tr>
        <w:trPr>
          <w:trHeight w:val="130"/>
        </w:trPr>
        <w:tc>
          <w:tcPr>
            <w:tcW w:w="3020" w:type="dxa"/>
            <w:vAlign w:val="bottom"/>
            <w:gridSpan w:val="2"/>
          </w:tcPr>
          <w:p>
            <w:pPr>
              <w:ind w:left="20"/>
              <w:spacing w:after="0" w:line="131" w:lineRule="exact"/>
              <w:rPr>
                <w:sz w:val="20"/>
                <w:szCs w:val="20"/>
                <w:color w:val="auto"/>
              </w:rPr>
            </w:pPr>
            <w:r>
              <w:rPr>
                <w:rFonts w:ascii="Times New Roman" w:cs="Times New Roman" w:eastAsia="Times New Roman" w:hAnsi="Times New Roman"/>
                <w:sz w:val="13"/>
                <w:szCs w:val="13"/>
                <w:color w:val="auto"/>
              </w:rPr>
              <w:t>Common stock issued under dividend reinvestment</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5"/>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plan</w:t>
            </w: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494</w:t>
            </w: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494</w:t>
            </w:r>
          </w:p>
        </w:tc>
        <w:tc>
          <w:tcPr>
            <w:tcW w:w="10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494</w:t>
            </w:r>
          </w:p>
        </w:tc>
      </w:tr>
      <w:tr>
        <w:trPr>
          <w:trHeight w:val="132"/>
        </w:trPr>
        <w:tc>
          <w:tcPr>
            <w:tcW w:w="3020" w:type="dxa"/>
            <w:vAlign w:val="bottom"/>
            <w:gridSpan w:val="2"/>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Common stock issued for exchangeable operating</w:t>
            </w: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67"/>
        </w:trPr>
        <w:tc>
          <w:tcPr>
            <w:tcW w:w="3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partnership units</w:t>
            </w: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735</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735</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(735 )</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(735 )</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Contributions from partners</w:t>
            </w: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14,425</w:t>
            </w:r>
          </w:p>
        </w:tc>
        <w:tc>
          <w:tcPr>
            <w:tcW w:w="84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14,425</w:t>
            </w:r>
          </w:p>
        </w:tc>
        <w:tc>
          <w:tcPr>
            <w:tcW w:w="780" w:type="dxa"/>
            <w:vAlign w:val="bottom"/>
            <w:gridSpan w:val="2"/>
          </w:tcPr>
          <w:p>
            <w:pPr>
              <w:jc w:val="right"/>
              <w:ind w:right="57"/>
              <w:spacing w:after="0"/>
              <w:rPr>
                <w:sz w:val="20"/>
                <w:szCs w:val="20"/>
                <w:color w:val="auto"/>
              </w:rPr>
            </w:pPr>
            <w:r>
              <w:rPr>
                <w:rFonts w:ascii="Times New Roman" w:cs="Times New Roman" w:eastAsia="Times New Roman" w:hAnsi="Times New Roman"/>
                <w:sz w:val="13"/>
                <w:szCs w:val="13"/>
                <w:color w:val="auto"/>
              </w:rPr>
              <w:t>14,425</w:t>
            </w:r>
          </w:p>
        </w:tc>
      </w:tr>
      <w:tr>
        <w:trPr>
          <w:trHeight w:val="162"/>
        </w:trPr>
        <w:tc>
          <w:tcPr>
            <w:tcW w:w="3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Distributions to partners</w:t>
            </w: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(9,435 )</w:t>
            </w: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(9,435 )</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(9,435 )</w:t>
            </w:r>
          </w:p>
        </w:tc>
      </w:tr>
      <w:tr>
        <w:trPr>
          <w:trHeight w:val="162"/>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dividends declared: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30"/>
        </w:trPr>
        <w:tc>
          <w:tcPr>
            <w:tcW w:w="3020" w:type="dxa"/>
            <w:vAlign w:val="bottom"/>
            <w:gridSpan w:val="2"/>
            <w:shd w:val="clear" w:color="auto" w:fill="CFF0FC"/>
          </w:tcPr>
          <w:p>
            <w:pPr>
              <w:ind w:left="160"/>
              <w:spacing w:after="0" w:line="131" w:lineRule="exact"/>
              <w:rPr>
                <w:sz w:val="20"/>
                <w:szCs w:val="20"/>
                <w:color w:val="auto"/>
              </w:rPr>
            </w:pPr>
            <w:r>
              <w:rPr>
                <w:rFonts w:ascii="Times New Roman" w:cs="Times New Roman" w:eastAsia="Times New Roman" w:hAnsi="Times New Roman"/>
                <w:sz w:val="13"/>
                <w:szCs w:val="13"/>
                <w:color w:val="auto"/>
              </w:rPr>
              <w:t>Preferred stock (Series A: $1.171875 per share/unit;</w:t>
            </w: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740" w:type="dxa"/>
            <w:vAlign w:val="bottom"/>
            <w:gridSpan w:val="2"/>
            <w:shd w:val="clear" w:color="auto" w:fill="CFF0FC"/>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(10,23</w:t>
            </w:r>
          </w:p>
        </w:tc>
        <w:tc>
          <w:tcPr>
            <w:tcW w:w="740" w:type="dxa"/>
            <w:vAlign w:val="bottom"/>
            <w:gridSpan w:val="2"/>
            <w:shd w:val="clear" w:color="auto" w:fill="CFF0FC"/>
          </w:tcPr>
          <w:p>
            <w:pPr>
              <w:jc w:val="right"/>
              <w:ind w:right="57"/>
              <w:spacing w:after="0" w:line="131" w:lineRule="exact"/>
              <w:rPr>
                <w:sz w:val="20"/>
                <w:szCs w:val="20"/>
                <w:color w:val="auto"/>
              </w:rPr>
            </w:pPr>
            <w:r>
              <w:rPr>
                <w:rFonts w:ascii="Times New Roman" w:cs="Times New Roman" w:eastAsia="Times New Roman" w:hAnsi="Times New Roman"/>
                <w:sz w:val="13"/>
                <w:szCs w:val="13"/>
                <w:color w:val="auto"/>
              </w:rPr>
              <w:t>(10,23</w:t>
            </w: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r>
      <w:tr>
        <w:trPr>
          <w:trHeight w:val="167"/>
        </w:trPr>
        <w:tc>
          <w:tcPr>
            <w:tcW w:w="302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Series B: $1.101600 per share/unit)</w:t>
            </w:r>
          </w:p>
        </w:tc>
        <w:tc>
          <w:tcPr>
            <w:tcW w:w="5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9 )</w:t>
            </w:r>
          </w:p>
        </w:tc>
        <w:tc>
          <w:tcPr>
            <w:tcW w:w="100" w:type="dxa"/>
            <w:vAlign w:val="bottom"/>
            <w:shd w:val="clear" w:color="auto" w:fill="CFF0FC"/>
          </w:tcPr>
          <w:p>
            <w:pPr>
              <w:spacing w:after="0"/>
              <w:rPr>
                <w:sz w:val="14"/>
                <w:szCs w:val="14"/>
                <w:color w:val="auto"/>
              </w:rPr>
            </w:pPr>
          </w:p>
        </w:tc>
        <w:tc>
          <w:tcPr>
            <w:tcW w:w="6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(10,239 )</w:t>
            </w:r>
          </w:p>
        </w:tc>
      </w:tr>
      <w:tr>
        <w:trPr>
          <w:trHeight w:val="130"/>
        </w:trPr>
        <w:tc>
          <w:tcPr>
            <w:tcW w:w="302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3"/>
                <w:szCs w:val="13"/>
                <w:color w:val="auto"/>
              </w:rPr>
              <w:t>Common stock ($2.010 per share/unit)</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2"/>
          </w:tcPr>
          <w:p>
            <w:pPr>
              <w:jc w:val="right"/>
              <w:ind w:right="77"/>
              <w:spacing w:after="0" w:line="131" w:lineRule="exact"/>
              <w:rPr>
                <w:sz w:val="20"/>
                <w:szCs w:val="20"/>
                <w:color w:val="auto"/>
              </w:rPr>
            </w:pPr>
            <w:r>
              <w:rPr>
                <w:rFonts w:ascii="Times New Roman" w:cs="Times New Roman" w:eastAsia="Times New Roman" w:hAnsi="Times New Roman"/>
                <w:sz w:val="13"/>
                <w:szCs w:val="13"/>
                <w:color w:val="auto"/>
              </w:rPr>
              <w:t>(367,4</w:t>
            </w:r>
          </w:p>
        </w:tc>
        <w:tc>
          <w:tcPr>
            <w:tcW w:w="740" w:type="dxa"/>
            <w:vAlign w:val="bottom"/>
            <w:gridSpan w:val="2"/>
          </w:tcPr>
          <w:p>
            <w:pPr>
              <w:jc w:val="right"/>
              <w:ind w:right="57"/>
              <w:spacing w:after="0" w:line="131" w:lineRule="exact"/>
              <w:rPr>
                <w:sz w:val="20"/>
                <w:szCs w:val="20"/>
                <w:color w:val="auto"/>
              </w:rPr>
            </w:pPr>
            <w:r>
              <w:rPr>
                <w:rFonts w:ascii="Times New Roman" w:cs="Times New Roman" w:eastAsia="Times New Roman" w:hAnsi="Times New Roman"/>
                <w:sz w:val="13"/>
                <w:szCs w:val="13"/>
                <w:color w:val="auto"/>
              </w:rPr>
              <w:t>(367,4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jc w:val="right"/>
              <w:ind w:right="57"/>
              <w:spacing w:after="0" w:line="131" w:lineRule="exact"/>
              <w:rPr>
                <w:sz w:val="20"/>
                <w:szCs w:val="20"/>
                <w:color w:val="auto"/>
              </w:rPr>
            </w:pPr>
            <w:r>
              <w:rPr>
                <w:rFonts w:ascii="Times New Roman" w:cs="Times New Roman" w:eastAsia="Times New Roman" w:hAnsi="Times New Roman"/>
                <w:sz w:val="13"/>
                <w:szCs w:val="13"/>
                <w:color w:val="auto"/>
              </w:rPr>
              <w:t>(371,11</w:t>
            </w:r>
          </w:p>
        </w:tc>
      </w:tr>
      <w:tr>
        <w:trPr>
          <w:trHeight w:val="165"/>
        </w:trPr>
        <w:tc>
          <w:tcPr>
            <w:tcW w:w="2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1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1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(3,683 )</w:t>
            </w:r>
          </w:p>
        </w:tc>
        <w:tc>
          <w:tcPr>
            <w:tcW w:w="120" w:type="dxa"/>
            <w:vAlign w:val="bottom"/>
          </w:tcPr>
          <w:p>
            <w:pPr>
              <w:spacing w:after="0"/>
              <w:rPr>
                <w:sz w:val="14"/>
                <w:szCs w:val="14"/>
                <w:color w:val="auto"/>
              </w:rPr>
            </w:pPr>
          </w:p>
        </w:tc>
        <w:tc>
          <w:tcPr>
            <w:tcW w:w="72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(3,683 )</w:t>
            </w:r>
          </w:p>
        </w:tc>
        <w:tc>
          <w:tcPr>
            <w:tcW w:w="100" w:type="dxa"/>
            <w:vAlign w:val="bottom"/>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0 )</w:t>
            </w:r>
          </w:p>
        </w:tc>
      </w:tr>
      <w:tr>
        <w:trPr>
          <w:trHeight w:val="125"/>
        </w:trPr>
        <w:tc>
          <w:tcPr>
            <w:tcW w:w="3020" w:type="dxa"/>
            <w:vAlign w:val="bottom"/>
            <w:gridSpan w:val="2"/>
            <w:shd w:val="clear" w:color="auto" w:fill="CFF0FC"/>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Balance at September 30, 2024</w:t>
            </w:r>
          </w:p>
        </w:tc>
        <w:tc>
          <w:tcPr>
            <w:tcW w:w="560" w:type="dxa"/>
            <w:vAlign w:val="bottom"/>
            <w:shd w:val="clear" w:color="auto" w:fill="CFF0FC"/>
          </w:tcPr>
          <w:p>
            <w:pPr>
              <w:jc w:val="right"/>
              <w:ind w:right="77"/>
              <w:spacing w:after="0" w:line="125" w:lineRule="exact"/>
              <w:rPr>
                <w:sz w:val="20"/>
                <w:szCs w:val="20"/>
                <w:color w:val="auto"/>
              </w:rPr>
            </w:pPr>
            <w:r>
              <w:rPr>
                <w:rFonts w:ascii="Times New Roman" w:cs="Times New Roman" w:eastAsia="Times New Roman" w:hAnsi="Times New Roman"/>
                <w:sz w:val="13"/>
                <w:szCs w:val="13"/>
                <w:color w:val="auto"/>
              </w:rPr>
              <w:t>225,00</w:t>
            </w: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20" w:type="dxa"/>
            <w:vAlign w:val="bottom"/>
            <w:gridSpan w:val="2"/>
            <w:shd w:val="clear" w:color="auto" w:fill="CFF0FC"/>
          </w:tcPr>
          <w:p>
            <w:pPr>
              <w:jc w:val="right"/>
              <w:ind w:right="77"/>
              <w:spacing w:after="0" w:line="125" w:lineRule="exact"/>
              <w:rPr>
                <w:sz w:val="20"/>
                <w:szCs w:val="20"/>
                <w:color w:val="auto"/>
              </w:rPr>
            </w:pPr>
            <w:r>
              <w:rPr>
                <w:rFonts w:ascii="Times New Roman" w:cs="Times New Roman" w:eastAsia="Times New Roman" w:hAnsi="Times New Roman"/>
                <w:sz w:val="13"/>
                <w:szCs w:val="13"/>
                <w:color w:val="auto"/>
              </w:rPr>
              <w:t>(27,</w:t>
            </w:r>
          </w:p>
        </w:tc>
        <w:tc>
          <w:tcPr>
            <w:tcW w:w="800" w:type="dxa"/>
            <w:vAlign w:val="bottom"/>
            <w:gridSpan w:val="2"/>
            <w:shd w:val="clear" w:color="auto" w:fill="CFF0FC"/>
          </w:tcPr>
          <w:p>
            <w:pPr>
              <w:jc w:val="right"/>
              <w:ind w:right="77"/>
              <w:spacing w:after="0" w:line="125" w:lineRule="exact"/>
              <w:rPr>
                <w:sz w:val="20"/>
                <w:szCs w:val="20"/>
                <w:color w:val="auto"/>
              </w:rPr>
            </w:pPr>
            <w:r>
              <w:rPr>
                <w:rFonts w:ascii="Times New Roman" w:cs="Times New Roman" w:eastAsia="Times New Roman" w:hAnsi="Times New Roman"/>
                <w:sz w:val="13"/>
                <w:szCs w:val="13"/>
                <w:color w:val="auto"/>
              </w:rPr>
              <w:t>8,509,0</w:t>
            </w:r>
          </w:p>
        </w:tc>
        <w:tc>
          <w:tcPr>
            <w:tcW w:w="12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57"/>
              <w:spacing w:after="0" w:line="125" w:lineRule="exact"/>
              <w:rPr>
                <w:sz w:val="20"/>
                <w:szCs w:val="20"/>
                <w:color w:val="auto"/>
              </w:rPr>
            </w:pPr>
            <w:r>
              <w:rPr>
                <w:rFonts w:ascii="Times New Roman" w:cs="Times New Roman" w:eastAsia="Times New Roman" w:hAnsi="Times New Roman"/>
                <w:sz w:val="13"/>
                <w:szCs w:val="13"/>
                <w:color w:val="auto"/>
              </w:rPr>
              <w:t>(1,935,</w:t>
            </w:r>
          </w:p>
        </w:tc>
        <w:tc>
          <w:tcPr>
            <w:tcW w:w="740" w:type="dxa"/>
            <w:vAlign w:val="bottom"/>
            <w:gridSpan w:val="2"/>
            <w:shd w:val="clear" w:color="auto" w:fill="CFF0FC"/>
          </w:tcPr>
          <w:p>
            <w:pPr>
              <w:jc w:val="right"/>
              <w:ind w:right="57"/>
              <w:spacing w:after="0" w:line="125" w:lineRule="exact"/>
              <w:rPr>
                <w:sz w:val="20"/>
                <w:szCs w:val="20"/>
                <w:color w:val="auto"/>
              </w:rPr>
            </w:pPr>
            <w:r>
              <w:rPr>
                <w:rFonts w:ascii="Times New Roman" w:cs="Times New Roman" w:eastAsia="Times New Roman" w:hAnsi="Times New Roman"/>
                <w:sz w:val="13"/>
                <w:szCs w:val="13"/>
                <w:color w:val="auto"/>
              </w:rPr>
              <w:t>6,767,4</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57"/>
              <w:spacing w:after="0" w:line="125" w:lineRule="exact"/>
              <w:rPr>
                <w:sz w:val="20"/>
                <w:szCs w:val="20"/>
                <w:color w:val="auto"/>
              </w:rPr>
            </w:pPr>
            <w:r>
              <w:rPr>
                <w:rFonts w:ascii="Times New Roman" w:cs="Times New Roman" w:eastAsia="Times New Roman" w:hAnsi="Times New Roman"/>
                <w:sz w:val="13"/>
                <w:szCs w:val="13"/>
                <w:color w:val="auto"/>
              </w:rPr>
              <w:t>6,944,1</w:t>
            </w:r>
          </w:p>
        </w:tc>
      </w:tr>
      <w:tr>
        <w:trPr>
          <w:trHeight w:val="205"/>
        </w:trPr>
        <w:tc>
          <w:tcPr>
            <w:tcW w:w="29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0"/>
                <w:szCs w:val="10"/>
                <w:color w:val="auto"/>
                <w:w w:val="79"/>
              </w:rPr>
              <w:t>$</w:t>
            </w:r>
          </w:p>
        </w:tc>
        <w:tc>
          <w:tcPr>
            <w:tcW w:w="56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tcBorders>
              <w:bottom w:val="single" w:sz="8" w:color="CFF0FC"/>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1,815</w:t>
            </w:r>
          </w:p>
        </w:tc>
        <w:tc>
          <w:tcPr>
            <w:tcW w:w="12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638 )</w:t>
            </w:r>
          </w:p>
        </w:tc>
        <w:tc>
          <w:tcPr>
            <w:tcW w:w="12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21</w:t>
            </w:r>
          </w:p>
        </w:tc>
        <w:tc>
          <w:tcPr>
            <w:tcW w:w="1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(5,374 )</w:t>
            </w: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358 )</w:t>
            </w: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40,890</w:t>
            </w:r>
          </w:p>
        </w:tc>
        <w:tc>
          <w:tcPr>
            <w:tcW w:w="12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135,841</w:t>
            </w:r>
          </w:p>
        </w:tc>
        <w:tc>
          <w:tcPr>
            <w:tcW w:w="10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176,731</w:t>
            </w:r>
          </w:p>
        </w:tc>
        <w:tc>
          <w:tcPr>
            <w:tcW w:w="100" w:type="dxa"/>
            <w:vAlign w:val="bottom"/>
            <w:tcBorders>
              <w:bottom w:val="single" w:sz="8" w:color="CFF0FC"/>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2268220</wp:posOffset>
            </wp:positionH>
            <wp:positionV relativeFrom="paragraph">
              <wp:posOffset>-3154045</wp:posOffset>
            </wp:positionV>
            <wp:extent cx="7683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-3154045</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-3154045</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-3154045</wp:posOffset>
            </wp:positionV>
            <wp:extent cx="7683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-3154045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-3154045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-3154045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-3154045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-3154045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-3154045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-25400</wp:posOffset>
            </wp:positionV>
            <wp:extent cx="768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-8255</wp:posOffset>
            </wp:positionV>
            <wp:extent cx="7683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-25400</wp:posOffset>
            </wp:positionV>
            <wp:extent cx="7683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-8255</wp:posOffset>
            </wp:positionV>
            <wp:extent cx="7683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-25400</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-8255</wp:posOffset>
            </wp:positionV>
            <wp:extent cx="774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-25400</wp:posOffset>
            </wp:positionV>
            <wp:extent cx="768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-8255</wp:posOffset>
            </wp:positionV>
            <wp:extent cx="768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-25400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-8255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-25400</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-8255</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-25400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-25400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-25400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accompanying notes are an integral part of the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471805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8" w:right="339" w:bottom="1440" w:gutter="0" w:footer="0" w:header="0"/>
        </w:sectPr>
      </w:pPr>
    </w:p>
    <w:bookmarkStart w:id="8" w:name="page9"/>
    <w:bookmarkEnd w:id="8"/>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 and 2023</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1"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74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11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321,163</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278,833</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299,508</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253,373</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Amortization of deferred financing costs and debt premiums</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9,754</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5,124</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above and below market lease intangibles, net</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(17,383 )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(21,573 )</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Stock-based compensation, net of capitalization</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18,829</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14,203</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Equity in income of investments in real estate partnerships</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(37,763 )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(36,302 )</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(33,844 )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(515 )</w:t>
            </w: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40" w:type="dxa"/>
            <w:vAlign w:val="bottom"/>
          </w:tcPr>
          <w:p>
            <w:pPr>
              <w:spacing w:after="0"/>
              <w:rPr>
                <w:sz w:val="19"/>
                <w:szCs w:val="19"/>
                <w:color w:val="auto"/>
              </w:rPr>
            </w:pP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Distribution of earnings from investments in real estate partnerships</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49,987</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48,451</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compensation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Realized and unrealized gain on investments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(4,439 )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(2,252 )</w:t>
            </w: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(8,736 )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(3,094 )</w:t>
            </w:r>
          </w:p>
        </w:tc>
      </w:tr>
      <w:tr>
        <w:trPr>
          <w:trHeight w:val="220"/>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Deferred leasing costs</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(7,643 )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(7,705 )</w:t>
            </w:r>
          </w:p>
        </w:tc>
      </w:tr>
      <w:tr>
        <w:trPr>
          <w:trHeight w:val="239"/>
        </w:trPr>
        <w:tc>
          <w:tcPr>
            <w:tcW w:w="740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(10,738 )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(7,577 )</w:t>
            </w:r>
          </w:p>
        </w:tc>
      </w:tr>
      <w:tr>
        <w:trPr>
          <w:trHeight w:val="220"/>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13,881</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20,875</w:t>
            </w:r>
          </w:p>
        </w:tc>
        <w:tc>
          <w:tcPr>
            <w:tcW w:w="100" w:type="dxa"/>
            <w:vAlign w:val="bottom"/>
          </w:tcPr>
          <w:p>
            <w:pPr>
              <w:spacing w:after="0"/>
              <w:rPr>
                <w:sz w:val="19"/>
                <w:szCs w:val="19"/>
                <w:color w:val="auto"/>
              </w:rPr>
            </w:pPr>
          </w:p>
        </w:tc>
      </w:tr>
      <w:tr>
        <w:trPr>
          <w:trHeight w:val="233"/>
        </w:trPr>
        <w:tc>
          <w:tcPr>
            <w:tcW w:w="740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Tenants' security, escrow deposits and prepaid rent</w:t>
            </w: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2,442</w:t>
            </w:r>
          </w:p>
        </w:tc>
        <w:tc>
          <w:tcPr>
            <w:tcW w:w="2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4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598,813</w:t>
            </w:r>
          </w:p>
        </w:tc>
        <w:tc>
          <w:tcPr>
            <w:tcW w:w="24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547,685</w:t>
            </w:r>
          </w:p>
        </w:tc>
        <w:tc>
          <w:tcPr>
            <w:tcW w:w="10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of operating real estate</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(45,205 )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(2,033 )</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Acquisition of UBP, net of cash acquired of $14,143 in 2023</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(80,488 )</w:t>
            </w: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Real estate development and capital improvements</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(235,284 )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(158,982 )</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sale of real estate</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103,626</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10,338</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property insurance casualty claims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w:t>
            </w:r>
          </w:p>
        </w:tc>
        <w:tc>
          <w:tcPr>
            <w:tcW w:w="240" w:type="dxa"/>
            <w:vAlign w:val="bottom"/>
          </w:tcPr>
          <w:p>
            <w:pPr>
              <w:spacing w:after="0"/>
              <w:rPr>
                <w:sz w:val="19"/>
                <w:szCs w:val="19"/>
                <w:color w:val="auto"/>
              </w:rPr>
            </w:pP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Issuance of notes receivable</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(32,651 )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(4,000 )</w:t>
            </w: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Collection of notes receivable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w:t>
            </w:r>
          </w:p>
        </w:tc>
        <w:tc>
          <w:tcPr>
            <w:tcW w:w="240" w:type="dxa"/>
            <w:vAlign w:val="bottom"/>
          </w:tcPr>
          <w:p>
            <w:pPr>
              <w:spacing w:after="0"/>
              <w:rPr>
                <w:sz w:val="19"/>
                <w:szCs w:val="19"/>
                <w:color w:val="auto"/>
              </w:rPr>
            </w:pP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Investments in real estate partnerships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(25,771 )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(9,118 )</w:t>
            </w: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Return of capital from investments in real estate partnerships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12,859</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Dividends on investment securities</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of investment securities</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(99,035 )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(5,206 )</w:t>
            </w:r>
          </w:p>
        </w:tc>
      </w:tr>
      <w:tr>
        <w:trPr>
          <w:trHeight w:val="233"/>
        </w:trPr>
        <w:tc>
          <w:tcPr>
            <w:tcW w:w="74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sale of investment securities</w:t>
            </w: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103,785</w:t>
            </w:r>
          </w:p>
        </w:tc>
        <w:tc>
          <w:tcPr>
            <w:tcW w:w="2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4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(209,071 )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(231,527 )</w:t>
            </w:r>
          </w:p>
        </w:tc>
      </w:tr>
      <w:tr>
        <w:trPr>
          <w:trHeight w:val="22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proceeds from common stock issuance</w:t>
            </w:r>
          </w:p>
        </w:tc>
        <w:tc>
          <w:tcPr>
            <w:tcW w:w="260" w:type="dxa"/>
            <w:vAlign w:val="bottom"/>
          </w:tcPr>
          <w:p>
            <w:pPr>
              <w:spacing w:after="0"/>
              <w:rPr>
                <w:sz w:val="19"/>
                <w:szCs w:val="19"/>
                <w:color w:val="auto"/>
              </w:rPr>
            </w:pPr>
          </w:p>
        </w:tc>
        <w:tc>
          <w:tcPr>
            <w:tcW w:w="116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Repurchase of common shares in conjunction with equity award plans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(8,776 )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(7,653 )</w:t>
            </w: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Common shares repurchased through share repurchase program</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(200,066 )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(20,006 )</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sale of treasury stock</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6,533</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w:t>
            </w:r>
          </w:p>
        </w:tc>
        <w:tc>
          <w:tcPr>
            <w:tcW w:w="100" w:type="dxa"/>
            <w:vAlign w:val="bottom"/>
          </w:tcPr>
          <w:p>
            <w:pPr>
              <w:spacing w:after="0"/>
              <w:rPr>
                <w:sz w:val="19"/>
                <w:szCs w:val="19"/>
                <w:color w:val="auto"/>
              </w:rPr>
            </w:pP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Distributions to and redemptions of non-controlling interests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(9,435 )</w:t>
            </w:r>
          </w:p>
        </w:tc>
        <w:tc>
          <w:tcPr>
            <w:tcW w:w="1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Distributions to exchangeable operating partnership unit holders</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(2,215 )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(1,666 )</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Dividends paid to common shareholders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(368,999 )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(332,627 )</w:t>
            </w: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Dividends paid to preferred shareholders</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(10,239 )</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Repayment of fixed rate unsecured notes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(250,000 )</w:t>
            </w: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issuance of fixed rate unsecured notes, net of debt discount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722,860</w:t>
            </w:r>
          </w:p>
        </w:tc>
        <w:tc>
          <w:tcPr>
            <w:tcW w:w="240" w:type="dxa"/>
            <w:vAlign w:val="bottom"/>
          </w:tcPr>
          <w:p>
            <w:pPr>
              <w:spacing w:after="0"/>
              <w:rPr>
                <w:sz w:val="19"/>
                <w:szCs w:val="19"/>
                <w:color w:val="auto"/>
              </w:rPr>
            </w:pP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unsecured credit facilities</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527,419</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442,000</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Repayment of unsecured credit facilities</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(649,419 )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(365,000 )</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notes payable</w:t>
            </w: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2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46,500</w:t>
            </w:r>
          </w:p>
        </w:tc>
        <w:tc>
          <w:tcPr>
            <w:tcW w:w="100" w:type="dxa"/>
            <w:vAlign w:val="bottom"/>
            <w:shd w:val="clear" w:color="auto" w:fill="CFF0FC"/>
          </w:tcPr>
          <w:p>
            <w:pPr>
              <w:spacing w:after="0"/>
              <w:rPr>
                <w:sz w:val="20"/>
                <w:szCs w:val="20"/>
                <w:color w:val="auto"/>
              </w:rPr>
            </w:pPr>
          </w:p>
        </w:tc>
      </w:tr>
      <w:tr>
        <w:trPr>
          <w:trHeight w:val="220"/>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Repayment of notes payable</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(110,862 )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(60,257 )</w:t>
            </w:r>
          </w:p>
        </w:tc>
      </w:tr>
      <w:tr>
        <w:trPr>
          <w:trHeight w:val="239"/>
        </w:trPr>
        <w:tc>
          <w:tcPr>
            <w:tcW w:w="74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Scheduled principal payments</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(8,716 )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(7,977 )</w:t>
            </w:r>
          </w:p>
        </w:tc>
      </w:tr>
      <w:tr>
        <w:trPr>
          <w:trHeight w:val="223"/>
        </w:trPr>
        <w:tc>
          <w:tcPr>
            <w:tcW w:w="74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Payment of financing costs</w:t>
            </w:r>
          </w:p>
        </w:tc>
        <w:tc>
          <w:tcPr>
            <w:tcW w:w="260" w:type="dxa"/>
            <w:vAlign w:val="bottom"/>
          </w:tcPr>
          <w:p>
            <w:pPr>
              <w:spacing w:after="0"/>
              <w:rPr>
                <w:sz w:val="19"/>
                <w:szCs w:val="19"/>
                <w:color w:val="auto"/>
              </w:rPr>
            </w:pPr>
          </w:p>
        </w:tc>
        <w:tc>
          <w:tcPr>
            <w:tcW w:w="11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(16,560 )</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(411 )</w:t>
            </w:r>
          </w:p>
        </w:tc>
      </w:tr>
      <w:tr>
        <w:trPr>
          <w:trHeight w:val="223"/>
        </w:trPr>
        <w:tc>
          <w:tcPr>
            <w:tcW w:w="7400" w:type="dxa"/>
            <w:vAlign w:val="bottom"/>
            <w:tcBorders>
              <w:top w:val="single" w:sz="8" w:color="CFF0FC"/>
              <w:bottom w:val="single" w:sz="8" w:color="CFF0FC"/>
            </w:tcBorders>
            <w:shd w:val="clear" w:color="auto" w:fill="CFF0FC"/>
          </w:tcPr>
          <w:p>
            <w:pPr>
              <w:ind w:left="7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(366,265</w:t>
            </w:r>
          </w:p>
        </w:tc>
        <w:tc>
          <w:tcPr>
            <w:tcW w:w="240" w:type="dxa"/>
            <w:vAlign w:val="bottom"/>
            <w:tcBorders>
              <w:top w:val="single" w:sz="8" w:color="CFF0FC"/>
              <w:bottom w:val="single" w:sz="8" w:color="CFF0FC"/>
            </w:tcBorders>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(303,864</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0"/>
        </w:trPr>
        <w:tc>
          <w:tcPr>
            <w:tcW w:w="74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Net increase in cash and cash equivalents and restricted cash</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23,477</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12,294</w:t>
            </w:r>
          </w:p>
        </w:tc>
        <w:tc>
          <w:tcPr>
            <w:tcW w:w="100" w:type="dxa"/>
            <w:vAlign w:val="bottom"/>
          </w:tcPr>
          <w:p>
            <w:pPr>
              <w:spacing w:after="0"/>
              <w:rPr>
                <w:sz w:val="19"/>
                <w:szCs w:val="19"/>
                <w:color w:val="auto"/>
              </w:rPr>
            </w:pPr>
          </w:p>
        </w:tc>
      </w:tr>
      <w:tr>
        <w:trPr>
          <w:trHeight w:val="233"/>
        </w:trPr>
        <w:tc>
          <w:tcPr>
            <w:tcW w:w="7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the period</w:t>
            </w:r>
          </w:p>
        </w:tc>
        <w:tc>
          <w:tcPr>
            <w:tcW w:w="26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91,354</w:t>
            </w:r>
          </w:p>
        </w:tc>
        <w:tc>
          <w:tcPr>
            <w:tcW w:w="24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68,776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40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the period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114,831</w:t>
            </w:r>
          </w:p>
        </w:tc>
        <w:tc>
          <w:tcPr>
            <w:tcW w:w="24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81,070</w:t>
            </w:r>
          </w:p>
        </w:tc>
        <w:tc>
          <w:tcPr>
            <w:tcW w:w="10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-5476875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-5476875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-3419475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-3419475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-646430</wp:posOffset>
            </wp:positionV>
            <wp:extent cx="93980" cy="1879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-646430</wp:posOffset>
            </wp:positionV>
            <wp:extent cx="85725" cy="1879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5725" cy="18796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-179705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-179705</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financial statements.</w:t>
      </w:r>
    </w:p>
    <w:p>
      <w:pPr>
        <w:spacing w:after="0" w:line="23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680"/>
          </w:cols>
          <w:pgMar w:left="320" w:top="981" w:right="899" w:bottom="177"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179070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 and 2023</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1"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7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2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9"/>
        </w:trPr>
        <w:tc>
          <w:tcPr>
            <w:tcW w:w="74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2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interest (net of capitalized interest of $4,812 and $4,026 in 2024 and 2023, respectively)</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137,367</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116,686</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7,114</w:t>
            </w: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728</w:t>
            </w:r>
          </w:p>
        </w:tc>
        <w:tc>
          <w:tcPr>
            <w:tcW w:w="0" w:type="dxa"/>
            <w:vAlign w:val="bottom"/>
          </w:tcPr>
          <w:p>
            <w:pPr>
              <w:spacing w:after="0"/>
              <w:rPr>
                <w:sz w:val="1"/>
                <w:szCs w:val="1"/>
                <w:color w:val="auto"/>
              </w:rPr>
            </w:pPr>
          </w:p>
        </w:tc>
      </w:tr>
      <w:tr>
        <w:trPr>
          <w:trHeight w:val="207"/>
        </w:trPr>
        <w:tc>
          <w:tcPr>
            <w:tcW w:w="7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Supplemental disclosure of non-cash transactions:</w:t>
            </w: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Common and Preferred stock, and exchangeable operating partnership dividends declared</w:t>
            </w:r>
          </w:p>
        </w:tc>
        <w:tc>
          <w:tcPr>
            <w:tcW w:w="260" w:type="dxa"/>
            <w:vAlign w:val="bottom"/>
            <w:vMerge w:val="restart"/>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126,085</w:t>
            </w:r>
          </w:p>
        </w:tc>
        <w:tc>
          <w:tcPr>
            <w:tcW w:w="140" w:type="dxa"/>
            <w:vAlign w:val="bottom"/>
            <w:vMerge w:val="restart"/>
            <w:shd w:val="clear" w:color="auto" w:fill="CFF0FC"/>
          </w:tcPr>
          <w:p>
            <w:pPr>
              <w:spacing w:after="0"/>
              <w:rPr>
                <w:sz w:val="18"/>
                <w:szCs w:val="18"/>
                <w:color w:val="auto"/>
              </w:rPr>
            </w:pPr>
          </w:p>
        </w:tc>
        <w:tc>
          <w:tcPr>
            <w:tcW w:w="128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122,946</w:t>
            </w:r>
          </w:p>
        </w:tc>
        <w:tc>
          <w:tcPr>
            <w:tcW w:w="0" w:type="dxa"/>
            <w:vAlign w:val="bottom"/>
          </w:tcPr>
          <w:p>
            <w:pPr>
              <w:spacing w:after="0"/>
              <w:rPr>
                <w:sz w:val="1"/>
                <w:szCs w:val="1"/>
                <w:color w:val="auto"/>
              </w:rPr>
            </w:pPr>
          </w:p>
        </w:tc>
      </w:tr>
      <w:tr>
        <w:trPr>
          <w:trHeight w:val="229"/>
        </w:trPr>
        <w:tc>
          <w:tcPr>
            <w:tcW w:w="7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but not paid</w:t>
            </w:r>
          </w:p>
        </w:tc>
        <w:tc>
          <w:tcPr>
            <w:tcW w:w="260" w:type="dxa"/>
            <w:vAlign w:val="bottom"/>
            <w:tcBorders>
              <w:bottom w:val="single" w:sz="8" w:color="auto"/>
            </w:tcBorders>
            <w:vMerge w:val="continue"/>
            <w:shd w:val="clear" w:color="auto" w:fill="CFF0FC"/>
          </w:tcPr>
          <w:p>
            <w:pPr>
              <w:spacing w:after="0"/>
              <w:rPr>
                <w:sz w:val="19"/>
                <w:szCs w:val="19"/>
                <w:color w:val="auto"/>
              </w:rPr>
            </w:pPr>
          </w:p>
        </w:tc>
        <w:tc>
          <w:tcPr>
            <w:tcW w:w="102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vMerge w:val="continue"/>
            <w:shd w:val="clear" w:color="auto" w:fill="CFF0FC"/>
          </w:tcPr>
          <w:p>
            <w:pPr>
              <w:spacing w:after="0"/>
              <w:rPr>
                <w:sz w:val="19"/>
                <w:szCs w:val="19"/>
                <w:color w:val="auto"/>
              </w:rPr>
            </w:pPr>
          </w:p>
        </w:tc>
        <w:tc>
          <w:tcPr>
            <w:tcW w:w="128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Right of use assets obtained in exchange for new operating lease liabilities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1,271</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32,002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Sale of leased asset in exchange for net investment in sales-type lease</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2,846</w:t>
            </w: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8,510</w:t>
            </w:r>
          </w:p>
        </w:tc>
        <w:tc>
          <w:tcPr>
            <w:tcW w:w="0" w:type="dxa"/>
            <w:vAlign w:val="bottom"/>
          </w:tcPr>
          <w:p>
            <w:pPr>
              <w:spacing w:after="0"/>
              <w:rPr>
                <w:sz w:val="1"/>
                <w:szCs w:val="1"/>
                <w:color w:val="auto"/>
              </w:rPr>
            </w:pPr>
          </w:p>
        </w:tc>
      </w:tr>
      <w:tr>
        <w:trPr>
          <w:trHeight w:val="207"/>
        </w:trPr>
        <w:tc>
          <w:tcPr>
            <w:tcW w:w="74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UBP Acquisition:</w:t>
            </w: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740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Notes payable assumed in acquisition, at fair value</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23"/>
                <w:szCs w:val="23"/>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284,706</w:t>
            </w:r>
          </w:p>
        </w:tc>
        <w:tc>
          <w:tcPr>
            <w:tcW w:w="0" w:type="dxa"/>
            <w:vAlign w:val="bottom"/>
          </w:tcPr>
          <w:p>
            <w:pPr>
              <w:spacing w:after="0"/>
              <w:rPr>
                <w:sz w:val="1"/>
                <w:szCs w:val="1"/>
                <w:color w:val="auto"/>
              </w:rPr>
            </w:pPr>
          </w:p>
        </w:tc>
      </w:tr>
      <w:tr>
        <w:trPr>
          <w:trHeight w:val="210"/>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Non-controlling interest assumed in acquisition, at fair value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64,492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Common stock exchanged for UBP shares</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818,530</w:t>
            </w:r>
          </w:p>
        </w:tc>
        <w:tc>
          <w:tcPr>
            <w:tcW w:w="0" w:type="dxa"/>
            <w:vAlign w:val="bottom"/>
          </w:tcPr>
          <w:p>
            <w:pPr>
              <w:spacing w:after="0"/>
              <w:rPr>
                <w:sz w:val="1"/>
                <w:szCs w:val="1"/>
                <w:color w:val="auto"/>
              </w:rPr>
            </w:pPr>
          </w:p>
        </w:tc>
      </w:tr>
      <w:tr>
        <w:trPr>
          <w:trHeight w:val="210"/>
        </w:trPr>
        <w:tc>
          <w:tcPr>
            <w:tcW w:w="74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Preferred stock exchanged for UBP shares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225,000</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Common stock issued for partnership units exchanged</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735</w:t>
            </w:r>
          </w:p>
        </w:tc>
        <w:tc>
          <w:tcPr>
            <w:tcW w:w="14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10"/>
        </w:trPr>
        <w:tc>
          <w:tcPr>
            <w:tcW w:w="74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Reallocation of equity upon acquisition of non-controlling interest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8,694</w:t>
            </w:r>
          </w:p>
        </w:tc>
        <w:tc>
          <w:tcPr>
            <w:tcW w:w="140" w:type="dxa"/>
            <w:vAlign w:val="bottom"/>
            <w:tcBorders>
              <w:top w:val="single" w:sz="8" w:color="CFF0FC"/>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Exchangeable operating partnership units issued for acquisition of real estate</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20,000</w:t>
            </w:r>
          </w:p>
        </w:tc>
        <w:tc>
          <w:tcPr>
            <w:tcW w:w="0" w:type="dxa"/>
            <w:vAlign w:val="bottom"/>
          </w:tcPr>
          <w:p>
            <w:pPr>
              <w:spacing w:after="0"/>
              <w:rPr>
                <w:sz w:val="1"/>
                <w:szCs w:val="1"/>
                <w:color w:val="auto"/>
              </w:rPr>
            </w:pP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accrued capital expenditures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8,837</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20,967</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Common stock issued under dividend reinvestment plan</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494</w:t>
            </w:r>
          </w:p>
        </w:tc>
        <w:tc>
          <w:tcPr>
            <w:tcW w:w="1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capitalized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1,383</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Contributions to investments in real estate partnerships</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18,242</w:t>
            </w:r>
          </w:p>
        </w:tc>
        <w:tc>
          <w:tcPr>
            <w:tcW w:w="1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Contributions from limited partners in consolidated partnerships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7,891</w:t>
            </w:r>
          </w:p>
        </w:tc>
        <w:tc>
          <w:tcPr>
            <w:tcW w:w="140" w:type="dxa"/>
            <w:vAlign w:val="bottom"/>
          </w:tcPr>
          <w:p>
            <w:pPr>
              <w:spacing w:after="0"/>
              <w:rPr>
                <w:sz w:val="18"/>
                <w:szCs w:val="18"/>
                <w:color w:val="auto"/>
              </w:rPr>
            </w:pP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Common stock issued for dividend reinvestment in trust</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918</w:t>
            </w:r>
          </w:p>
        </w:tc>
        <w:tc>
          <w:tcPr>
            <w:tcW w:w="1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905</w:t>
            </w:r>
          </w:p>
        </w:tc>
        <w:tc>
          <w:tcPr>
            <w:tcW w:w="0" w:type="dxa"/>
            <w:vAlign w:val="bottom"/>
          </w:tcPr>
          <w:p>
            <w:pPr>
              <w:spacing w:after="0"/>
              <w:rPr>
                <w:sz w:val="1"/>
                <w:szCs w:val="1"/>
                <w:color w:val="auto"/>
              </w:rPr>
            </w:pP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Contribution of stock awards into trust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1,749</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1,961</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Distribution of stock held in trust</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476</w:t>
            </w:r>
          </w:p>
        </w:tc>
        <w:tc>
          <w:tcPr>
            <w:tcW w:w="1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2,245</w:t>
            </w:r>
          </w:p>
        </w:tc>
        <w:tc>
          <w:tcPr>
            <w:tcW w:w="0" w:type="dxa"/>
            <w:vAlign w:val="bottom"/>
          </w:tcPr>
          <w:p>
            <w:pPr>
              <w:spacing w:after="0"/>
              <w:rPr>
                <w:sz w:val="1"/>
                <w:szCs w:val="1"/>
                <w:color w:val="auto"/>
              </w:rPr>
            </w:pPr>
          </w:p>
        </w:tc>
      </w:tr>
      <w:tr>
        <w:trPr>
          <w:trHeight w:val="210"/>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securities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295</w:t>
            </w:r>
          </w:p>
        </w:tc>
        <w:tc>
          <w:tcPr>
            <w:tcW w:w="14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-3676650</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-3659505</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-3256915</wp:posOffset>
            </wp:positionV>
            <wp:extent cx="768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-3239770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-2914015</wp:posOffset>
            </wp:positionV>
            <wp:extent cx="768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-2896870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-2596515</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-2579370</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-2253615</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-2236470</wp:posOffset>
            </wp:positionV>
            <wp:extent cx="768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-1910715</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-1893570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-1567815</wp:posOffset>
            </wp:positionV>
            <wp:extent cx="768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-1550670</wp:posOffset>
            </wp:positionV>
            <wp:extent cx="768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-1224915</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-1207770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-882015</wp:posOffset>
            </wp:positionV>
            <wp:extent cx="768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-864870</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-539115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-521970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-196215</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-179070</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financial statements.</w:t>
      </w:r>
    </w:p>
    <w:p>
      <w:pPr>
        <w:spacing w:after="0" w:line="200" w:lineRule="exact"/>
        <w:rPr>
          <w:sz w:val="20"/>
          <w:szCs w:val="20"/>
          <w:color w:val="auto"/>
        </w:rPr>
      </w:pPr>
    </w:p>
    <w:p>
      <w:pPr>
        <w:spacing w:after="0" w:line="24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981" w:right="89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2024 and December 31,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unit data)</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6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line="175" w:lineRule="exact"/>
              <w:rPr>
                <w:sz w:val="20"/>
                <w:szCs w:val="20"/>
                <w:color w:val="auto"/>
              </w:rPr>
            </w:pPr>
            <w:r>
              <w:rPr>
                <w:rFonts w:ascii="Times New Roman" w:cs="Times New Roman" w:eastAsia="Times New Roman" w:hAnsi="Times New Roman"/>
                <w:sz w:val="16"/>
                <w:szCs w:val="16"/>
                <w:b w:val="1"/>
                <w:bCs w:val="1"/>
                <w:color w:val="auto"/>
                <w:w w:val="98"/>
              </w:rPr>
              <w:t>Assets</w:t>
            </w:r>
          </w:p>
        </w:tc>
        <w:tc>
          <w:tcPr>
            <w:tcW w:w="7860" w:type="dxa"/>
            <w:vAlign w:val="bottom"/>
            <w:tcBorders>
              <w:bottom w:val="single" w:sz="8" w:color="CFF0FC"/>
            </w:tcBorders>
            <w:gridSpan w:val="2"/>
            <w:shd w:val="clear" w:color="auto" w:fill="CFF0FC"/>
          </w:tcPr>
          <w:p>
            <w:pPr>
              <w:spacing w:after="0"/>
              <w:rPr>
                <w:sz w:val="18"/>
                <w:szCs w:val="18"/>
                <w:color w:val="auto"/>
              </w:rPr>
            </w:pPr>
          </w:p>
        </w:tc>
        <w:tc>
          <w:tcPr>
            <w:tcW w:w="160" w:type="dxa"/>
            <w:vAlign w:val="bottom"/>
            <w:tcBorders>
              <w:top w:val="single" w:sz="8" w:color="auto"/>
              <w:bottom w:val="single" w:sz="8" w:color="CFF0FC"/>
            </w:tcBorders>
            <w:shd w:val="clear" w:color="auto" w:fill="CFF0FC"/>
          </w:tcPr>
          <w:p>
            <w:pPr>
              <w:spacing w:after="0"/>
              <w:rPr>
                <w:sz w:val="18"/>
                <w:szCs w:val="18"/>
                <w:color w:val="auto"/>
              </w:rPr>
            </w:pPr>
          </w:p>
        </w:tc>
        <w:tc>
          <w:tcPr>
            <w:tcW w:w="1200" w:type="dxa"/>
            <w:vAlign w:val="bottom"/>
            <w:tcBorders>
              <w:top w:val="single" w:sz="8" w:color="auto"/>
              <w:bottom w:val="single" w:sz="8" w:color="CFF0FC"/>
            </w:tcBorders>
            <w:shd w:val="clear" w:color="auto" w:fill="CFF0FC"/>
          </w:tcPr>
          <w:p>
            <w:pPr>
              <w:jc w:val="right"/>
              <w:ind w:right="239"/>
              <w:spacing w:after="0" w:line="175" w:lineRule="exact"/>
              <w:rPr>
                <w:sz w:val="20"/>
                <w:szCs w:val="20"/>
                <w:color w:val="auto"/>
              </w:rPr>
            </w:pPr>
            <w:r>
              <w:rPr>
                <w:rFonts w:ascii="Times New Roman" w:cs="Times New Roman" w:eastAsia="Times New Roman" w:hAnsi="Times New Roman"/>
                <w:sz w:val="16"/>
                <w:szCs w:val="16"/>
                <w:b w:val="1"/>
                <w:bCs w:val="1"/>
                <w:color w:val="auto"/>
              </w:rPr>
              <w:t>(unaudited)</w:t>
            </w:r>
          </w:p>
        </w:tc>
        <w:tc>
          <w:tcPr>
            <w:tcW w:w="14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top w:val="single" w:sz="8" w:color="auto"/>
              <w:bottom w:val="single" w:sz="8" w:color="CFF0FC"/>
            </w:tcBorders>
            <w:shd w:val="clear" w:color="auto" w:fill="CFF0FC"/>
          </w:tcPr>
          <w:p>
            <w:pPr>
              <w:spacing w:after="0"/>
              <w:rPr>
                <w:sz w:val="18"/>
                <w:szCs w:val="18"/>
                <w:color w:val="auto"/>
              </w:rPr>
            </w:pPr>
          </w:p>
        </w:tc>
      </w:tr>
      <w:tr>
        <w:trPr>
          <w:trHeight w:val="220"/>
        </w:trPr>
        <w:tc>
          <w:tcPr>
            <w:tcW w:w="83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Net real estate investments: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9"/>
        </w:trPr>
        <w:tc>
          <w:tcPr>
            <w:tcW w:w="20" w:type="dxa"/>
            <w:vAlign w:val="bottom"/>
            <w:shd w:val="clear" w:color="auto" w:fill="CFF0FC"/>
          </w:tcPr>
          <w:p>
            <w:pPr>
              <w:spacing w:after="0"/>
              <w:rPr>
                <w:sz w:val="20"/>
                <w:szCs w:val="20"/>
                <w:color w:val="auto"/>
              </w:rPr>
            </w:pPr>
          </w:p>
        </w:tc>
        <w:tc>
          <w:tcPr>
            <w:tcW w:w="8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Real estate assets, at cost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13,620,602</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13,454,391</w:t>
            </w:r>
          </w:p>
        </w:tc>
      </w:tr>
      <w:tr>
        <w:trPr>
          <w:trHeight w:val="223"/>
        </w:trPr>
        <w:tc>
          <w:tcPr>
            <w:tcW w:w="20" w:type="dxa"/>
            <w:vAlign w:val="bottom"/>
          </w:tcPr>
          <w:p>
            <w:pPr>
              <w:spacing w:after="0"/>
              <w:rPr>
                <w:sz w:val="19"/>
                <w:szCs w:val="19"/>
                <w:color w:val="auto"/>
              </w:rPr>
            </w:pPr>
          </w:p>
        </w:tc>
        <w:tc>
          <w:tcPr>
            <w:tcW w:w="83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2,894,010</w:t>
            </w:r>
          </w:p>
        </w:tc>
        <w:tc>
          <w:tcPr>
            <w:tcW w:w="140" w:type="dxa"/>
            <w:vAlign w:val="bottom"/>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2,691,386</w:t>
            </w:r>
          </w:p>
        </w:tc>
      </w:tr>
      <w:tr>
        <w:trPr>
          <w:trHeight w:val="229"/>
        </w:trPr>
        <w:tc>
          <w:tcPr>
            <w:tcW w:w="20" w:type="dxa"/>
            <w:vAlign w:val="bottom"/>
            <w:shd w:val="clear" w:color="auto" w:fill="CFF0FC"/>
          </w:tcPr>
          <w:p>
            <w:pPr>
              <w:spacing w:after="0"/>
              <w:rPr>
                <w:sz w:val="19"/>
                <w:szCs w:val="19"/>
                <w:color w:val="auto"/>
              </w:rPr>
            </w:pPr>
          </w:p>
        </w:tc>
        <w:tc>
          <w:tcPr>
            <w:tcW w:w="8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Real estate assets, net</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10,726,592</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10,763,005</w:t>
            </w:r>
          </w:p>
        </w:tc>
      </w:tr>
      <w:tr>
        <w:trPr>
          <w:trHeight w:val="220"/>
        </w:trPr>
        <w:tc>
          <w:tcPr>
            <w:tcW w:w="20" w:type="dxa"/>
            <w:vAlign w:val="bottom"/>
          </w:tcPr>
          <w:p>
            <w:pPr>
              <w:spacing w:after="0"/>
              <w:rPr>
                <w:sz w:val="19"/>
                <w:szCs w:val="19"/>
                <w:color w:val="auto"/>
              </w:rPr>
            </w:pPr>
          </w:p>
        </w:tc>
        <w:tc>
          <w:tcPr>
            <w:tcW w:w="83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Investments in sales-type lease, net</w:t>
            </w:r>
          </w:p>
        </w:tc>
        <w:tc>
          <w:tcPr>
            <w:tcW w:w="1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16,056</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8,705</w:t>
            </w:r>
          </w:p>
        </w:tc>
      </w:tr>
      <w:tr>
        <w:trPr>
          <w:trHeight w:val="233"/>
        </w:trPr>
        <w:tc>
          <w:tcPr>
            <w:tcW w:w="20" w:type="dxa"/>
            <w:vAlign w:val="bottom"/>
            <w:tcBorders>
              <w:bottom w:val="single" w:sz="8" w:color="CFF0FC"/>
            </w:tcBorders>
            <w:shd w:val="clear" w:color="auto" w:fill="CFF0FC"/>
          </w:tcPr>
          <w:p>
            <w:pPr>
              <w:spacing w:after="0"/>
              <w:rPr>
                <w:sz w:val="20"/>
                <w:szCs w:val="20"/>
                <w:color w:val="auto"/>
              </w:rPr>
            </w:pPr>
          </w:p>
        </w:tc>
        <w:tc>
          <w:tcPr>
            <w:tcW w:w="8300" w:type="dxa"/>
            <w:vAlign w:val="bottom"/>
            <w:tcBorders>
              <w:bottom w:val="single" w:sz="8" w:color="CFF0FC"/>
            </w:tcBorders>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Investments in real estate partnerships</w:t>
            </w:r>
          </w:p>
        </w:tc>
        <w:tc>
          <w:tcPr>
            <w:tcW w:w="1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387,413</w:t>
            </w:r>
          </w:p>
        </w:tc>
        <w:tc>
          <w:tcPr>
            <w:tcW w:w="1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370,605</w:t>
            </w:r>
          </w:p>
        </w:tc>
      </w:tr>
      <w:tr>
        <w:trPr>
          <w:trHeight w:val="220"/>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Net real estate investments</w:t>
            </w:r>
          </w:p>
        </w:tc>
        <w:tc>
          <w:tcPr>
            <w:tcW w:w="1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11,130,061</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11,142,315</w:t>
            </w:r>
          </w:p>
        </w:tc>
      </w:tr>
      <w:tr>
        <w:trPr>
          <w:trHeight w:val="239"/>
        </w:trPr>
        <w:tc>
          <w:tcPr>
            <w:tcW w:w="83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Properties held for sale, net</w:t>
            </w: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18,878</w:t>
            </w:r>
          </w:p>
        </w:tc>
      </w:tr>
      <w:tr>
        <w:trPr>
          <w:trHeight w:val="202"/>
        </w:trPr>
        <w:tc>
          <w:tcPr>
            <w:tcW w:w="83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including $4,822 and $6,383 of restricted cash at September 30, 2024 and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0"/>
        </w:trPr>
        <w:tc>
          <w:tcPr>
            <w:tcW w:w="83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1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114,831</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91,354</w:t>
            </w:r>
          </w:p>
        </w:tc>
      </w:tr>
      <w:tr>
        <w:trPr>
          <w:trHeight w:val="239"/>
        </w:trPr>
        <w:tc>
          <w:tcPr>
            <w:tcW w:w="83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Tenant and other receivables, net</w:t>
            </w: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240,114</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206,162</w:t>
            </w:r>
          </w:p>
        </w:tc>
      </w:tr>
      <w:tr>
        <w:trPr>
          <w:trHeight w:val="202"/>
        </w:trPr>
        <w:tc>
          <w:tcPr>
            <w:tcW w:w="83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Deferred leasing costs, less accumulated amortization of $128,881 and $124,107 at September 30, 2024 and December 31,</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0"/>
        </w:trPr>
        <w:tc>
          <w:tcPr>
            <w:tcW w:w="83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2023, respectively</w:t>
            </w:r>
          </w:p>
        </w:tc>
        <w:tc>
          <w:tcPr>
            <w:tcW w:w="1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78,206</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73,398</w:t>
            </w:r>
          </w:p>
        </w:tc>
      </w:tr>
      <w:tr>
        <w:trPr>
          <w:trHeight w:val="212"/>
        </w:trPr>
        <w:tc>
          <w:tcPr>
            <w:tcW w:w="83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Acquired lease intangible assets, less accumulated amortization of $384,600 and $364,413 at September 30, 2024 and</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30"/>
        </w:trPr>
        <w:tc>
          <w:tcPr>
            <w:tcW w:w="83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242,529</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283,375</w:t>
            </w:r>
          </w:p>
        </w:tc>
      </w:tr>
      <w:tr>
        <w:trPr>
          <w:trHeight w:val="220"/>
        </w:trPr>
        <w:tc>
          <w:tcPr>
            <w:tcW w:w="83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Right of use assets, net</w:t>
            </w:r>
          </w:p>
        </w:tc>
        <w:tc>
          <w:tcPr>
            <w:tcW w:w="1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323,660</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328,002</w:t>
            </w:r>
          </w:p>
        </w:tc>
      </w:tr>
      <w:tr>
        <w:trPr>
          <w:trHeight w:val="233"/>
        </w:trPr>
        <w:tc>
          <w:tcPr>
            <w:tcW w:w="832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297,178</w:t>
            </w:r>
          </w:p>
        </w:tc>
        <w:tc>
          <w:tcPr>
            <w:tcW w:w="14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283,429</w:t>
            </w: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6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12,426,579</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12,426,913</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0" w:type="dxa"/>
            <w:vAlign w:val="bottom"/>
            <w:shd w:val="clear" w:color="auto" w:fill="CFF0FC"/>
          </w:tcPr>
          <w:p>
            <w:pPr>
              <w:spacing w:after="0"/>
              <w:rPr>
                <w:sz w:val="17"/>
                <w:szCs w:val="17"/>
                <w:color w:val="auto"/>
              </w:rPr>
            </w:pPr>
          </w:p>
        </w:tc>
        <w:tc>
          <w:tcPr>
            <w:tcW w:w="8300" w:type="dxa"/>
            <w:vAlign w:val="bottom"/>
            <w:gridSpan w:val="3"/>
            <w:shd w:val="clear" w:color="auto" w:fill="CFF0FC"/>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Liabilities and Capital</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20"/>
        </w:trPr>
        <w:tc>
          <w:tcPr>
            <w:tcW w:w="20" w:type="dxa"/>
            <w:vAlign w:val="bottom"/>
            <w:tcBorders>
              <w:top w:val="single" w:sz="8" w:color="CFF0FC"/>
            </w:tcBorders>
          </w:tcPr>
          <w:p>
            <w:pPr>
              <w:spacing w:after="0"/>
              <w:rPr>
                <w:sz w:val="19"/>
                <w:szCs w:val="19"/>
                <w:color w:val="auto"/>
              </w:rPr>
            </w:pPr>
          </w:p>
        </w:tc>
        <w:tc>
          <w:tcPr>
            <w:tcW w:w="15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Liabilities:</w:t>
            </w:r>
          </w:p>
        </w:tc>
        <w:tc>
          <w:tcPr>
            <w:tcW w:w="676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200" w:type="dxa"/>
            <w:vAlign w:val="bottom"/>
            <w:tcBorders>
              <w:top w:val="single" w:sz="8" w:color="CFF0FC"/>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420" w:type="dxa"/>
            <w:vAlign w:val="bottom"/>
            <w:tcBorders>
              <w:top w:val="single" w:sz="8" w:color="CFF0FC"/>
            </w:tcBorders>
          </w:tcPr>
          <w:p>
            <w:pPr>
              <w:spacing w:after="0"/>
              <w:rPr>
                <w:sz w:val="19"/>
                <w:szCs w:val="19"/>
                <w:color w:val="auto"/>
              </w:rPr>
            </w:pPr>
          </w:p>
        </w:tc>
      </w:tr>
      <w:tr>
        <w:trPr>
          <w:trHeight w:val="239"/>
        </w:trPr>
        <w:tc>
          <w:tcPr>
            <w:tcW w:w="20" w:type="dxa"/>
            <w:vAlign w:val="bottom"/>
            <w:shd w:val="clear" w:color="auto" w:fill="CFF0FC"/>
          </w:tcPr>
          <w:p>
            <w:pPr>
              <w:spacing w:after="0"/>
              <w:rPr>
                <w:sz w:val="20"/>
                <w:szCs w:val="20"/>
                <w:color w:val="auto"/>
              </w:rPr>
            </w:pPr>
          </w:p>
        </w:tc>
        <w:tc>
          <w:tcPr>
            <w:tcW w:w="8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Notes payable, net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4,365,007</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4,001,949</w:t>
            </w:r>
          </w:p>
        </w:tc>
      </w:tr>
      <w:tr>
        <w:trPr>
          <w:trHeight w:val="220"/>
        </w:trPr>
        <w:tc>
          <w:tcPr>
            <w:tcW w:w="20" w:type="dxa"/>
            <w:vAlign w:val="bottom"/>
          </w:tcPr>
          <w:p>
            <w:pPr>
              <w:spacing w:after="0"/>
              <w:rPr>
                <w:sz w:val="19"/>
                <w:szCs w:val="19"/>
                <w:color w:val="auto"/>
              </w:rPr>
            </w:pPr>
          </w:p>
        </w:tc>
        <w:tc>
          <w:tcPr>
            <w:tcW w:w="83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Unsecured credit facility</w:t>
            </w:r>
          </w:p>
        </w:tc>
        <w:tc>
          <w:tcPr>
            <w:tcW w:w="1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30,000</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152,000</w:t>
            </w:r>
          </w:p>
        </w:tc>
      </w:tr>
      <w:tr>
        <w:trPr>
          <w:trHeight w:val="239"/>
        </w:trPr>
        <w:tc>
          <w:tcPr>
            <w:tcW w:w="20" w:type="dxa"/>
            <w:vAlign w:val="bottom"/>
            <w:shd w:val="clear" w:color="auto" w:fill="CFF0FC"/>
          </w:tcPr>
          <w:p>
            <w:pPr>
              <w:spacing w:after="0"/>
              <w:rPr>
                <w:sz w:val="20"/>
                <w:szCs w:val="20"/>
                <w:color w:val="auto"/>
              </w:rPr>
            </w:pPr>
          </w:p>
        </w:tc>
        <w:tc>
          <w:tcPr>
            <w:tcW w:w="8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389,055</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358,612</w:t>
            </w:r>
          </w:p>
        </w:tc>
      </w:tr>
      <w:tr>
        <w:trPr>
          <w:trHeight w:val="202"/>
        </w:trPr>
        <w:tc>
          <w:tcPr>
            <w:tcW w:w="20" w:type="dxa"/>
            <w:vAlign w:val="bottom"/>
          </w:tcPr>
          <w:p>
            <w:pPr>
              <w:spacing w:after="0"/>
              <w:rPr>
                <w:sz w:val="17"/>
                <w:szCs w:val="17"/>
                <w:color w:val="auto"/>
              </w:rPr>
            </w:pPr>
          </w:p>
        </w:tc>
        <w:tc>
          <w:tcPr>
            <w:tcW w:w="83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Acquired lease intangible liabilities, less accumulated amortization of $214,684 and $211,067 at September 30, 2024 and</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3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1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372,627</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398,302</w:t>
            </w:r>
          </w:p>
        </w:tc>
      </w:tr>
      <w:tr>
        <w:trPr>
          <w:trHeight w:val="239"/>
        </w:trPr>
        <w:tc>
          <w:tcPr>
            <w:tcW w:w="20" w:type="dxa"/>
            <w:vAlign w:val="bottom"/>
            <w:shd w:val="clear" w:color="auto" w:fill="CFF0FC"/>
          </w:tcPr>
          <w:p>
            <w:pPr>
              <w:spacing w:after="0"/>
              <w:rPr>
                <w:sz w:val="20"/>
                <w:szCs w:val="20"/>
                <w:color w:val="auto"/>
              </w:rPr>
            </w:pPr>
          </w:p>
        </w:tc>
        <w:tc>
          <w:tcPr>
            <w:tcW w:w="83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Lease liabilities</w:t>
            </w: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245,107</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246,063</w:t>
            </w:r>
          </w:p>
        </w:tc>
      </w:tr>
      <w:tr>
        <w:trPr>
          <w:trHeight w:val="223"/>
        </w:trPr>
        <w:tc>
          <w:tcPr>
            <w:tcW w:w="20" w:type="dxa"/>
            <w:vAlign w:val="bottom"/>
          </w:tcPr>
          <w:p>
            <w:pPr>
              <w:spacing w:after="0"/>
              <w:rPr>
                <w:sz w:val="19"/>
                <w:szCs w:val="19"/>
                <w:color w:val="auto"/>
              </w:rPr>
            </w:pPr>
          </w:p>
        </w:tc>
        <w:tc>
          <w:tcPr>
            <w:tcW w:w="83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Tenants' security, escrow deposits and prepaid rent</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80,586</w:t>
            </w:r>
          </w:p>
        </w:tc>
        <w:tc>
          <w:tcPr>
            <w:tcW w:w="140" w:type="dxa"/>
            <w:vAlign w:val="bottom"/>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78,052</w:t>
            </w:r>
          </w:p>
        </w:tc>
      </w:tr>
      <w:tr>
        <w:trPr>
          <w:trHeight w:val="223"/>
        </w:trPr>
        <w:tc>
          <w:tcPr>
            <w:tcW w:w="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5,482,382</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5,234,978</w:t>
            </w:r>
          </w:p>
        </w:tc>
      </w:tr>
      <w:tr>
        <w:trPr>
          <w:trHeight w:val="220"/>
        </w:trPr>
        <w:tc>
          <w:tcPr>
            <w:tcW w:w="8320" w:type="dxa"/>
            <w:vAlign w:val="bottom"/>
            <w:tcBorders>
              <w:top w:val="single" w:sz="8" w:color="CFF0FC"/>
            </w:tcBorders>
            <w:gridSpan w:val="4"/>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9"/>
                <w:szCs w:val="19"/>
                <w:color w:val="auto"/>
              </w:rPr>
            </w:pP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832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w:t>
            </w:r>
          </w:p>
        </w:tc>
        <w:tc>
          <w:tcPr>
            <w:tcW w:w="1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20"/>
        </w:trPr>
        <w:tc>
          <w:tcPr>
            <w:tcW w:w="20" w:type="dxa"/>
            <w:vAlign w:val="bottom"/>
          </w:tcPr>
          <w:p>
            <w:pPr>
              <w:spacing w:after="0"/>
              <w:rPr>
                <w:sz w:val="19"/>
                <w:szCs w:val="19"/>
                <w:color w:val="auto"/>
              </w:rPr>
            </w:pPr>
          </w:p>
        </w:tc>
        <w:tc>
          <w:tcPr>
            <w:tcW w:w="83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Partners' capital:</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2"/>
        </w:trPr>
        <w:tc>
          <w:tcPr>
            <w:tcW w:w="20" w:type="dxa"/>
            <w:vAlign w:val="bottom"/>
            <w:shd w:val="clear" w:color="auto" w:fill="CFF0FC"/>
          </w:tcPr>
          <w:p>
            <w:pPr>
              <w:spacing w:after="0"/>
              <w:rPr>
                <w:sz w:val="18"/>
                <w:szCs w:val="18"/>
                <w:color w:val="auto"/>
              </w:rPr>
            </w:pPr>
          </w:p>
        </w:tc>
        <w:tc>
          <w:tcPr>
            <w:tcW w:w="8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Preferred units $0.01 par value per unit, 30,000,000 units authorized; 9,000,000 units issued and outstanding, in the</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03"/>
        </w:trPr>
        <w:tc>
          <w:tcPr>
            <w:tcW w:w="20" w:type="dxa"/>
            <w:vAlign w:val="bottom"/>
            <w:shd w:val="clear" w:color="auto" w:fill="CFF0FC"/>
          </w:tcPr>
          <w:p>
            <w:pPr>
              <w:spacing w:after="0"/>
              <w:rPr>
                <w:sz w:val="17"/>
                <w:szCs w:val="17"/>
                <w:color w:val="auto"/>
              </w:rPr>
            </w:pPr>
          </w:p>
        </w:tc>
        <w:tc>
          <w:tcPr>
            <w:tcW w:w="8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aggregate, in Series A and Series B at September 30, 2024 and December 31, 2023 with liquidation preference of</w:t>
            </w:r>
          </w:p>
        </w:tc>
        <w:tc>
          <w:tcPr>
            <w:tcW w:w="1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30"/>
        </w:trPr>
        <w:tc>
          <w:tcPr>
            <w:tcW w:w="20" w:type="dxa"/>
            <w:vAlign w:val="bottom"/>
            <w:shd w:val="clear" w:color="auto" w:fill="CFF0FC"/>
          </w:tcPr>
          <w:p>
            <w:pPr>
              <w:spacing w:after="0"/>
              <w:rPr>
                <w:sz w:val="19"/>
                <w:szCs w:val="19"/>
                <w:color w:val="auto"/>
              </w:rPr>
            </w:pPr>
          </w:p>
        </w:tc>
        <w:tc>
          <w:tcPr>
            <w:tcW w:w="8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$25 per unit</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225,000</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225,000</w:t>
            </w:r>
          </w:p>
        </w:tc>
      </w:tr>
      <w:tr>
        <w:trPr>
          <w:trHeight w:val="202"/>
        </w:trPr>
        <w:tc>
          <w:tcPr>
            <w:tcW w:w="20" w:type="dxa"/>
            <w:vAlign w:val="bottom"/>
          </w:tcPr>
          <w:p>
            <w:pPr>
              <w:spacing w:after="0"/>
              <w:rPr>
                <w:sz w:val="17"/>
                <w:szCs w:val="17"/>
                <w:color w:val="auto"/>
              </w:rPr>
            </w:pPr>
          </w:p>
        </w:tc>
        <w:tc>
          <w:tcPr>
            <w:tcW w:w="83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General partner's common units, 181,502,569 and 184,581,070 units issued and outstanding at September 30, 2024</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83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and December 31, 2023, respectively</w:t>
            </w:r>
          </w:p>
        </w:tc>
        <w:tc>
          <w:tcPr>
            <w:tcW w:w="16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6,547,840</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6,808,995</w:t>
            </w:r>
          </w:p>
        </w:tc>
      </w:tr>
      <w:tr>
        <w:trPr>
          <w:trHeight w:val="212"/>
        </w:trPr>
        <w:tc>
          <w:tcPr>
            <w:tcW w:w="20" w:type="dxa"/>
            <w:vAlign w:val="bottom"/>
            <w:shd w:val="clear" w:color="auto" w:fill="CFF0FC"/>
          </w:tcPr>
          <w:p>
            <w:pPr>
              <w:spacing w:after="0"/>
              <w:rPr>
                <w:sz w:val="18"/>
                <w:szCs w:val="18"/>
                <w:color w:val="auto"/>
              </w:rPr>
            </w:pPr>
          </w:p>
        </w:tc>
        <w:tc>
          <w:tcPr>
            <w:tcW w:w="8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Limited partners' common units, 1,096,659 and 1,107,454 units issued and outstanding at September 30, 2024 and</w:t>
            </w: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r>
      <w:tr>
        <w:trPr>
          <w:trHeight w:val="230"/>
        </w:trPr>
        <w:tc>
          <w:tcPr>
            <w:tcW w:w="20" w:type="dxa"/>
            <w:vAlign w:val="bottom"/>
            <w:shd w:val="clear" w:color="auto" w:fill="CFF0FC"/>
          </w:tcPr>
          <w:p>
            <w:pPr>
              <w:spacing w:after="0"/>
              <w:rPr>
                <w:sz w:val="19"/>
                <w:szCs w:val="19"/>
                <w:color w:val="auto"/>
              </w:rPr>
            </w:pPr>
          </w:p>
        </w:tc>
        <w:tc>
          <w:tcPr>
            <w:tcW w:w="8300" w:type="dxa"/>
            <w:vAlign w:val="bottom"/>
            <w:gridSpan w:val="3"/>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December 31, 2023 respectively</w:t>
            </w:r>
          </w:p>
        </w:tc>
        <w:tc>
          <w:tcPr>
            <w:tcW w:w="16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40,890</w:t>
            </w:r>
          </w:p>
        </w:tc>
        <w:tc>
          <w:tcPr>
            <w:tcW w:w="15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42,195</w:t>
            </w:r>
          </w:p>
        </w:tc>
      </w:tr>
      <w:tr>
        <w:trPr>
          <w:trHeight w:val="223"/>
        </w:trPr>
        <w:tc>
          <w:tcPr>
            <w:tcW w:w="20" w:type="dxa"/>
            <w:vAlign w:val="bottom"/>
          </w:tcPr>
          <w:p>
            <w:pPr>
              <w:spacing w:after="0"/>
              <w:rPr>
                <w:sz w:val="19"/>
                <w:szCs w:val="19"/>
                <w:color w:val="auto"/>
              </w:rPr>
            </w:pPr>
          </w:p>
        </w:tc>
        <w:tc>
          <w:tcPr>
            <w:tcW w:w="83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(5,374 )</w:t>
            </w:r>
          </w:p>
        </w:tc>
        <w:tc>
          <w:tcPr>
            <w:tcW w:w="14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(1,308 )</w:t>
            </w: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78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partners' capital</w:t>
            </w: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6,808,356</w:t>
            </w: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7,074,882</w:t>
            </w:r>
          </w:p>
        </w:tc>
      </w:tr>
      <w:tr>
        <w:trPr>
          <w:trHeight w:val="223"/>
        </w:trPr>
        <w:tc>
          <w:tcPr>
            <w:tcW w:w="20" w:type="dxa"/>
            <w:vAlign w:val="bottom"/>
          </w:tcPr>
          <w:p>
            <w:pPr>
              <w:spacing w:after="0"/>
              <w:rPr>
                <w:sz w:val="19"/>
                <w:szCs w:val="19"/>
                <w:color w:val="auto"/>
              </w:rPr>
            </w:pPr>
          </w:p>
        </w:tc>
        <w:tc>
          <w:tcPr>
            <w:tcW w:w="830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auto"/>
              </w:rPr>
              <w:t>Noncontrolling interest: Limited partners' interests in consolidated partnerships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135,841</w:t>
            </w:r>
          </w:p>
        </w:tc>
        <w:tc>
          <w:tcPr>
            <w:tcW w:w="140" w:type="dxa"/>
            <w:vAlign w:val="bottom"/>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117,053</w:t>
            </w:r>
          </w:p>
        </w:tc>
      </w:tr>
      <w:tr>
        <w:trPr>
          <w:trHeight w:val="223"/>
        </w:trPr>
        <w:tc>
          <w:tcPr>
            <w:tcW w:w="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CFF0FC"/>
            </w:tcBorders>
            <w:shd w:val="clear" w:color="auto" w:fill="CFF0FC"/>
          </w:tcPr>
          <w:p>
            <w:pPr>
              <w:spacing w:after="0"/>
              <w:rPr>
                <w:sz w:val="19"/>
                <w:szCs w:val="19"/>
                <w:color w:val="auto"/>
              </w:rPr>
            </w:pPr>
          </w:p>
        </w:tc>
        <w:tc>
          <w:tcPr>
            <w:tcW w:w="7860" w:type="dxa"/>
            <w:vAlign w:val="bottom"/>
            <w:tcBorders>
              <w:bottom w:val="single" w:sz="8" w:color="CFF0FC"/>
            </w:tcBorders>
            <w:gridSpan w:val="2"/>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capital</w:t>
            </w: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6,944,197</w:t>
            </w:r>
          </w:p>
        </w:tc>
        <w:tc>
          <w:tcPr>
            <w:tcW w:w="140" w:type="dxa"/>
            <w:vAlign w:val="bottom"/>
            <w:tcBorders>
              <w:bottom w:val="single" w:sz="8" w:color="CFF0FC"/>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7,191,935</w:t>
            </w:r>
          </w:p>
        </w:tc>
      </w:tr>
      <w:tr>
        <w:trPr>
          <w:trHeight w:val="223"/>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6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 liabilities and capital</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12,426,579</w:t>
            </w:r>
          </w:p>
        </w:tc>
        <w:tc>
          <w:tcPr>
            <w:tcW w:w="15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12,426,913</w:t>
            </w: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-5374005</wp:posOffset>
            </wp:positionV>
            <wp:extent cx="8572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-3813810</wp:posOffset>
            </wp:positionV>
            <wp:extent cx="857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-2185035</wp:posOffset>
            </wp:positionV>
            <wp:extent cx="857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-488315</wp:posOffset>
            </wp:positionV>
            <wp:extent cx="857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-179705</wp:posOffset>
            </wp:positionV>
            <wp:extent cx="857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unit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8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25"/>
        </w:trPr>
        <w:tc>
          <w:tcPr>
            <w:tcW w:w="5940" w:type="dxa"/>
            <w:vAlign w:val="bottom"/>
          </w:tcPr>
          <w:p>
            <w:pPr>
              <w:spacing w:after="0"/>
              <w:rPr>
                <w:sz w:val="19"/>
                <w:szCs w:val="19"/>
                <w:color w:val="auto"/>
              </w:rPr>
            </w:pPr>
          </w:p>
        </w:tc>
        <w:tc>
          <w:tcPr>
            <w:tcW w:w="266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30,</w:t>
            </w:r>
          </w:p>
        </w:tc>
        <w:tc>
          <w:tcPr>
            <w:tcW w:w="1160" w:type="dxa"/>
            <w:vAlign w:val="bottom"/>
            <w:tcBorders>
              <w:bottom w:val="single" w:sz="8" w:color="auto"/>
            </w:tcBorders>
          </w:tcPr>
          <w:p>
            <w:pPr>
              <w:spacing w:after="0"/>
              <w:rPr>
                <w:sz w:val="19"/>
                <w:szCs w:val="19"/>
                <w:color w:val="auto"/>
              </w:rPr>
            </w:pPr>
          </w:p>
        </w:tc>
      </w:tr>
      <w:tr>
        <w:trPr>
          <w:trHeight w:val="223"/>
        </w:trPr>
        <w:tc>
          <w:tcPr>
            <w:tcW w:w="5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9"/>
                <w:szCs w:val="19"/>
                <w:color w:val="auto"/>
              </w:rPr>
            </w:pPr>
          </w:p>
        </w:tc>
        <w:tc>
          <w:tcPr>
            <w:tcW w:w="116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r>
      <w:tr>
        <w:trPr>
          <w:trHeight w:val="220"/>
        </w:trPr>
        <w:tc>
          <w:tcPr>
            <w:tcW w:w="5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Lease income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349,057</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320,921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1,050,008</w:t>
            </w:r>
          </w:p>
        </w:tc>
        <w:tc>
          <w:tcPr>
            <w:tcW w:w="16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934,180</w:t>
            </w:r>
          </w:p>
        </w:tc>
      </w:tr>
      <w:tr>
        <w:trPr>
          <w:trHeight w:val="239"/>
        </w:trPr>
        <w:tc>
          <w:tcPr>
            <w:tcW w:w="5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property income</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4,444</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2,638</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11,464</w:t>
            </w: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8,459</w:t>
            </w:r>
          </w:p>
        </w:tc>
      </w:tr>
      <w:tr>
        <w:trPr>
          <w:trHeight w:val="223"/>
        </w:trPr>
        <w:tc>
          <w:tcPr>
            <w:tcW w:w="5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Management, transaction, and other fees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6,765</w:t>
            </w:r>
          </w:p>
        </w:tc>
        <w:tc>
          <w:tcPr>
            <w:tcW w:w="180" w:type="dxa"/>
            <w:vAlign w:val="bottom"/>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7,079</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19,896</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20,223</w:t>
            </w:r>
          </w:p>
        </w:tc>
      </w:tr>
      <w:tr>
        <w:trPr>
          <w:trHeight w:val="223"/>
        </w:trPr>
        <w:tc>
          <w:tcPr>
            <w:tcW w:w="5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360,266</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330,638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1,081,368</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962,862</w:t>
            </w:r>
          </w:p>
        </w:tc>
      </w:tr>
      <w:tr>
        <w:trPr>
          <w:trHeight w:val="220"/>
        </w:trPr>
        <w:tc>
          <w:tcPr>
            <w:tcW w:w="59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39"/>
        </w:trPr>
        <w:tc>
          <w:tcPr>
            <w:tcW w:w="5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100,955</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87,505</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299,508</w:t>
            </w: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253,373</w:t>
            </w:r>
          </w:p>
        </w:tc>
      </w:tr>
      <w:tr>
        <w:trPr>
          <w:trHeight w:val="220"/>
        </w:trPr>
        <w:tc>
          <w:tcPr>
            <w:tcW w:w="5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Property operating expense</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60,477</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59,227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183,242</w:t>
            </w:r>
          </w:p>
        </w:tc>
        <w:tc>
          <w:tcPr>
            <w:tcW w:w="16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164,643</w:t>
            </w:r>
          </w:p>
        </w:tc>
      </w:tr>
      <w:tr>
        <w:trPr>
          <w:trHeight w:val="239"/>
        </w:trPr>
        <w:tc>
          <w:tcPr>
            <w:tcW w:w="5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Real estate taxes</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45,729</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40,171</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135,514</w:t>
            </w: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117,157</w:t>
            </w:r>
          </w:p>
        </w:tc>
      </w:tr>
      <w:tr>
        <w:trPr>
          <w:trHeight w:val="220"/>
        </w:trPr>
        <w:tc>
          <w:tcPr>
            <w:tcW w:w="5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25,073</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20,903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75,443</w:t>
            </w:r>
          </w:p>
        </w:tc>
        <w:tc>
          <w:tcPr>
            <w:tcW w:w="16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71,248</w:t>
            </w:r>
          </w:p>
        </w:tc>
      </w:tr>
      <w:tr>
        <w:trPr>
          <w:trHeight w:val="233"/>
        </w:trPr>
        <w:tc>
          <w:tcPr>
            <w:tcW w:w="5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3,654</w:t>
            </w:r>
          </w:p>
        </w:tc>
        <w:tc>
          <w:tcPr>
            <w:tcW w:w="18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3,533</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9,363</w:t>
            </w:r>
          </w:p>
        </w:tc>
        <w:tc>
          <w:tcPr>
            <w:tcW w:w="1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4,718</w:t>
            </w:r>
          </w:p>
        </w:tc>
      </w:tr>
      <w:tr>
        <w:trPr>
          <w:trHeight w:val="223"/>
        </w:trPr>
        <w:tc>
          <w:tcPr>
            <w:tcW w:w="5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235,888</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211,339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703,070</w:t>
            </w:r>
          </w:p>
        </w:tc>
        <w:tc>
          <w:tcPr>
            <w:tcW w:w="16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611,139</w:t>
            </w:r>
          </w:p>
        </w:tc>
      </w:tr>
      <w:tr>
        <w:trPr>
          <w:trHeight w:val="229"/>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expense, net:</w:t>
            </w: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r>
      <w:tr>
        <w:trPr>
          <w:trHeight w:val="220"/>
        </w:trPr>
        <w:tc>
          <w:tcPr>
            <w:tcW w:w="5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47,022</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38,807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133,068</w:t>
            </w:r>
          </w:p>
        </w:tc>
        <w:tc>
          <w:tcPr>
            <w:tcW w:w="16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112,156</w:t>
            </w:r>
          </w:p>
        </w:tc>
      </w:tr>
      <w:tr>
        <w:trPr>
          <w:trHeight w:val="239"/>
        </w:trPr>
        <w:tc>
          <w:tcPr>
            <w:tcW w:w="5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(11,360 )</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(33,844 )</w:t>
            </w: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(515 )</w:t>
            </w:r>
          </w:p>
        </w:tc>
      </w:tr>
      <w:tr>
        <w:trPr>
          <w:trHeight w:val="220"/>
        </w:trPr>
        <w:tc>
          <w:tcPr>
            <w:tcW w:w="5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260" w:type="dxa"/>
            <w:vAlign w:val="bottom"/>
          </w:tcPr>
          <w:p>
            <w:pPr>
              <w:spacing w:after="0"/>
              <w:rPr>
                <w:sz w:val="19"/>
                <w:szCs w:val="19"/>
                <w:color w:val="auto"/>
              </w:rPr>
            </w:pP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180</w:t>
            </w:r>
          </w:p>
        </w:tc>
        <w:tc>
          <w:tcPr>
            <w:tcW w:w="16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59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investment (income) loss</w:t>
            </w: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(1,372 )</w:t>
            </w:r>
          </w:p>
        </w:tc>
        <w:tc>
          <w:tcPr>
            <w:tcW w:w="18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1,020</w:t>
            </w:r>
          </w:p>
        </w:tc>
        <w:tc>
          <w:tcPr>
            <w:tcW w:w="1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(4,506 )</w:t>
            </w:r>
          </w:p>
        </w:tc>
        <w:tc>
          <w:tcPr>
            <w:tcW w:w="1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(2,449 )</w:t>
            </w:r>
          </w:p>
        </w:tc>
      </w:tr>
      <w:tr>
        <w:trPr>
          <w:trHeight w:val="223"/>
        </w:trPr>
        <w:tc>
          <w:tcPr>
            <w:tcW w:w="5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other expense, net</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34,290</w:t>
            </w:r>
          </w:p>
        </w:tc>
        <w:tc>
          <w:tcPr>
            <w:tcW w:w="180" w:type="dxa"/>
            <w:vAlign w:val="bottom"/>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39,643</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94,898</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109,192</w:t>
            </w:r>
          </w:p>
        </w:tc>
      </w:tr>
      <w:tr>
        <w:trPr>
          <w:trHeight w:val="230"/>
        </w:trPr>
        <w:tc>
          <w:tcPr>
            <w:tcW w:w="5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Income before equity in income of investments in real estate partnerships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90,088</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79,656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283,400</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242,531</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in income of investments in real estate partnerships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13,488</w:t>
            </w:r>
          </w:p>
        </w:tc>
        <w:tc>
          <w:tcPr>
            <w:tcW w:w="180" w:type="dxa"/>
            <w:vAlign w:val="bottom"/>
          </w:tcPr>
          <w:p>
            <w:pPr>
              <w:spacing w:after="0"/>
              <w:rPr>
                <w:sz w:val="19"/>
                <w:szCs w:val="19"/>
                <w:color w:val="auto"/>
              </w:rPr>
            </w:pP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12,517</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37,763</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36,302</w:t>
            </w:r>
          </w:p>
        </w:tc>
      </w:tr>
      <w:tr>
        <w:trPr>
          <w:trHeight w:val="223"/>
        </w:trPr>
        <w:tc>
          <w:tcPr>
            <w:tcW w:w="59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103,576</w:t>
            </w:r>
          </w:p>
        </w:tc>
        <w:tc>
          <w:tcPr>
            <w:tcW w:w="18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92,173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321,163</w:t>
            </w:r>
          </w:p>
        </w:tc>
        <w:tc>
          <w:tcPr>
            <w:tcW w:w="1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278,833</w:t>
            </w:r>
          </w:p>
        </w:tc>
      </w:tr>
      <w:tr>
        <w:trPr>
          <w:trHeight w:val="223"/>
        </w:trPr>
        <w:tc>
          <w:tcPr>
            <w:tcW w:w="5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Limited partners' interests in consolidated partnerships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(1,514 )</w:t>
            </w:r>
          </w:p>
        </w:tc>
        <w:tc>
          <w:tcPr>
            <w:tcW w:w="18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(933 )</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(5,416 )</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(2,560 )</w:t>
            </w:r>
          </w:p>
        </w:tc>
      </w:tr>
      <w:tr>
        <w:trPr>
          <w:trHeight w:val="230"/>
        </w:trPr>
        <w:tc>
          <w:tcPr>
            <w:tcW w:w="5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income attributable to the Partnership</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102,062</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91,240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315,747</w:t>
            </w: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276,273</w:t>
            </w:r>
          </w:p>
        </w:tc>
      </w:tr>
      <w:tr>
        <w:trPr>
          <w:trHeight w:val="223"/>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unit distributions</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(3,413 )</w:t>
            </w:r>
          </w:p>
        </w:tc>
        <w:tc>
          <w:tcPr>
            <w:tcW w:w="18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(1,644 )</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(10,239 )</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(1,644 )</w:t>
            </w:r>
          </w:p>
        </w:tc>
      </w:tr>
      <w:tr>
        <w:trPr>
          <w:trHeight w:val="263"/>
        </w:trPr>
        <w:tc>
          <w:tcPr>
            <w:tcW w:w="59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Net income attributable to common unit holders</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98,649</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89,596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305,508</w:t>
            </w:r>
          </w:p>
        </w:tc>
        <w:tc>
          <w:tcPr>
            <w:tcW w:w="16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274,629</w:t>
            </w:r>
          </w:p>
        </w:tc>
      </w:tr>
      <w:tr>
        <w:trPr>
          <w:trHeight w:val="217"/>
        </w:trPr>
        <w:tc>
          <w:tcPr>
            <w:tcW w:w="594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30"/>
        </w:trPr>
        <w:tc>
          <w:tcPr>
            <w:tcW w:w="5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unit holders:</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20"/>
        </w:trPr>
        <w:tc>
          <w:tcPr>
            <w:tcW w:w="5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Per common unit - basic</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0.54</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0.50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1.66</w:t>
            </w:r>
          </w:p>
        </w:tc>
        <w:tc>
          <w:tcPr>
            <w:tcW w:w="16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r>
      <w:tr>
        <w:trPr>
          <w:trHeight w:val="239"/>
        </w:trPr>
        <w:tc>
          <w:tcPr>
            <w:tcW w:w="5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Per common unit - diluted</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0.54</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1.66</w:t>
            </w:r>
          </w:p>
        </w:tc>
        <w:tc>
          <w:tcPr>
            <w:tcW w:w="16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-3599815</wp:posOffset>
            </wp:positionV>
            <wp:extent cx="1111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-3599815</wp:posOffset>
            </wp:positionV>
            <wp:extent cx="1028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-3599815</wp:posOffset>
            </wp:positionV>
            <wp:extent cx="1028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-2716530</wp:posOffset>
            </wp:positionV>
            <wp:extent cx="11112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-2716530</wp:posOffset>
            </wp:positionV>
            <wp:extent cx="1028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-2716530</wp:posOffset>
            </wp:positionV>
            <wp:extent cx="1028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-1824990</wp:posOffset>
            </wp:positionV>
            <wp:extent cx="1111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-1824990</wp:posOffset>
            </wp:positionV>
            <wp:extent cx="1028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-1824990</wp:posOffset>
            </wp:positionV>
            <wp:extent cx="1028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-1216660</wp:posOffset>
            </wp:positionV>
            <wp:extent cx="1111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-1216660</wp:posOffset>
            </wp:positionV>
            <wp:extent cx="1028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-1216660</wp:posOffset>
            </wp:positionV>
            <wp:extent cx="1028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-607695</wp:posOffset>
            </wp:positionV>
            <wp:extent cx="1111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-590550</wp:posOffset>
            </wp:positionV>
            <wp:extent cx="11112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-607695</wp:posOffset>
            </wp:positionV>
            <wp:extent cx="1028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-590550</wp:posOffset>
            </wp:positionV>
            <wp:extent cx="10287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-607695</wp:posOffset>
            </wp:positionV>
            <wp:extent cx="1028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-590550</wp:posOffset>
            </wp:positionV>
            <wp:extent cx="1028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00" w:type="dxa"/>
            <w:vAlign w:val="bottom"/>
          </w:tcPr>
          <w:p>
            <w:pPr>
              <w:spacing w:after="0"/>
              <w:rPr>
                <w:sz w:val="17"/>
                <w:szCs w:val="17"/>
                <w:color w:val="auto"/>
              </w:rPr>
            </w:pPr>
          </w:p>
        </w:tc>
        <w:tc>
          <w:tcPr>
            <w:tcW w:w="2480" w:type="dxa"/>
            <w:vAlign w:val="bottom"/>
            <w:gridSpan w:val="5"/>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60" w:type="dxa"/>
            <w:vAlign w:val="bottom"/>
          </w:tcPr>
          <w:p>
            <w:pPr>
              <w:spacing w:after="0"/>
              <w:rPr>
                <w:sz w:val="17"/>
                <w:szCs w:val="17"/>
                <w:color w:val="auto"/>
              </w:rPr>
            </w:pPr>
          </w:p>
        </w:tc>
        <w:tc>
          <w:tcPr>
            <w:tcW w:w="2400" w:type="dxa"/>
            <w:vAlign w:val="bottom"/>
            <w:gridSpan w:val="5"/>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49"/>
        </w:trPr>
        <w:tc>
          <w:tcPr>
            <w:tcW w:w="6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30,</w:t>
            </w:r>
          </w:p>
        </w:tc>
        <w:tc>
          <w:tcPr>
            <w:tcW w:w="10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30,</w:t>
            </w:r>
          </w:p>
        </w:tc>
        <w:tc>
          <w:tcPr>
            <w:tcW w:w="980" w:type="dxa"/>
            <w:vAlign w:val="bottom"/>
          </w:tcPr>
          <w:p>
            <w:pPr>
              <w:spacing w:after="0"/>
              <w:rPr>
                <w:sz w:val="21"/>
                <w:szCs w:val="21"/>
                <w:color w:val="auto"/>
              </w:rPr>
            </w:pPr>
          </w:p>
        </w:tc>
      </w:tr>
      <w:tr>
        <w:trPr>
          <w:trHeight w:val="213"/>
        </w:trPr>
        <w:tc>
          <w:tcPr>
            <w:tcW w:w="6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9"/>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103,576</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92,173</w:t>
            </w:r>
          </w:p>
        </w:tc>
        <w:tc>
          <w:tcPr>
            <w:tcW w:w="3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321,163</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278,833</w:t>
            </w:r>
          </w:p>
        </w:tc>
      </w:tr>
      <w:tr>
        <w:trPr>
          <w:trHeight w:val="22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9"/>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Effective portion of change in fair value of derivative instruments:</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20"/>
        </w:trPr>
        <w:tc>
          <w:tcPr>
            <w:tcW w:w="6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Effective portion of change in fair value of derivative instruments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(9,305 )</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4,606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7,327</w:t>
            </w:r>
          </w:p>
        </w:tc>
      </w:tr>
      <w:tr>
        <w:trPr>
          <w:trHeight w:val="239"/>
        </w:trPr>
        <w:tc>
          <w:tcPr>
            <w:tcW w:w="6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Reclassification adjustment of derivative instruments included in net income</w:t>
            </w: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(2,306 )</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(2,161 )</w:t>
            </w:r>
          </w:p>
        </w:tc>
        <w:tc>
          <w:tcPr>
            <w:tcW w:w="1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(7,113 )</w:t>
            </w: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(5,302 )</w:t>
            </w:r>
          </w:p>
        </w:tc>
      </w:tr>
      <w:tr>
        <w:trPr>
          <w:trHeight w:val="223"/>
        </w:trPr>
        <w:tc>
          <w:tcPr>
            <w:tcW w:w="6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Unrealized gain (loss) on available-for-sale debt securities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415</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(292 )</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(215 )</w:t>
            </w:r>
          </w:p>
        </w:tc>
      </w:tr>
      <w:tr>
        <w:trPr>
          <w:trHeight w:val="223"/>
        </w:trPr>
        <w:tc>
          <w:tcPr>
            <w:tcW w:w="62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Other comprehensive (loss) income</w:t>
            </w: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(11,196 )</w:t>
            </w: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2,153</w:t>
            </w:r>
          </w:p>
        </w:tc>
        <w:tc>
          <w:tcPr>
            <w:tcW w:w="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(4,406 )</w:t>
            </w:r>
          </w:p>
        </w:tc>
        <w:tc>
          <w:tcPr>
            <w:tcW w:w="1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1,810</w:t>
            </w: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92,380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94,326</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316,757</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280,643</w:t>
            </w:r>
          </w:p>
        </w:tc>
      </w:tr>
      <w:tr>
        <w:trPr>
          <w:trHeight w:val="230"/>
        </w:trPr>
        <w:tc>
          <w:tcPr>
            <w:tcW w:w="62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Less: comprehensive income attributable to noncontrolling interests:</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r>
      <w:tr>
        <w:trPr>
          <w:trHeight w:val="220"/>
        </w:trPr>
        <w:tc>
          <w:tcPr>
            <w:tcW w:w="62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2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5,416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2,560</w:t>
            </w:r>
          </w:p>
        </w:tc>
      </w:tr>
      <w:tr>
        <w:trPr>
          <w:trHeight w:val="233"/>
        </w:trPr>
        <w:tc>
          <w:tcPr>
            <w:tcW w:w="62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comprehensive income (loss) attributable to noncontrolling interests</w:t>
            </w: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(620 )</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(312 )</w:t>
            </w: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(85 )</w:t>
            </w:r>
          </w:p>
        </w:tc>
      </w:tr>
      <w:tr>
        <w:trPr>
          <w:trHeight w:val="223"/>
        </w:trPr>
        <w:tc>
          <w:tcPr>
            <w:tcW w:w="620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interests</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894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973</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5,104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2,475</w:t>
            </w:r>
          </w:p>
        </w:tc>
      </w:tr>
      <w:tr>
        <w:trPr>
          <w:trHeight w:val="263"/>
        </w:trPr>
        <w:tc>
          <w:tcPr>
            <w:tcW w:w="62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Comprehensive income attributable to the Partnership</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91,486</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93,353</w:t>
            </w: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311,653</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278,168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6309995</wp:posOffset>
            </wp:positionH>
            <wp:positionV relativeFrom="paragraph">
              <wp:posOffset>-2138045</wp:posOffset>
            </wp:positionV>
            <wp:extent cx="9398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-933450</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-933450</wp:posOffset>
            </wp:positionV>
            <wp:extent cx="1028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-933450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-333375</wp:posOffset>
            </wp:positionV>
            <wp:extent cx="768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-333375</wp:posOffset>
            </wp:positionV>
            <wp:extent cx="1028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-333375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10287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-7620</wp:posOffset>
            </wp:positionV>
            <wp:extent cx="1028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financial statements.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Capital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General</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Partner</w:t>
            </w: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1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120" w:type="dxa"/>
            <w:vAlign w:val="bottom"/>
          </w:tcPr>
          <w:p>
            <w:pPr>
              <w:spacing w:after="0"/>
              <w:rPr>
                <w:sz w:val="12"/>
                <w:szCs w:val="12"/>
                <w:color w:val="auto"/>
              </w:rPr>
            </w:pPr>
          </w:p>
        </w:tc>
        <w:tc>
          <w:tcPr>
            <w:tcW w:w="1160" w:type="dxa"/>
            <w:vAlign w:val="bottom"/>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20" w:type="dxa"/>
            <w:vAlign w:val="bottom"/>
          </w:tcPr>
          <w:p>
            <w:pPr>
              <w:spacing w:after="0"/>
              <w:rPr>
                <w:sz w:val="12"/>
                <w:szCs w:val="12"/>
                <w:color w:val="auto"/>
              </w:rPr>
            </w:pPr>
          </w:p>
        </w:tc>
        <w:tc>
          <w:tcPr>
            <w:tcW w:w="11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120" w:type="dxa"/>
            <w:vAlign w:val="bottom"/>
          </w:tcPr>
          <w:p>
            <w:pPr>
              <w:spacing w:after="0"/>
              <w:rPr>
                <w:sz w:val="12"/>
                <w:szCs w:val="12"/>
                <w:color w:val="auto"/>
              </w:rPr>
            </w:pPr>
          </w:p>
        </w:tc>
        <w:tc>
          <w:tcPr>
            <w:tcW w:w="114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100" w:type="dxa"/>
            <w:vAlign w:val="bottom"/>
            <w:gridSpan w:val="2"/>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and Common</w:t>
            </w: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100" w:type="dxa"/>
            <w:vAlign w:val="bottom"/>
          </w:tcPr>
          <w:p>
            <w:pPr>
              <w:spacing w:after="0"/>
              <w:rPr>
                <w:sz w:val="12"/>
                <w:szCs w:val="12"/>
                <w:color w:val="auto"/>
              </w:rPr>
            </w:pPr>
          </w:p>
        </w:tc>
        <w:tc>
          <w:tcPr>
            <w:tcW w:w="11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6"/>
                <w:szCs w:val="16"/>
                <w:color w:val="auto"/>
              </w:rPr>
            </w:pPr>
          </w:p>
        </w:tc>
        <w:tc>
          <w:tcPr>
            <w:tcW w:w="11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Partnerships</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69"/>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6,032,877</w:t>
            </w:r>
          </w:p>
        </w:tc>
        <w:tc>
          <w:tcPr>
            <w:tcW w:w="1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54,281</w:t>
            </w: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7,336</w:t>
            </w: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6,094,494</w:t>
            </w:r>
          </w:p>
        </w:tc>
        <w:tc>
          <w:tcPr>
            <w:tcW w:w="1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49,292</w:t>
            </w: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6,143,786</w:t>
            </w:r>
          </w:p>
        </w:tc>
        <w:tc>
          <w:tcPr>
            <w:tcW w:w="0" w:type="dxa"/>
            <w:vAlign w:val="bottom"/>
          </w:tcPr>
          <w:p>
            <w:pPr>
              <w:spacing w:after="0"/>
              <w:rPr>
                <w:sz w:val="1"/>
                <w:szCs w:val="1"/>
                <w:color w:val="auto"/>
              </w:rPr>
            </w:pPr>
          </w:p>
        </w:tc>
      </w:tr>
      <w:tr>
        <w:trPr>
          <w:trHeight w:val="17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90,720</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520</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91,240</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933</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92,173</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income before reclassification</w:t>
            </w:r>
          </w:p>
        </w:tc>
        <w:tc>
          <w:tcPr>
            <w:tcW w:w="1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4,026</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4,051</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263</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4,314</w:t>
            </w: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1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(11 )</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(1,927 )</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(1,938 )</w:t>
            </w: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(223 )</w:t>
            </w:r>
          </w:p>
        </w:tc>
        <w:tc>
          <w:tcPr>
            <w:tcW w:w="1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(2,161 )</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1280" w:type="dxa"/>
            <w:vAlign w:val="bottom"/>
            <w:gridSpan w:val="2"/>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220" w:type="dxa"/>
            <w:vAlign w:val="bottom"/>
            <w:gridSpan w:val="2"/>
            <w:vMerge w:val="continue"/>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Contributions from partners</w:t>
            </w:r>
          </w:p>
        </w:tc>
        <w:tc>
          <w:tcPr>
            <w:tcW w:w="1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69,625</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69,625</w:t>
            </w:r>
          </w:p>
        </w:tc>
        <w:tc>
          <w:tcPr>
            <w:tcW w:w="0" w:type="dxa"/>
            <w:vAlign w:val="bottom"/>
          </w:tcPr>
          <w:p>
            <w:pPr>
              <w:spacing w:after="0"/>
              <w:rPr>
                <w:sz w:val="1"/>
                <w:szCs w:val="1"/>
                <w:color w:val="auto"/>
              </w:rPr>
            </w:pPr>
          </w:p>
        </w:tc>
      </w:tr>
      <w:tr>
        <w:trPr>
          <w:trHeight w:val="17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(119,968 )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(703 )</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(120,671 )</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(3,191 )</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(123,862 )</w:t>
            </w: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unit distributions</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(1,644 )</w:t>
            </w:r>
          </w:p>
        </w:tc>
        <w:tc>
          <w:tcPr>
            <w:tcW w:w="12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(1,644 )</w:t>
            </w:r>
          </w:p>
        </w:tc>
        <w:tc>
          <w:tcPr>
            <w:tcW w:w="1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(1,644 )</w:t>
            </w: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Restricted units issued as a result of restricted stock issued by</w:t>
            </w:r>
          </w:p>
        </w:tc>
        <w:tc>
          <w:tcPr>
            <w:tcW w:w="1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5,465</w:t>
            </w:r>
          </w:p>
        </w:tc>
        <w:tc>
          <w:tcPr>
            <w:tcW w:w="12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5,465</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5,465</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Parent Company, net of amortization</w:t>
            </w:r>
          </w:p>
        </w:tc>
        <w:tc>
          <w:tcPr>
            <w:tcW w:w="14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 units issued as a result of preferred stock issued by</w:t>
            </w:r>
          </w:p>
        </w:tc>
        <w:tc>
          <w:tcPr>
            <w:tcW w:w="140" w:type="dxa"/>
            <w:vAlign w:val="bottom"/>
          </w:tcPr>
          <w:p>
            <w:pPr>
              <w:spacing w:after="0"/>
              <w:rPr>
                <w:sz w:val="12"/>
                <w:szCs w:val="12"/>
                <w:color w:val="auto"/>
              </w:rPr>
            </w:pPr>
          </w:p>
        </w:tc>
        <w:tc>
          <w:tcPr>
            <w:tcW w:w="9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225,000</w:t>
            </w:r>
          </w:p>
        </w:tc>
        <w:tc>
          <w:tcPr>
            <w:tcW w:w="120" w:type="dxa"/>
            <w:vAlign w:val="bottom"/>
          </w:tcPr>
          <w:p>
            <w:pPr>
              <w:spacing w:after="0"/>
              <w:rPr>
                <w:sz w:val="12"/>
                <w:szCs w:val="12"/>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225,000</w:t>
            </w:r>
          </w:p>
        </w:tc>
        <w:tc>
          <w:tcPr>
            <w:tcW w:w="10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225,000</w:t>
            </w:r>
          </w:p>
        </w:tc>
        <w:tc>
          <w:tcPr>
            <w:tcW w:w="0" w:type="dxa"/>
            <w:vAlign w:val="bottom"/>
          </w:tcPr>
          <w:p>
            <w:pPr>
              <w:spacing w:after="0"/>
              <w:rPr>
                <w:sz w:val="1"/>
                <w:szCs w:val="1"/>
                <w:color w:val="auto"/>
              </w:rPr>
            </w:pPr>
          </w:p>
        </w:tc>
      </w:tr>
      <w:tr>
        <w:trPr>
          <w:trHeight w:val="18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Parent Company, net of issuance costs</w:t>
            </w: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issued as a result of common stock issued by</w:t>
            </w:r>
          </w:p>
        </w:tc>
        <w:tc>
          <w:tcPr>
            <w:tcW w:w="1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818,544</w:t>
            </w:r>
          </w:p>
        </w:tc>
        <w:tc>
          <w:tcPr>
            <w:tcW w:w="12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818,544</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818,544</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Parent Company, net of issuance costs</w:t>
            </w:r>
          </w:p>
        </w:tc>
        <w:tc>
          <w:tcPr>
            <w:tcW w:w="14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repurchased as a result of common stock</w:t>
            </w:r>
          </w:p>
        </w:tc>
        <w:tc>
          <w:tcPr>
            <w:tcW w:w="140" w:type="dxa"/>
            <w:vAlign w:val="bottom"/>
          </w:tcPr>
          <w:p>
            <w:pPr>
              <w:spacing w:after="0"/>
              <w:rPr>
                <w:sz w:val="12"/>
                <w:szCs w:val="12"/>
                <w:color w:val="auto"/>
              </w:rPr>
            </w:pPr>
          </w:p>
        </w:tc>
        <w:tc>
          <w:tcPr>
            <w:tcW w:w="9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287</w:t>
            </w:r>
          </w:p>
        </w:tc>
        <w:tc>
          <w:tcPr>
            <w:tcW w:w="120" w:type="dxa"/>
            <w:vAlign w:val="bottom"/>
          </w:tcPr>
          <w:p>
            <w:pPr>
              <w:spacing w:after="0"/>
              <w:rPr>
                <w:sz w:val="12"/>
                <w:szCs w:val="12"/>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287</w:t>
            </w:r>
          </w:p>
        </w:tc>
        <w:tc>
          <w:tcPr>
            <w:tcW w:w="10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287</w:t>
            </w:r>
          </w:p>
        </w:tc>
        <w:tc>
          <w:tcPr>
            <w:tcW w:w="0" w:type="dxa"/>
            <w:vAlign w:val="bottom"/>
          </w:tcPr>
          <w:p>
            <w:pPr>
              <w:spacing w:after="0"/>
              <w:rPr>
                <w:sz w:val="1"/>
                <w:szCs w:val="1"/>
                <w:color w:val="auto"/>
              </w:rPr>
            </w:pPr>
          </w:p>
        </w:tc>
      </w:tr>
      <w:tr>
        <w:trPr>
          <w:trHeight w:val="18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repurchased by Parent Company, net of issuances</w:t>
            </w: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exchanged for common stock of Parent</w:t>
            </w:r>
          </w:p>
        </w:tc>
        <w:tc>
          <w:tcPr>
            <w:tcW w:w="1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vMerge w:val="restart"/>
            <w:shd w:val="clear" w:color="auto" w:fill="CFF0FC"/>
          </w:tcPr>
          <w:p>
            <w:pPr>
              <w:spacing w:after="0"/>
              <w:rPr>
                <w:sz w:val="12"/>
                <w:szCs w:val="12"/>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(198 )</w:t>
            </w:r>
          </w:p>
        </w:tc>
        <w:tc>
          <w:tcPr>
            <w:tcW w:w="12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Company</w:t>
            </w:r>
          </w:p>
        </w:tc>
        <w:tc>
          <w:tcPr>
            <w:tcW w:w="1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11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7,051,479</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53,914</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9,435</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7,114,828</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116,699</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7,231,527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6,790,593</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40,738</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5,135</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6,836,466</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126,704</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6,963,170</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101,469</w:t>
            </w:r>
          </w:p>
        </w:tc>
        <w:tc>
          <w:tcPr>
            <w:tcW w:w="1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593</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102,062</w:t>
            </w:r>
          </w:p>
        </w:tc>
        <w:tc>
          <w:tcPr>
            <w:tcW w:w="1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1,514</w:t>
            </w: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103,576</w:t>
            </w: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income before reclassification</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(53 )</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(8,357 )</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(8,410 )</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(480 )</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(8,890 )</w:t>
            </w:r>
          </w:p>
        </w:tc>
        <w:tc>
          <w:tcPr>
            <w:tcW w:w="0" w:type="dxa"/>
            <w:vAlign w:val="bottom"/>
          </w:tcPr>
          <w:p>
            <w:pPr>
              <w:spacing w:after="0"/>
              <w:rPr>
                <w:sz w:val="1"/>
                <w:szCs w:val="1"/>
                <w:color w:val="auto"/>
              </w:rPr>
            </w:pPr>
          </w:p>
        </w:tc>
      </w:tr>
      <w:tr>
        <w:trPr>
          <w:trHeight w:val="139"/>
        </w:trPr>
        <w:tc>
          <w:tcPr>
            <w:tcW w:w="390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Amounts reclassified from accumulated other comprehensive</w:t>
            </w:r>
          </w:p>
        </w:tc>
        <w:tc>
          <w:tcPr>
            <w:tcW w:w="140" w:type="dxa"/>
            <w:vAlign w:val="bottom"/>
          </w:tcPr>
          <w:p>
            <w:pPr>
              <w:spacing w:after="0"/>
              <w:rPr>
                <w:sz w:val="12"/>
                <w:szCs w:val="12"/>
                <w:color w:val="auto"/>
              </w:rPr>
            </w:pPr>
          </w:p>
        </w:tc>
        <w:tc>
          <w:tcPr>
            <w:tcW w:w="9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(14 )</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(2,152 )</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(2,166 )</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(140 )</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(2,306 )</w:t>
            </w:r>
          </w:p>
        </w:tc>
        <w:tc>
          <w:tcPr>
            <w:tcW w:w="0" w:type="dxa"/>
            <w:vAlign w:val="bottom"/>
          </w:tcPr>
          <w:p>
            <w:pPr>
              <w:spacing w:after="0"/>
              <w:rPr>
                <w:sz w:val="1"/>
                <w:szCs w:val="1"/>
                <w:color w:val="auto"/>
              </w:rPr>
            </w:pPr>
          </w:p>
        </w:tc>
      </w:tr>
      <w:tr>
        <w:trPr>
          <w:trHeight w:val="185"/>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loss</w:t>
            </w: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 for noncontrolling interests</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(1,305 )</w:t>
            </w:r>
          </w:p>
        </w:tc>
        <w:tc>
          <w:tcPr>
            <w:tcW w:w="1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1,305</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Contributions from partners</w:t>
            </w:r>
          </w:p>
        </w:tc>
        <w:tc>
          <w:tcPr>
            <w:tcW w:w="140" w:type="dxa"/>
            <w:vAlign w:val="bottom"/>
          </w:tcPr>
          <w:p>
            <w:pPr>
              <w:spacing w:after="0"/>
              <w:rPr>
                <w:sz w:val="15"/>
                <w:szCs w:val="15"/>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11,424</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11,424</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14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(121,673 )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(1,473 )</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(123,146 )</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(3,181 )</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(126,327 )</w:t>
            </w:r>
          </w:p>
        </w:tc>
        <w:tc>
          <w:tcPr>
            <w:tcW w:w="0" w:type="dxa"/>
            <w:vAlign w:val="bottom"/>
          </w:tcPr>
          <w:p>
            <w:pPr>
              <w:spacing w:after="0"/>
              <w:rPr>
                <w:sz w:val="1"/>
                <w:szCs w:val="1"/>
                <w:color w:val="auto"/>
              </w:rPr>
            </w:pPr>
          </w:p>
        </w:tc>
      </w:tr>
      <w:tr>
        <w:trPr>
          <w:trHeight w:val="17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unit distributions</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(3,413 )</w:t>
            </w:r>
          </w:p>
        </w:tc>
        <w:tc>
          <w:tcPr>
            <w:tcW w:w="12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(3,413 )</w:t>
            </w:r>
          </w:p>
        </w:tc>
        <w:tc>
          <w:tcPr>
            <w:tcW w:w="1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(3,413 )</w:t>
            </w: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Restricted units issued as a result of restricted stock issued by</w:t>
            </w:r>
          </w:p>
        </w:tc>
        <w:tc>
          <w:tcPr>
            <w:tcW w:w="1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6,674</w:t>
            </w:r>
          </w:p>
        </w:tc>
        <w:tc>
          <w:tcPr>
            <w:tcW w:w="12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6,674</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6,674</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Parent Company, net of amortization</w:t>
            </w:r>
          </w:p>
        </w:tc>
        <w:tc>
          <w:tcPr>
            <w:tcW w:w="140" w:type="dxa"/>
            <w:vAlign w:val="bottom"/>
            <w:shd w:val="clear" w:color="auto" w:fill="CFF0FC"/>
          </w:tcPr>
          <w:p>
            <w:pPr>
              <w:spacing w:after="0"/>
              <w:rPr>
                <w:sz w:val="16"/>
                <w:szCs w:val="16"/>
                <w:color w:val="auto"/>
              </w:rPr>
            </w:pPr>
          </w:p>
        </w:tc>
        <w:tc>
          <w:tcPr>
            <w:tcW w:w="9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6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repurchased as a result of common stock</w:t>
            </w:r>
          </w:p>
        </w:tc>
        <w:tc>
          <w:tcPr>
            <w:tcW w:w="140" w:type="dxa"/>
            <w:vAlign w:val="bottom"/>
          </w:tcPr>
          <w:p>
            <w:pPr>
              <w:spacing w:after="0"/>
              <w:rPr>
                <w:sz w:val="12"/>
                <w:szCs w:val="12"/>
                <w:color w:val="auto"/>
              </w:rPr>
            </w:pPr>
          </w:p>
        </w:tc>
        <w:tc>
          <w:tcPr>
            <w:tcW w:w="9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289</w:t>
            </w:r>
          </w:p>
        </w:tc>
        <w:tc>
          <w:tcPr>
            <w:tcW w:w="120" w:type="dxa"/>
            <w:vAlign w:val="bottom"/>
          </w:tcPr>
          <w:p>
            <w:pPr>
              <w:spacing w:after="0"/>
              <w:rPr>
                <w:sz w:val="12"/>
                <w:szCs w:val="12"/>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18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repurchased by Parent Company, net of issuances</w:t>
            </w:r>
          </w:p>
        </w:tc>
        <w:tc>
          <w:tcPr>
            <w:tcW w:w="1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exchanged for common stock of Parent</w:t>
            </w:r>
          </w:p>
        </w:tc>
        <w:tc>
          <w:tcPr>
            <w:tcW w:w="140" w:type="dxa"/>
            <w:vAlign w:val="bottom"/>
            <w:shd w:val="clear" w:color="auto" w:fill="CFF0FC"/>
          </w:tcPr>
          <w:p>
            <w:pPr>
              <w:spacing w:after="0"/>
              <w:rPr>
                <w:sz w:val="12"/>
                <w:szCs w:val="12"/>
                <w:color w:val="auto"/>
              </w:rPr>
            </w:pPr>
          </w:p>
        </w:tc>
        <w:tc>
          <w:tcPr>
            <w:tcW w:w="96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206</w:t>
            </w:r>
          </w:p>
        </w:tc>
        <w:tc>
          <w:tcPr>
            <w:tcW w:w="120" w:type="dxa"/>
            <w:vAlign w:val="bottom"/>
            <w:vMerge w:val="restart"/>
            <w:shd w:val="clear" w:color="auto" w:fill="CFF0FC"/>
          </w:tcPr>
          <w:p>
            <w:pPr>
              <w:spacing w:after="0"/>
              <w:rPr>
                <w:sz w:val="12"/>
                <w:szCs w:val="12"/>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(206 )</w:t>
            </w:r>
          </w:p>
        </w:tc>
        <w:tc>
          <w:tcPr>
            <w:tcW w:w="12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Company</w:t>
            </w:r>
          </w:p>
        </w:tc>
        <w:tc>
          <w:tcPr>
            <w:tcW w:w="1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11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6,772,840</w:t>
            </w:r>
          </w:p>
        </w:tc>
        <w:tc>
          <w:tcPr>
            <w:tcW w:w="1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40,890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(5,374 )</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6,808,356</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135,841</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6,944,197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-2108200</wp:posOffset>
            </wp:positionV>
            <wp:extent cx="7747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-2108200</wp:posOffset>
            </wp:positionV>
            <wp:extent cx="7747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-2108200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-2108200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-2108200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-145415</wp:posOffset>
            </wp:positionV>
            <wp:extent cx="774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-145415</wp:posOffset>
            </wp:positionV>
            <wp:extent cx="774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-145415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-145415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-145415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REGENCY CENTERS,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Capital</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Interests in</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300" w:type="dxa"/>
            <w:vAlign w:val="bottom"/>
            <w:gridSpan w:val="2"/>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General Partner</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Limited</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11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Partners'</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20" w:type="dxa"/>
            <w:vAlign w:val="bottom"/>
          </w:tcPr>
          <w:p>
            <w:pPr>
              <w:spacing w:after="0"/>
              <w:rPr>
                <w:sz w:val="12"/>
                <w:szCs w:val="12"/>
                <w:color w:val="auto"/>
              </w:rPr>
            </w:pPr>
          </w:p>
        </w:tc>
        <w:tc>
          <w:tcPr>
            <w:tcW w:w="9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Limited</w:t>
            </w:r>
          </w:p>
        </w:tc>
        <w:tc>
          <w:tcPr>
            <w:tcW w:w="100" w:type="dxa"/>
            <w:vAlign w:val="bottom"/>
          </w:tcPr>
          <w:p>
            <w:pPr>
              <w:spacing w:after="0"/>
              <w:rPr>
                <w:sz w:val="12"/>
                <w:szCs w:val="12"/>
                <w:color w:val="auto"/>
              </w:rPr>
            </w:pPr>
          </w:p>
        </w:tc>
        <w:tc>
          <w:tcPr>
            <w:tcW w:w="11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Interest in</w:t>
            </w:r>
          </w:p>
        </w:tc>
        <w:tc>
          <w:tcPr>
            <w:tcW w:w="120" w:type="dxa"/>
            <w:vAlign w:val="bottom"/>
          </w:tcPr>
          <w:p>
            <w:pPr>
              <w:spacing w:after="0"/>
              <w:rPr>
                <w:sz w:val="12"/>
                <w:szCs w:val="12"/>
                <w:color w:val="auto"/>
              </w:rPr>
            </w:pPr>
          </w:p>
        </w:tc>
        <w:tc>
          <w:tcPr>
            <w:tcW w:w="114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b w:val="1"/>
                <w:bCs w:val="1"/>
                <w:color w:val="auto"/>
              </w:rPr>
              <w:t>and Common</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12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Partners'</w:t>
            </w:r>
          </w:p>
        </w:tc>
        <w:tc>
          <w:tcPr>
            <w:tcW w:w="100" w:type="dxa"/>
            <w:vAlign w:val="bottom"/>
          </w:tcPr>
          <w:p>
            <w:pPr>
              <w:spacing w:after="0"/>
              <w:rPr>
                <w:sz w:val="12"/>
                <w:szCs w:val="12"/>
                <w:color w:val="auto"/>
              </w:rPr>
            </w:pPr>
          </w:p>
        </w:tc>
        <w:tc>
          <w:tcPr>
            <w:tcW w:w="112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Partnerships</w:t>
            </w: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0" w:type="dxa"/>
            <w:vAlign w:val="bottom"/>
          </w:tcPr>
          <w:p>
            <w:pPr>
              <w:spacing w:after="0"/>
              <w:rPr>
                <w:sz w:val="1"/>
                <w:szCs w:val="1"/>
                <w:color w:val="auto"/>
              </w:rPr>
            </w:pPr>
          </w:p>
        </w:tc>
      </w:tr>
      <w:tr>
        <w:trPr>
          <w:trHeight w:val="169"/>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6,089,425</w:t>
            </w:r>
          </w:p>
        </w:tc>
        <w:tc>
          <w:tcPr>
            <w:tcW w:w="11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34,489</w:t>
            </w:r>
          </w:p>
        </w:tc>
        <w:tc>
          <w:tcPr>
            <w:tcW w:w="1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7,560</w:t>
            </w: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6,131,474</w:t>
            </w:r>
          </w:p>
        </w:tc>
        <w:tc>
          <w:tcPr>
            <w:tcW w:w="1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46,565</w:t>
            </w: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6,178,039</w:t>
            </w:r>
          </w:p>
        </w:tc>
        <w:tc>
          <w:tcPr>
            <w:tcW w:w="0" w:type="dxa"/>
            <w:vAlign w:val="bottom"/>
          </w:tcPr>
          <w:p>
            <w:pPr>
              <w:spacing w:after="0"/>
              <w:rPr>
                <w:sz w:val="1"/>
                <w:szCs w:val="1"/>
                <w:color w:val="auto"/>
              </w:rPr>
            </w:pPr>
          </w:p>
        </w:tc>
      </w:tr>
      <w:tr>
        <w:trPr>
          <w:trHeight w:val="17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274,783</w:t>
            </w: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1,490</w:t>
            </w:r>
          </w:p>
        </w:tc>
        <w:tc>
          <w:tcPr>
            <w:tcW w:w="1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276,273</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2,560</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278,833</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income before reclassification</w:t>
            </w:r>
          </w:p>
        </w:tc>
        <w:tc>
          <w:tcPr>
            <w:tcW w:w="12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46</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6,596</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6,642</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470</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7,112</w:t>
            </w: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Amounts reclassified from accumulated other</w:t>
            </w:r>
          </w:p>
        </w:tc>
        <w:tc>
          <w:tcPr>
            <w:tcW w:w="12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(4,721 )</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(4,747 )</w:t>
            </w: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(555 )</w:t>
            </w:r>
          </w:p>
        </w:tc>
        <w:tc>
          <w:tcPr>
            <w:tcW w:w="1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(5,302 )</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comprehensive income</w:t>
            </w:r>
          </w:p>
        </w:tc>
        <w:tc>
          <w:tcPr>
            <w:tcW w:w="120" w:type="dxa"/>
            <w:vAlign w:val="bottom"/>
            <w:shd w:val="clear" w:color="auto" w:fill="CFF0FC"/>
          </w:tcPr>
          <w:p>
            <w:pPr>
              <w:spacing w:after="0"/>
              <w:rPr>
                <w:sz w:val="16"/>
                <w:szCs w:val="16"/>
                <w:color w:val="auto"/>
              </w:rPr>
            </w:pPr>
          </w:p>
        </w:tc>
        <w:tc>
          <w:tcPr>
            <w:tcW w:w="1180" w:type="dxa"/>
            <w:vAlign w:val="bottom"/>
            <w:vMerge w:val="continue"/>
            <w:shd w:val="clear" w:color="auto" w:fill="CFF0FC"/>
          </w:tcPr>
          <w:p>
            <w:pPr>
              <w:spacing w:after="0"/>
              <w:rPr>
                <w:sz w:val="16"/>
                <w:szCs w:val="16"/>
                <w:color w:val="auto"/>
              </w:rPr>
            </w:pPr>
          </w:p>
        </w:tc>
        <w:tc>
          <w:tcPr>
            <w:tcW w:w="1100" w:type="dxa"/>
            <w:vAlign w:val="bottom"/>
            <w:gridSpan w:val="2"/>
            <w:vMerge w:val="continue"/>
            <w:shd w:val="clear" w:color="auto" w:fill="CFF0FC"/>
          </w:tcPr>
          <w:p>
            <w:pPr>
              <w:spacing w:after="0"/>
              <w:rPr>
                <w:sz w:val="16"/>
                <w:szCs w:val="16"/>
                <w:color w:val="auto"/>
              </w:rPr>
            </w:pPr>
          </w:p>
        </w:tc>
        <w:tc>
          <w:tcPr>
            <w:tcW w:w="1220" w:type="dxa"/>
            <w:vAlign w:val="bottom"/>
            <w:gridSpan w:val="2"/>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220" w:type="dxa"/>
            <w:vAlign w:val="bottom"/>
            <w:gridSpan w:val="2"/>
            <w:vMerge w:val="continue"/>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Contributions from partners</w:t>
            </w:r>
          </w:p>
        </w:tc>
        <w:tc>
          <w:tcPr>
            <w:tcW w:w="12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72,830</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72,830</w:t>
            </w:r>
          </w:p>
        </w:tc>
        <w:tc>
          <w:tcPr>
            <w:tcW w:w="0" w:type="dxa"/>
            <w:vAlign w:val="bottom"/>
          </w:tcPr>
          <w:p>
            <w:pPr>
              <w:spacing w:after="0"/>
              <w:rPr>
                <w:sz w:val="1"/>
                <w:szCs w:val="1"/>
                <w:color w:val="auto"/>
              </w:rPr>
            </w:pPr>
          </w:p>
        </w:tc>
      </w:tr>
      <w:tr>
        <w:trPr>
          <w:trHeight w:val="176"/>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exchangeable operating partnership units</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20,000</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20,000</w:t>
            </w:r>
          </w:p>
        </w:tc>
        <w:tc>
          <w:tcPr>
            <w:tcW w:w="0" w:type="dxa"/>
            <w:vAlign w:val="bottom"/>
          </w:tcPr>
          <w:p>
            <w:pPr>
              <w:spacing w:after="0"/>
              <w:rPr>
                <w:sz w:val="1"/>
                <w:szCs w:val="1"/>
                <w:color w:val="auto"/>
              </w:rPr>
            </w:pPr>
          </w:p>
        </w:tc>
      </w:tr>
      <w:tr>
        <w:trPr>
          <w:trHeight w:val="17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(342,460 )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(1,887 )</w:t>
            </w:r>
          </w:p>
        </w:tc>
        <w:tc>
          <w:tcPr>
            <w:tcW w:w="1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(344,347 )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(5,171 )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(349,518 )</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Preferred unit distributions</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(1,644 )</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(1,644 )</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(1,644 )</w:t>
            </w:r>
          </w:p>
        </w:tc>
        <w:tc>
          <w:tcPr>
            <w:tcW w:w="0" w:type="dxa"/>
            <w:vAlign w:val="bottom"/>
          </w:tcPr>
          <w:p>
            <w:pPr>
              <w:spacing w:after="0"/>
              <w:rPr>
                <w:sz w:val="1"/>
                <w:szCs w:val="1"/>
                <w:color w:val="auto"/>
              </w:rPr>
            </w:pPr>
          </w:p>
        </w:tc>
      </w:tr>
      <w:tr>
        <w:trPr>
          <w:trHeight w:val="139"/>
        </w:trPr>
        <w:tc>
          <w:tcPr>
            <w:tcW w:w="3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Restricted units issued as a result of restricted stock issued by</w:t>
            </w:r>
          </w:p>
        </w:tc>
        <w:tc>
          <w:tcPr>
            <w:tcW w:w="120" w:type="dxa"/>
            <w:vAlign w:val="bottom"/>
          </w:tcPr>
          <w:p>
            <w:pPr>
              <w:spacing w:after="0"/>
              <w:rPr>
                <w:sz w:val="12"/>
                <w:szCs w:val="12"/>
                <w:color w:val="auto"/>
              </w:rPr>
            </w:pPr>
          </w:p>
        </w:tc>
        <w:tc>
          <w:tcPr>
            <w:tcW w:w="11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14,389</w:t>
            </w:r>
          </w:p>
        </w:tc>
        <w:tc>
          <w:tcPr>
            <w:tcW w:w="120" w:type="dxa"/>
            <w:vAlign w:val="bottom"/>
          </w:tcPr>
          <w:p>
            <w:pPr>
              <w:spacing w:after="0"/>
              <w:rPr>
                <w:sz w:val="12"/>
                <w:szCs w:val="12"/>
                <w:color w:val="auto"/>
              </w:rPr>
            </w:pP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14,389</w:t>
            </w:r>
          </w:p>
        </w:tc>
        <w:tc>
          <w:tcPr>
            <w:tcW w:w="10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14,389</w:t>
            </w:r>
          </w:p>
        </w:tc>
        <w:tc>
          <w:tcPr>
            <w:tcW w:w="0" w:type="dxa"/>
            <w:vAlign w:val="bottom"/>
          </w:tcPr>
          <w:p>
            <w:pPr>
              <w:spacing w:after="0"/>
              <w:rPr>
                <w:sz w:val="1"/>
                <w:szCs w:val="1"/>
                <w:color w:val="auto"/>
              </w:rPr>
            </w:pPr>
          </w:p>
        </w:tc>
      </w:tr>
      <w:tr>
        <w:trPr>
          <w:trHeight w:val="18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Parent Company, net of amortization</w:t>
            </w: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Preferred units issued as a result of preferred stock issued by</w:t>
            </w:r>
          </w:p>
        </w:tc>
        <w:tc>
          <w:tcPr>
            <w:tcW w:w="12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225,000</w:t>
            </w:r>
          </w:p>
        </w:tc>
        <w:tc>
          <w:tcPr>
            <w:tcW w:w="12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225,000</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225,000</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Parent Company, net of issuance costs</w:t>
            </w:r>
          </w:p>
        </w:tc>
        <w:tc>
          <w:tcPr>
            <w:tcW w:w="120" w:type="dxa"/>
            <w:vAlign w:val="bottom"/>
            <w:shd w:val="clear" w:color="auto" w:fill="CFF0FC"/>
          </w:tcPr>
          <w:p>
            <w:pPr>
              <w:spacing w:after="0"/>
              <w:rPr>
                <w:sz w:val="16"/>
                <w:szCs w:val="16"/>
                <w:color w:val="auto"/>
              </w:rPr>
            </w:pPr>
          </w:p>
        </w:tc>
        <w:tc>
          <w:tcPr>
            <w:tcW w:w="11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repurchased and retired as a result of common</w:t>
            </w:r>
          </w:p>
        </w:tc>
        <w:tc>
          <w:tcPr>
            <w:tcW w:w="1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(20,006 )</w:t>
            </w:r>
          </w:p>
        </w:tc>
        <w:tc>
          <w:tcPr>
            <w:tcW w:w="120" w:type="dxa"/>
            <w:vAlign w:val="bottom"/>
          </w:tcPr>
          <w:p>
            <w:pPr>
              <w:spacing w:after="0"/>
              <w:rPr>
                <w:sz w:val="12"/>
                <w:szCs w:val="12"/>
                <w:color w:val="auto"/>
              </w:rPr>
            </w:pP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(20,006 )</w:t>
            </w:r>
          </w:p>
        </w:tc>
        <w:tc>
          <w:tcPr>
            <w:tcW w:w="10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(20,006 )</w:t>
            </w:r>
          </w:p>
        </w:tc>
        <w:tc>
          <w:tcPr>
            <w:tcW w:w="0" w:type="dxa"/>
            <w:vAlign w:val="bottom"/>
          </w:tcPr>
          <w:p>
            <w:pPr>
              <w:spacing w:after="0"/>
              <w:rPr>
                <w:sz w:val="1"/>
                <w:szCs w:val="1"/>
                <w:color w:val="auto"/>
              </w:rPr>
            </w:pPr>
          </w:p>
        </w:tc>
      </w:tr>
      <w:tr>
        <w:trPr>
          <w:trHeight w:val="18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 repurchased and retired by Parent Company</w:t>
            </w: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issued as a result of common stock issued by</w:t>
            </w:r>
          </w:p>
        </w:tc>
        <w:tc>
          <w:tcPr>
            <w:tcW w:w="12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818,534</w:t>
            </w:r>
          </w:p>
        </w:tc>
        <w:tc>
          <w:tcPr>
            <w:tcW w:w="12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818,534</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818,534</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Parent Company, net of issuance costs</w:t>
            </w:r>
          </w:p>
        </w:tc>
        <w:tc>
          <w:tcPr>
            <w:tcW w:w="120" w:type="dxa"/>
            <w:vAlign w:val="bottom"/>
            <w:shd w:val="clear" w:color="auto" w:fill="CFF0FC"/>
          </w:tcPr>
          <w:p>
            <w:pPr>
              <w:spacing w:after="0"/>
              <w:rPr>
                <w:sz w:val="16"/>
                <w:szCs w:val="16"/>
                <w:color w:val="auto"/>
              </w:rPr>
            </w:pPr>
          </w:p>
        </w:tc>
        <w:tc>
          <w:tcPr>
            <w:tcW w:w="11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repurchased as a result of common stock</w:t>
            </w:r>
          </w:p>
        </w:tc>
        <w:tc>
          <w:tcPr>
            <w:tcW w:w="1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(6,740 )</w:t>
            </w:r>
          </w:p>
        </w:tc>
        <w:tc>
          <w:tcPr>
            <w:tcW w:w="120" w:type="dxa"/>
            <w:vAlign w:val="bottom"/>
          </w:tcPr>
          <w:p>
            <w:pPr>
              <w:spacing w:after="0"/>
              <w:rPr>
                <w:sz w:val="12"/>
                <w:szCs w:val="12"/>
                <w:color w:val="auto"/>
              </w:rPr>
            </w:pP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(6,740 )</w:t>
            </w:r>
          </w:p>
        </w:tc>
        <w:tc>
          <w:tcPr>
            <w:tcW w:w="10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(6,740 )</w:t>
            </w:r>
          </w:p>
        </w:tc>
        <w:tc>
          <w:tcPr>
            <w:tcW w:w="0" w:type="dxa"/>
            <w:vAlign w:val="bottom"/>
          </w:tcPr>
          <w:p>
            <w:pPr>
              <w:spacing w:after="0"/>
              <w:rPr>
                <w:sz w:val="1"/>
                <w:szCs w:val="1"/>
                <w:color w:val="auto"/>
              </w:rPr>
            </w:pPr>
          </w:p>
        </w:tc>
      </w:tr>
      <w:tr>
        <w:trPr>
          <w:trHeight w:val="18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repurchased by Parent Company, net of issuances</w:t>
            </w: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exchanged for common stock of Parent</w:t>
            </w:r>
          </w:p>
        </w:tc>
        <w:tc>
          <w:tcPr>
            <w:tcW w:w="12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vMerge w:val="restart"/>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(198 )</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Company</w:t>
            </w:r>
          </w:p>
        </w:tc>
        <w:tc>
          <w:tcPr>
            <w:tcW w:w="12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7,051,479</w:t>
            </w: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53,914</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9,435</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7,114,828</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116,699</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7,231,527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7,033,995</w:t>
            </w:r>
          </w:p>
        </w:tc>
        <w:tc>
          <w:tcPr>
            <w:tcW w:w="11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42,195</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(1,308 )</w:t>
            </w:r>
          </w:p>
        </w:tc>
        <w:tc>
          <w:tcPr>
            <w:tcW w:w="12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7,074,882</w:t>
            </w:r>
          </w:p>
        </w:tc>
        <w:tc>
          <w:tcPr>
            <w:tcW w:w="1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117,053</w:t>
            </w: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7,191,935</w:t>
            </w: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313,911</w:t>
            </w: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1,836</w:t>
            </w:r>
          </w:p>
        </w:tc>
        <w:tc>
          <w:tcPr>
            <w:tcW w:w="1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315,747</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5,416</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321,163</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income before reclassification</w:t>
            </w:r>
          </w:p>
        </w:tc>
        <w:tc>
          <w:tcPr>
            <w:tcW w:w="120" w:type="dxa"/>
            <w:vAlign w:val="bottom"/>
          </w:tcPr>
          <w:p>
            <w:pPr>
              <w:spacing w:after="0"/>
              <w:rPr>
                <w:sz w:val="15"/>
                <w:szCs w:val="15"/>
                <w:color w:val="auto"/>
              </w:rPr>
            </w:pP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13</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2,585</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2,598</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109</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2,707</w:t>
            </w: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Amounts reclassified from accumulated other</w:t>
            </w:r>
          </w:p>
        </w:tc>
        <w:tc>
          <w:tcPr>
            <w:tcW w:w="12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(41 )</w:t>
            </w: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(6,651 )</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(6,692 )</w:t>
            </w: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(421 )</w:t>
            </w:r>
          </w:p>
        </w:tc>
        <w:tc>
          <w:tcPr>
            <w:tcW w:w="1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(7,113 )</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comprehensive income</w:t>
            </w:r>
          </w:p>
        </w:tc>
        <w:tc>
          <w:tcPr>
            <w:tcW w:w="120" w:type="dxa"/>
            <w:vAlign w:val="bottom"/>
            <w:shd w:val="clear" w:color="auto" w:fill="CFF0FC"/>
          </w:tcPr>
          <w:p>
            <w:pPr>
              <w:spacing w:after="0"/>
              <w:rPr>
                <w:sz w:val="16"/>
                <w:szCs w:val="16"/>
                <w:color w:val="auto"/>
              </w:rPr>
            </w:pPr>
          </w:p>
        </w:tc>
        <w:tc>
          <w:tcPr>
            <w:tcW w:w="1180" w:type="dxa"/>
            <w:vAlign w:val="bottom"/>
            <w:vMerge w:val="continue"/>
            <w:shd w:val="clear" w:color="auto" w:fill="CFF0FC"/>
          </w:tcPr>
          <w:p>
            <w:pPr>
              <w:spacing w:after="0"/>
              <w:rPr>
                <w:sz w:val="16"/>
                <w:szCs w:val="16"/>
                <w:color w:val="auto"/>
              </w:rPr>
            </w:pPr>
          </w:p>
        </w:tc>
        <w:tc>
          <w:tcPr>
            <w:tcW w:w="1100" w:type="dxa"/>
            <w:vAlign w:val="bottom"/>
            <w:gridSpan w:val="2"/>
            <w:vMerge w:val="continue"/>
            <w:shd w:val="clear" w:color="auto" w:fill="CFF0FC"/>
          </w:tcPr>
          <w:p>
            <w:pPr>
              <w:spacing w:after="0"/>
              <w:rPr>
                <w:sz w:val="16"/>
                <w:szCs w:val="16"/>
                <w:color w:val="auto"/>
              </w:rPr>
            </w:pPr>
          </w:p>
        </w:tc>
        <w:tc>
          <w:tcPr>
            <w:tcW w:w="1220" w:type="dxa"/>
            <w:vAlign w:val="bottom"/>
            <w:gridSpan w:val="2"/>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220" w:type="dxa"/>
            <w:vAlign w:val="bottom"/>
            <w:gridSpan w:val="2"/>
            <w:vMerge w:val="continue"/>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 for noncontrolling interests</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(9,999 )</w:t>
            </w: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1,305</w:t>
            </w:r>
          </w:p>
        </w:tc>
        <w:tc>
          <w:tcPr>
            <w:tcW w:w="1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(8,694 )</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8,694</w:t>
            </w:r>
          </w:p>
        </w:tc>
        <w:tc>
          <w:tcPr>
            <w:tcW w:w="120" w:type="dxa"/>
            <w:vAlign w:val="bottom"/>
          </w:tcPr>
          <w:p>
            <w:pPr>
              <w:spacing w:after="0"/>
              <w:rPr>
                <w:sz w:val="15"/>
                <w:szCs w:val="15"/>
                <w:color w:val="auto"/>
              </w:rPr>
            </w:pPr>
          </w:p>
        </w:tc>
        <w:tc>
          <w:tcPr>
            <w:tcW w:w="11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Contributions from partners</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14,425</w:t>
            </w: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14,425</w:t>
            </w:r>
          </w:p>
        </w:tc>
        <w:tc>
          <w:tcPr>
            <w:tcW w:w="0" w:type="dxa"/>
            <w:vAlign w:val="bottom"/>
          </w:tcPr>
          <w:p>
            <w:pPr>
              <w:spacing w:after="0"/>
              <w:rPr>
                <w:sz w:val="1"/>
                <w:szCs w:val="1"/>
                <w:color w:val="auto"/>
              </w:rPr>
            </w:pPr>
          </w:p>
        </w:tc>
      </w:tr>
      <w:tr>
        <w:trPr>
          <w:trHeight w:val="176"/>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Distributions to partners</w:t>
            </w: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(367,427 )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(3,683 )</w:t>
            </w:r>
          </w:p>
        </w:tc>
        <w:tc>
          <w:tcPr>
            <w:tcW w:w="10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(371,110 )</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(9,435 )</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(380,545 )</w:t>
            </w:r>
          </w:p>
        </w:tc>
        <w:tc>
          <w:tcPr>
            <w:tcW w:w="0" w:type="dxa"/>
            <w:vAlign w:val="bottom"/>
          </w:tcPr>
          <w:p>
            <w:pPr>
              <w:spacing w:after="0"/>
              <w:rPr>
                <w:sz w:val="1"/>
                <w:szCs w:val="1"/>
                <w:color w:val="auto"/>
              </w:rPr>
            </w:pPr>
          </w:p>
        </w:tc>
      </w:tr>
      <w:tr>
        <w:trPr>
          <w:trHeight w:val="17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Preferred unit distributions</w:t>
            </w: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(10,239 )</w:t>
            </w:r>
          </w:p>
        </w:tc>
        <w:tc>
          <w:tcPr>
            <w:tcW w:w="12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(10,239 )</w:t>
            </w: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(10,239 )</w:t>
            </w:r>
          </w:p>
        </w:tc>
        <w:tc>
          <w:tcPr>
            <w:tcW w:w="0" w:type="dxa"/>
            <w:vAlign w:val="bottom"/>
          </w:tcPr>
          <w:p>
            <w:pPr>
              <w:spacing w:after="0"/>
              <w:rPr>
                <w:sz w:val="1"/>
                <w:szCs w:val="1"/>
                <w:color w:val="auto"/>
              </w:rPr>
            </w:pPr>
          </w:p>
        </w:tc>
      </w:tr>
      <w:tr>
        <w:trPr>
          <w:trHeight w:val="139"/>
        </w:trPr>
        <w:tc>
          <w:tcPr>
            <w:tcW w:w="3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Restricted units issued as a result of restricted stock issued by</w:t>
            </w:r>
          </w:p>
        </w:tc>
        <w:tc>
          <w:tcPr>
            <w:tcW w:w="120" w:type="dxa"/>
            <w:vAlign w:val="bottom"/>
          </w:tcPr>
          <w:p>
            <w:pPr>
              <w:spacing w:after="0"/>
              <w:rPr>
                <w:sz w:val="12"/>
                <w:szCs w:val="12"/>
                <w:color w:val="auto"/>
              </w:rPr>
            </w:pPr>
          </w:p>
        </w:tc>
        <w:tc>
          <w:tcPr>
            <w:tcW w:w="11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19,811</w:t>
            </w:r>
          </w:p>
        </w:tc>
        <w:tc>
          <w:tcPr>
            <w:tcW w:w="120" w:type="dxa"/>
            <w:vAlign w:val="bottom"/>
          </w:tcPr>
          <w:p>
            <w:pPr>
              <w:spacing w:after="0"/>
              <w:rPr>
                <w:sz w:val="12"/>
                <w:szCs w:val="12"/>
                <w:color w:val="auto"/>
              </w:rPr>
            </w:pP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19,811</w:t>
            </w:r>
          </w:p>
        </w:tc>
        <w:tc>
          <w:tcPr>
            <w:tcW w:w="10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19,811</w:t>
            </w:r>
          </w:p>
        </w:tc>
        <w:tc>
          <w:tcPr>
            <w:tcW w:w="0" w:type="dxa"/>
            <w:vAlign w:val="bottom"/>
          </w:tcPr>
          <w:p>
            <w:pPr>
              <w:spacing w:after="0"/>
              <w:rPr>
                <w:sz w:val="1"/>
                <w:szCs w:val="1"/>
                <w:color w:val="auto"/>
              </w:rPr>
            </w:pPr>
          </w:p>
        </w:tc>
      </w:tr>
      <w:tr>
        <w:trPr>
          <w:trHeight w:val="18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Parent Company, net of amortization</w:t>
            </w: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repurchased and retired as a result of common</w:t>
            </w:r>
          </w:p>
        </w:tc>
        <w:tc>
          <w:tcPr>
            <w:tcW w:w="12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(200,066 )</w:t>
            </w:r>
          </w:p>
        </w:tc>
        <w:tc>
          <w:tcPr>
            <w:tcW w:w="12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(200,066 )</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(200,066 )</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 repurchased and retired by Parent Company</w:t>
            </w:r>
          </w:p>
        </w:tc>
        <w:tc>
          <w:tcPr>
            <w:tcW w:w="120" w:type="dxa"/>
            <w:vAlign w:val="bottom"/>
            <w:shd w:val="clear" w:color="auto" w:fill="CFF0FC"/>
          </w:tcPr>
          <w:p>
            <w:pPr>
              <w:spacing w:after="0"/>
              <w:rPr>
                <w:sz w:val="16"/>
                <w:szCs w:val="16"/>
                <w:color w:val="auto"/>
              </w:rPr>
            </w:pPr>
          </w:p>
        </w:tc>
        <w:tc>
          <w:tcPr>
            <w:tcW w:w="11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4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vMerge w:val="continue"/>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Common units repurchased as a result of common stock</w:t>
            </w:r>
          </w:p>
        </w:tc>
        <w:tc>
          <w:tcPr>
            <w:tcW w:w="120" w:type="dxa"/>
            <w:vAlign w:val="bottom"/>
          </w:tcPr>
          <w:p>
            <w:pPr>
              <w:spacing w:after="0"/>
              <w:rPr>
                <w:sz w:val="12"/>
                <w:szCs w:val="12"/>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(7,881 )</w:t>
            </w:r>
          </w:p>
        </w:tc>
        <w:tc>
          <w:tcPr>
            <w:tcW w:w="120" w:type="dxa"/>
            <w:vAlign w:val="bottom"/>
          </w:tcPr>
          <w:p>
            <w:pPr>
              <w:spacing w:after="0"/>
              <w:rPr>
                <w:sz w:val="12"/>
                <w:szCs w:val="12"/>
                <w:color w:val="auto"/>
              </w:rPr>
            </w:pPr>
          </w:p>
        </w:tc>
        <w:tc>
          <w:tcPr>
            <w:tcW w:w="9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(7,881 )</w:t>
            </w:r>
          </w:p>
        </w:tc>
        <w:tc>
          <w:tcPr>
            <w:tcW w:w="100" w:type="dxa"/>
            <w:vAlign w:val="bottom"/>
          </w:tcPr>
          <w:p>
            <w:pPr>
              <w:spacing w:after="0"/>
              <w:rPr>
                <w:sz w:val="12"/>
                <w:szCs w:val="12"/>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(7,881 )</w:t>
            </w:r>
          </w:p>
        </w:tc>
        <w:tc>
          <w:tcPr>
            <w:tcW w:w="0" w:type="dxa"/>
            <w:vAlign w:val="bottom"/>
          </w:tcPr>
          <w:p>
            <w:pPr>
              <w:spacing w:after="0"/>
              <w:rPr>
                <w:sz w:val="1"/>
                <w:szCs w:val="1"/>
                <w:color w:val="auto"/>
              </w:rPr>
            </w:pPr>
          </w:p>
        </w:tc>
      </w:tr>
      <w:tr>
        <w:trPr>
          <w:trHeight w:val="185"/>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repurchased by Parent Company, net of issuances</w:t>
            </w: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0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Exchangeable operating partnership units converted to common</w:t>
            </w:r>
          </w:p>
        </w:tc>
        <w:tc>
          <w:tcPr>
            <w:tcW w:w="120" w:type="dxa"/>
            <w:vAlign w:val="bottom"/>
            <w:shd w:val="clear" w:color="auto" w:fill="CFF0FC"/>
          </w:tcPr>
          <w:p>
            <w:pPr>
              <w:spacing w:after="0"/>
              <w:rPr>
                <w:sz w:val="12"/>
                <w:szCs w:val="12"/>
                <w:color w:val="auto"/>
              </w:rPr>
            </w:pPr>
          </w:p>
        </w:tc>
        <w:tc>
          <w:tcPr>
            <w:tcW w:w="118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735</w:t>
            </w:r>
          </w:p>
        </w:tc>
        <w:tc>
          <w:tcPr>
            <w:tcW w:w="120" w:type="dxa"/>
            <w:vAlign w:val="bottom"/>
            <w:vMerge w:val="restart"/>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(735 )</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14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 of Parent Company</w:t>
            </w:r>
          </w:p>
        </w:tc>
        <w:tc>
          <w:tcPr>
            <w:tcW w:w="12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vMerge w:val="continue"/>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September 30,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6,772,840</w:t>
            </w:r>
          </w:p>
        </w:tc>
        <w:tc>
          <w:tcPr>
            <w:tcW w:w="110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40,890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(5,374 )</w:t>
            </w:r>
          </w:p>
        </w:tc>
        <w:tc>
          <w:tcPr>
            <w:tcW w:w="12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6,808,356</w:t>
            </w:r>
          </w:p>
        </w:tc>
        <w:tc>
          <w:tcPr>
            <w:tcW w:w="12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135,841</w:t>
            </w:r>
          </w:p>
        </w:tc>
        <w:tc>
          <w:tcPr>
            <w:tcW w:w="12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6,944,197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-2313940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-2313940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-2313940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-2313940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-2313940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-144780</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-144780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-144780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-144780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-144780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 financial statements.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REGENCY CENTERS, L.P.</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 and 2023</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1"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70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321,163</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278,833</w:t>
            </w:r>
          </w:p>
        </w:tc>
        <w:tc>
          <w:tcPr>
            <w:tcW w:w="100" w:type="dxa"/>
            <w:vAlign w:val="bottom"/>
          </w:tcPr>
          <w:p>
            <w:pPr>
              <w:spacing w:after="0"/>
              <w:rPr>
                <w:sz w:val="19"/>
                <w:szCs w:val="19"/>
                <w:color w:val="auto"/>
              </w:rPr>
            </w:pPr>
          </w:p>
        </w:tc>
      </w:tr>
      <w:tr>
        <w:trPr>
          <w:trHeight w:val="239"/>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299,508</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253,373</w:t>
            </w:r>
          </w:p>
        </w:tc>
        <w:tc>
          <w:tcPr>
            <w:tcW w:w="100" w:type="dxa"/>
            <w:vAlign w:val="bottom"/>
          </w:tcPr>
          <w:p>
            <w:pPr>
              <w:spacing w:after="0"/>
              <w:rPr>
                <w:sz w:val="19"/>
                <w:szCs w:val="19"/>
                <w:color w:val="auto"/>
              </w:rPr>
            </w:pP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Amortization of deferred financing costs and debt premiums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9,754</w:t>
            </w: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5,124</w:t>
            </w:r>
          </w:p>
        </w:tc>
        <w:tc>
          <w:tcPr>
            <w:tcW w:w="100" w:type="dxa"/>
            <w:vAlign w:val="bottom"/>
            <w:shd w:val="clear" w:color="auto" w:fill="CFF0FC"/>
          </w:tcPr>
          <w:p>
            <w:pPr>
              <w:spacing w:after="0"/>
              <w:rPr>
                <w:sz w:val="20"/>
                <w:szCs w:val="20"/>
                <w:color w:val="auto"/>
              </w:rPr>
            </w:pP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above and below market lease intangibles, net</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(17,383 )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(21,573 )</w:t>
            </w: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Stock-based compensation, net of capitalization</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18,829</w:t>
            </w: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14,203</w:t>
            </w:r>
          </w:p>
        </w:tc>
        <w:tc>
          <w:tcPr>
            <w:tcW w:w="100" w:type="dxa"/>
            <w:vAlign w:val="bottom"/>
            <w:shd w:val="clear" w:color="auto" w:fill="CFF0FC"/>
          </w:tcPr>
          <w:p>
            <w:pPr>
              <w:spacing w:after="0"/>
              <w:rPr>
                <w:sz w:val="20"/>
                <w:szCs w:val="20"/>
                <w:color w:val="auto"/>
              </w:rPr>
            </w:pP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Equity in income of investments in real estate partnerships</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(37,763 )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(36,302 )</w:t>
            </w: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(33,844 )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(515 )</w:t>
            </w: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240" w:type="dxa"/>
            <w:vAlign w:val="bottom"/>
          </w:tcPr>
          <w:p>
            <w:pPr>
              <w:spacing w:after="0"/>
              <w:rPr>
                <w:sz w:val="19"/>
                <w:szCs w:val="19"/>
                <w:color w:val="auto"/>
              </w:rPr>
            </w:pP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Distribution of earnings from investments in real estate partnerships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49,987</w:t>
            </w: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48,451</w:t>
            </w:r>
          </w:p>
        </w:tc>
        <w:tc>
          <w:tcPr>
            <w:tcW w:w="100" w:type="dxa"/>
            <w:vAlign w:val="bottom"/>
            <w:shd w:val="clear" w:color="auto" w:fill="CFF0FC"/>
          </w:tcPr>
          <w:p>
            <w:pPr>
              <w:spacing w:after="0"/>
              <w:rPr>
                <w:sz w:val="20"/>
                <w:szCs w:val="20"/>
                <w:color w:val="auto"/>
              </w:rPr>
            </w:pP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compensation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w:t>
            </w:r>
          </w:p>
        </w:tc>
        <w:tc>
          <w:tcPr>
            <w:tcW w:w="100" w:type="dxa"/>
            <w:vAlign w:val="bottom"/>
          </w:tcPr>
          <w:p>
            <w:pPr>
              <w:spacing w:after="0"/>
              <w:rPr>
                <w:sz w:val="19"/>
                <w:szCs w:val="19"/>
                <w:color w:val="auto"/>
              </w:rPr>
            </w:pP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Realized and unrealized gain on investments</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(4,439 )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(2,252 )</w:t>
            </w: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70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Tenant and other receivables</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(8,736 )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(3,094 )</w:t>
            </w:r>
          </w:p>
        </w:tc>
      </w:tr>
      <w:tr>
        <w:trPr>
          <w:trHeight w:val="220"/>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Deferred leasing costs</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(7,643 )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(7,705 )</w:t>
            </w:r>
          </w:p>
        </w:tc>
      </w:tr>
      <w:tr>
        <w:trPr>
          <w:trHeight w:val="239"/>
        </w:trPr>
        <w:tc>
          <w:tcPr>
            <w:tcW w:w="70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(10,738 )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(7,577 )</w:t>
            </w:r>
          </w:p>
        </w:tc>
      </w:tr>
      <w:tr>
        <w:trPr>
          <w:trHeight w:val="220"/>
        </w:trPr>
        <w:tc>
          <w:tcPr>
            <w:tcW w:w="7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13,881</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20,875</w:t>
            </w:r>
          </w:p>
        </w:tc>
        <w:tc>
          <w:tcPr>
            <w:tcW w:w="100" w:type="dxa"/>
            <w:vAlign w:val="bottom"/>
          </w:tcPr>
          <w:p>
            <w:pPr>
              <w:spacing w:after="0"/>
              <w:rPr>
                <w:sz w:val="19"/>
                <w:szCs w:val="19"/>
                <w:color w:val="auto"/>
              </w:rPr>
            </w:pPr>
          </w:p>
        </w:tc>
      </w:tr>
      <w:tr>
        <w:trPr>
          <w:trHeight w:val="233"/>
        </w:trPr>
        <w:tc>
          <w:tcPr>
            <w:tcW w:w="706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Tenants' security, escrow deposits and prepaid rent</w:t>
            </w: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2,442</w:t>
            </w:r>
          </w:p>
        </w:tc>
        <w:tc>
          <w:tcPr>
            <w:tcW w:w="24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3,696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598,813</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547,685</w:t>
            </w: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of operating real estate</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(45,205 )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(2,033 )</w:t>
            </w: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Acquisition of UBP, net of cash acquired of $14,143 in 2023</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(80,488 )</w:t>
            </w: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Real estate development and capital improvements</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(235,284 )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(158,982 )</w:t>
            </w: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sale of real estate</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103,626</w:t>
            </w: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10,338</w:t>
            </w:r>
          </w:p>
        </w:tc>
        <w:tc>
          <w:tcPr>
            <w:tcW w:w="100" w:type="dxa"/>
            <w:vAlign w:val="bottom"/>
            <w:shd w:val="clear" w:color="auto" w:fill="CFF0FC"/>
          </w:tcPr>
          <w:p>
            <w:pPr>
              <w:spacing w:after="0"/>
              <w:rPr>
                <w:sz w:val="20"/>
                <w:szCs w:val="20"/>
                <w:color w:val="auto"/>
              </w:rPr>
            </w:pP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property insurance casualty claims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w:t>
            </w:r>
          </w:p>
        </w:tc>
        <w:tc>
          <w:tcPr>
            <w:tcW w:w="240" w:type="dxa"/>
            <w:vAlign w:val="bottom"/>
          </w:tcPr>
          <w:p>
            <w:pPr>
              <w:spacing w:after="0"/>
              <w:rPr>
                <w:sz w:val="19"/>
                <w:szCs w:val="19"/>
                <w:color w:val="auto"/>
              </w:rPr>
            </w:pP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Issuance of notes receivable</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(32,651 )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(4,000 )</w:t>
            </w: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Collection of notes receivable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w:t>
            </w:r>
          </w:p>
        </w:tc>
        <w:tc>
          <w:tcPr>
            <w:tcW w:w="240" w:type="dxa"/>
            <w:vAlign w:val="bottom"/>
          </w:tcPr>
          <w:p>
            <w:pPr>
              <w:spacing w:after="0"/>
              <w:rPr>
                <w:sz w:val="19"/>
                <w:szCs w:val="19"/>
                <w:color w:val="auto"/>
              </w:rPr>
            </w:pP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Investments in real estate partnerships</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(25,771 )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(9,118 )</w:t>
            </w: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Return of capital from investments in real estate partnerships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12,859</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100" w:type="dxa"/>
            <w:vAlign w:val="bottom"/>
          </w:tcPr>
          <w:p>
            <w:pPr>
              <w:spacing w:after="0"/>
              <w:rPr>
                <w:sz w:val="19"/>
                <w:szCs w:val="19"/>
                <w:color w:val="auto"/>
              </w:rPr>
            </w:pP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Dividends on investment securities</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shd w:val="clear" w:color="auto" w:fill="CFF0FC"/>
          </w:tcPr>
          <w:p>
            <w:pPr>
              <w:spacing w:after="0"/>
              <w:rPr>
                <w:sz w:val="20"/>
                <w:szCs w:val="20"/>
                <w:color w:val="auto"/>
              </w:rPr>
            </w:pP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Acquisition of investment securities</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(99,035 )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(5,206 )</w:t>
            </w:r>
          </w:p>
        </w:tc>
      </w:tr>
      <w:tr>
        <w:trPr>
          <w:trHeight w:val="233"/>
        </w:trPr>
        <w:tc>
          <w:tcPr>
            <w:tcW w:w="70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sale of investment securities</w:t>
            </w:r>
          </w:p>
        </w:tc>
        <w:tc>
          <w:tcPr>
            <w:tcW w:w="34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103,785</w:t>
            </w:r>
          </w:p>
        </w:tc>
        <w:tc>
          <w:tcPr>
            <w:tcW w:w="24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7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(209,071 )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(231,527 )</w:t>
            </w:r>
          </w:p>
        </w:tc>
      </w:tr>
      <w:tr>
        <w:trPr>
          <w:trHeight w:val="23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proceeds from common stock issuance</w:t>
            </w:r>
          </w:p>
        </w:tc>
        <w:tc>
          <w:tcPr>
            <w:tcW w:w="340" w:type="dxa"/>
            <w:vAlign w:val="bottom"/>
          </w:tcPr>
          <w:p>
            <w:pPr>
              <w:spacing w:after="0"/>
              <w:rPr>
                <w:sz w:val="19"/>
                <w:szCs w:val="19"/>
                <w:color w:val="auto"/>
              </w:rPr>
            </w:pPr>
          </w:p>
        </w:tc>
        <w:tc>
          <w:tcPr>
            <w:tcW w:w="13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Repurchase of common shares in conjunction with equity award plans</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(8,776 )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(7,653 )</w:t>
            </w: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Common units repurchased through share repurchase program</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(200,066 )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(20,006 )</w:t>
            </w: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sale of treasury stock</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24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FF0FC"/>
          </w:tcPr>
          <w:p>
            <w:pPr>
              <w:spacing w:after="0"/>
              <w:rPr>
                <w:sz w:val="20"/>
                <w:szCs w:val="20"/>
                <w:color w:val="auto"/>
              </w:rPr>
            </w:pP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6,533</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3,167</w:t>
            </w:r>
          </w:p>
        </w:tc>
        <w:tc>
          <w:tcPr>
            <w:tcW w:w="100" w:type="dxa"/>
            <w:vAlign w:val="bottom"/>
          </w:tcPr>
          <w:p>
            <w:pPr>
              <w:spacing w:after="0"/>
              <w:rPr>
                <w:sz w:val="19"/>
                <w:szCs w:val="19"/>
                <w:color w:val="auto"/>
              </w:rPr>
            </w:pP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Distributions to and redemptions of non-controlling interests</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(9,435 )</w:t>
            </w: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Distributions to partners</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(371,214 )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(334,293 )</w:t>
            </w: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Dividends paid to preferred unit holders</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(10,239 )</w:t>
            </w: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Repayment of fixed rate unsecured notes</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(250,000 )</w:t>
            </w:r>
          </w:p>
        </w:tc>
        <w:tc>
          <w:tcPr>
            <w:tcW w:w="13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Proceeds from issuance of fixed rate unsecured notes, net of debt discount</w:t>
            </w:r>
          </w:p>
        </w:tc>
        <w:tc>
          <w:tcPr>
            <w:tcW w:w="34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722,860</w:t>
            </w:r>
          </w:p>
        </w:tc>
        <w:tc>
          <w:tcPr>
            <w:tcW w:w="24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unsecured credit facilities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527,419</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442,000</w:t>
            </w:r>
          </w:p>
        </w:tc>
        <w:tc>
          <w:tcPr>
            <w:tcW w:w="100" w:type="dxa"/>
            <w:vAlign w:val="bottom"/>
          </w:tcPr>
          <w:p>
            <w:pPr>
              <w:spacing w:after="0"/>
              <w:rPr>
                <w:sz w:val="19"/>
                <w:szCs w:val="19"/>
                <w:color w:val="auto"/>
              </w:rPr>
            </w:pP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Repayment of unsecured credit facilities</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(649,419 )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(365,000 )</w:t>
            </w: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Proceeds from notes payable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12,000</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46,500</w:t>
            </w:r>
          </w:p>
        </w:tc>
        <w:tc>
          <w:tcPr>
            <w:tcW w:w="100" w:type="dxa"/>
            <w:vAlign w:val="bottom"/>
          </w:tcPr>
          <w:p>
            <w:pPr>
              <w:spacing w:after="0"/>
              <w:rPr>
                <w:sz w:val="19"/>
                <w:szCs w:val="19"/>
                <w:color w:val="auto"/>
              </w:rPr>
            </w:pP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Repayment of notes payable</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(110,862 )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(60,257 )</w:t>
            </w:r>
          </w:p>
        </w:tc>
      </w:tr>
      <w:tr>
        <w:trPr>
          <w:trHeight w:val="220"/>
        </w:trPr>
        <w:tc>
          <w:tcPr>
            <w:tcW w:w="70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Scheduled principal payments</w:t>
            </w:r>
          </w:p>
        </w:tc>
        <w:tc>
          <w:tcPr>
            <w:tcW w:w="340" w:type="dxa"/>
            <w:vAlign w:val="bottom"/>
          </w:tcPr>
          <w:p>
            <w:pPr>
              <w:spacing w:after="0"/>
              <w:rPr>
                <w:sz w:val="19"/>
                <w:szCs w:val="19"/>
                <w:color w:val="auto"/>
              </w:rPr>
            </w:pPr>
          </w:p>
        </w:tc>
        <w:tc>
          <w:tcPr>
            <w:tcW w:w="13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(8,716 )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(7,977 )</w:t>
            </w:r>
          </w:p>
        </w:tc>
      </w:tr>
      <w:tr>
        <w:trPr>
          <w:trHeight w:val="239"/>
        </w:trPr>
        <w:tc>
          <w:tcPr>
            <w:tcW w:w="70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Payment of financing costs</w:t>
            </w:r>
          </w:p>
        </w:tc>
        <w:tc>
          <w:tcPr>
            <w:tcW w:w="34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(16,560 )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(411 )</w:t>
            </w:r>
          </w:p>
        </w:tc>
      </w:tr>
      <w:tr>
        <w:trPr>
          <w:trHeight w:val="216"/>
        </w:trPr>
        <w:tc>
          <w:tcPr>
            <w:tcW w:w="706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(366,265</w:t>
            </w:r>
          </w:p>
        </w:tc>
        <w:tc>
          <w:tcPr>
            <w:tcW w:w="2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(303,864</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9"/>
        </w:trPr>
        <w:tc>
          <w:tcPr>
            <w:tcW w:w="70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Net increase in cash and cash equivalents and restricted cash</w:t>
            </w: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23,477</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12,294</w:t>
            </w:r>
          </w:p>
        </w:tc>
        <w:tc>
          <w:tcPr>
            <w:tcW w:w="100" w:type="dxa"/>
            <w:vAlign w:val="bottom"/>
            <w:shd w:val="clear" w:color="auto" w:fill="CFF0FC"/>
          </w:tcPr>
          <w:p>
            <w:pPr>
              <w:spacing w:after="0"/>
              <w:rPr>
                <w:sz w:val="19"/>
                <w:szCs w:val="19"/>
                <w:color w:val="auto"/>
              </w:rPr>
            </w:pPr>
          </w:p>
        </w:tc>
      </w:tr>
      <w:tr>
        <w:trPr>
          <w:trHeight w:val="223"/>
        </w:trPr>
        <w:tc>
          <w:tcPr>
            <w:tcW w:w="70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beginning of the period</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91,354</w:t>
            </w:r>
          </w:p>
        </w:tc>
        <w:tc>
          <w:tcPr>
            <w:tcW w:w="240" w:type="dxa"/>
            <w:vAlign w:val="bottom"/>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68,776</w:t>
            </w:r>
          </w:p>
        </w:tc>
        <w:tc>
          <w:tcPr>
            <w:tcW w:w="100" w:type="dxa"/>
            <w:vAlign w:val="bottom"/>
          </w:tcPr>
          <w:p>
            <w:pPr>
              <w:spacing w:after="0"/>
              <w:rPr>
                <w:sz w:val="19"/>
                <w:szCs w:val="19"/>
                <w:color w:val="auto"/>
              </w:rPr>
            </w:pPr>
          </w:p>
        </w:tc>
      </w:tr>
      <w:tr>
        <w:trPr>
          <w:trHeight w:val="263"/>
        </w:trPr>
        <w:tc>
          <w:tcPr>
            <w:tcW w:w="7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 and restricted cash at end of the period</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114,831</w:t>
            </w:r>
          </w:p>
        </w:tc>
        <w:tc>
          <w:tcPr>
            <w:tcW w:w="24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81,070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-5331460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-5331460</wp:posOffset>
            </wp:positionV>
            <wp:extent cx="603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-3274060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-3274060</wp:posOffset>
            </wp:positionV>
            <wp:extent cx="6032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5778500</wp:posOffset>
            </wp:positionH>
            <wp:positionV relativeFrom="paragraph">
              <wp:posOffset>-646430</wp:posOffset>
            </wp:positionV>
            <wp:extent cx="93980" cy="1879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3980" cy="187960"/>
                    </a:xfrm>
                    <a:prstGeom prst="rect">
                      <a:avLst/>
                    </a:prstGeom>
                    <a:noFill/>
                  </pic:spPr>
                </pic:pic>
              </a:graphicData>
            </a:graphic>
          </wp:anchor>
        </w:drawing>
        <w:drawing>
          <wp:anchor simplePos="0" relativeHeight="251657728" behindDoc="1" locked="0" layoutInCell="0" allowOverlap="1">
            <wp:simplePos x="0" y="0"/>
            <wp:positionH relativeFrom="column">
              <wp:posOffset>6704330</wp:posOffset>
            </wp:positionH>
            <wp:positionV relativeFrom="paragraph">
              <wp:posOffset>-646430</wp:posOffset>
            </wp:positionV>
            <wp:extent cx="85725" cy="1879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5725" cy="18796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-25400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-8255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financial statements.</w:t>
      </w:r>
    </w:p>
    <w:p>
      <w:pPr>
        <w:spacing w:after="0" w:line="23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2667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26670"/>
                    </a:xfrm>
                    <a:prstGeom prst="rect">
                      <a:avLst/>
                    </a:prstGeom>
                    <a:noFill/>
                  </pic:spPr>
                </pic:pic>
              </a:graphicData>
            </a:graphic>
          </wp:anchor>
        </w:drawing>
      </w:r>
    </w:p>
    <w:p>
      <w:pPr>
        <w:sectPr>
          <w:pgSz w:w="11900" w:h="16838" w:orient="portrait"/>
          <w:cols w:equalWidth="0" w:num="1">
            <w:col w:w="10680"/>
          </w:cols>
          <w:pgMar w:left="320" w:top="1008" w:right="899" w:bottom="380" w:gutter="0" w:footer="0" w:header="0"/>
        </w:sectPr>
      </w:pPr>
    </w:p>
    <w:bookmarkStart w:id="17" w:name="page18"/>
    <w:bookmarkEnd w:id="17"/>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REGENCY CENTERS, L.P.</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2024 and 2023</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1"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7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60" w:type="dxa"/>
            <w:vAlign w:val="bottom"/>
            <w:gridSpan w:val="2"/>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2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3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paid for interest (net of capitalized interest of $4,812 and $4,026 in 2024 and 2023, respectively)</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137,367</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116,686</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7,114</w:t>
            </w:r>
          </w:p>
        </w:tc>
        <w:tc>
          <w:tcPr>
            <w:tcW w:w="1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728</w:t>
            </w:r>
          </w:p>
        </w:tc>
        <w:tc>
          <w:tcPr>
            <w:tcW w:w="0" w:type="dxa"/>
            <w:vAlign w:val="bottom"/>
          </w:tcPr>
          <w:p>
            <w:pPr>
              <w:spacing w:after="0"/>
              <w:rPr>
                <w:sz w:val="1"/>
                <w:szCs w:val="1"/>
                <w:color w:val="auto"/>
              </w:rPr>
            </w:pPr>
          </w:p>
        </w:tc>
      </w:tr>
      <w:tr>
        <w:trPr>
          <w:trHeight w:val="207"/>
        </w:trPr>
        <w:tc>
          <w:tcPr>
            <w:tcW w:w="70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Supplemental disclosure of non-cash transactions:</w:t>
            </w: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Common and Preferred stock, and exchangeable operating partnership dividends declared</w:t>
            </w:r>
          </w:p>
        </w:tc>
        <w:tc>
          <w:tcPr>
            <w:tcW w:w="340" w:type="dxa"/>
            <w:vAlign w:val="bottom"/>
            <w:vMerge w:val="restart"/>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126,085</w:t>
            </w:r>
          </w:p>
        </w:tc>
        <w:tc>
          <w:tcPr>
            <w:tcW w:w="140" w:type="dxa"/>
            <w:vAlign w:val="bottom"/>
            <w:vMerge w:val="restart"/>
            <w:shd w:val="clear" w:color="auto" w:fill="CFF0FC"/>
          </w:tcPr>
          <w:p>
            <w:pPr>
              <w:spacing w:after="0"/>
              <w:rPr>
                <w:sz w:val="18"/>
                <w:szCs w:val="18"/>
                <w:color w:val="auto"/>
              </w:rPr>
            </w:pPr>
          </w:p>
        </w:tc>
        <w:tc>
          <w:tcPr>
            <w:tcW w:w="132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122,946</w:t>
            </w:r>
          </w:p>
        </w:tc>
        <w:tc>
          <w:tcPr>
            <w:tcW w:w="0" w:type="dxa"/>
            <w:vAlign w:val="bottom"/>
          </w:tcPr>
          <w:p>
            <w:pPr>
              <w:spacing w:after="0"/>
              <w:rPr>
                <w:sz w:val="1"/>
                <w:szCs w:val="1"/>
                <w:color w:val="auto"/>
              </w:rPr>
            </w:pPr>
          </w:p>
        </w:tc>
      </w:tr>
      <w:tr>
        <w:trPr>
          <w:trHeight w:val="229"/>
        </w:trPr>
        <w:tc>
          <w:tcPr>
            <w:tcW w:w="7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but not paid</w:t>
            </w:r>
          </w:p>
        </w:tc>
        <w:tc>
          <w:tcPr>
            <w:tcW w:w="340" w:type="dxa"/>
            <w:vAlign w:val="bottom"/>
            <w:tcBorders>
              <w:bottom w:val="single" w:sz="8" w:color="auto"/>
            </w:tcBorders>
            <w:vMerge w:val="continue"/>
            <w:shd w:val="clear" w:color="auto" w:fill="CFF0FC"/>
          </w:tcPr>
          <w:p>
            <w:pPr>
              <w:spacing w:after="0"/>
              <w:rPr>
                <w:sz w:val="19"/>
                <w:szCs w:val="19"/>
                <w:color w:val="auto"/>
              </w:rPr>
            </w:pPr>
          </w:p>
        </w:tc>
        <w:tc>
          <w:tcPr>
            <w:tcW w:w="1240" w:type="dxa"/>
            <w:vAlign w:val="bottom"/>
            <w:tcBorders>
              <w:bottom w:val="single" w:sz="8" w:color="auto"/>
            </w:tcBorders>
            <w:vMerge w:val="continue"/>
            <w:shd w:val="clear" w:color="auto" w:fill="CFF0FC"/>
          </w:tcPr>
          <w:p>
            <w:pPr>
              <w:spacing w:after="0"/>
              <w:rPr>
                <w:sz w:val="19"/>
                <w:szCs w:val="19"/>
                <w:color w:val="auto"/>
              </w:rPr>
            </w:pPr>
          </w:p>
        </w:tc>
        <w:tc>
          <w:tcPr>
            <w:tcW w:w="140" w:type="dxa"/>
            <w:vAlign w:val="bottom"/>
            <w:tcBorders>
              <w:bottom w:val="single" w:sz="8" w:color="CFF0FC"/>
            </w:tcBorders>
            <w:vMerge w:val="continue"/>
            <w:shd w:val="clear" w:color="auto" w:fill="CFF0FC"/>
          </w:tcPr>
          <w:p>
            <w:pPr>
              <w:spacing w:after="0"/>
              <w:rPr>
                <w:sz w:val="19"/>
                <w:szCs w:val="19"/>
                <w:color w:val="auto"/>
              </w:rPr>
            </w:pPr>
          </w:p>
        </w:tc>
        <w:tc>
          <w:tcPr>
            <w:tcW w:w="132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Right of use assets obtained in exchange for new operating lease liabilities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1,271</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32,002</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Sale of leased asset in exchange for net investment in sales-type lease</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2,846</w:t>
            </w:r>
          </w:p>
        </w:tc>
        <w:tc>
          <w:tcPr>
            <w:tcW w:w="1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8,510</w:t>
            </w:r>
          </w:p>
        </w:tc>
        <w:tc>
          <w:tcPr>
            <w:tcW w:w="0" w:type="dxa"/>
            <w:vAlign w:val="bottom"/>
          </w:tcPr>
          <w:p>
            <w:pPr>
              <w:spacing w:after="0"/>
              <w:rPr>
                <w:sz w:val="1"/>
                <w:szCs w:val="1"/>
                <w:color w:val="auto"/>
              </w:rPr>
            </w:pPr>
          </w:p>
        </w:tc>
      </w:tr>
      <w:tr>
        <w:trPr>
          <w:trHeight w:val="207"/>
        </w:trPr>
        <w:tc>
          <w:tcPr>
            <w:tcW w:w="706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UBP Acquisition:</w:t>
            </w: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3"/>
        </w:trPr>
        <w:tc>
          <w:tcPr>
            <w:tcW w:w="706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Notes payable assumed in acquisition, at fair value</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284,706</w:t>
            </w:r>
          </w:p>
        </w:tc>
        <w:tc>
          <w:tcPr>
            <w:tcW w:w="0" w:type="dxa"/>
            <w:vAlign w:val="bottom"/>
          </w:tcPr>
          <w:p>
            <w:pPr>
              <w:spacing w:after="0"/>
              <w:rPr>
                <w:sz w:val="1"/>
                <w:szCs w:val="1"/>
                <w:color w:val="auto"/>
              </w:rPr>
            </w:pPr>
          </w:p>
        </w:tc>
      </w:tr>
      <w:tr>
        <w:trPr>
          <w:trHeight w:val="210"/>
        </w:trPr>
        <w:tc>
          <w:tcPr>
            <w:tcW w:w="70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Non-controlling interest assumed in acquisition, at fair value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64,492</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6"/>
                <w:szCs w:val="16"/>
                <w:color w:val="auto"/>
              </w:rPr>
              <w:t>Common stock exchanged for UBP shares</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818,530</w:t>
            </w:r>
          </w:p>
        </w:tc>
        <w:tc>
          <w:tcPr>
            <w:tcW w:w="0" w:type="dxa"/>
            <w:vAlign w:val="bottom"/>
          </w:tcPr>
          <w:p>
            <w:pPr>
              <w:spacing w:after="0"/>
              <w:rPr>
                <w:sz w:val="1"/>
                <w:szCs w:val="1"/>
                <w:color w:val="auto"/>
              </w:rPr>
            </w:pPr>
          </w:p>
        </w:tc>
      </w:tr>
      <w:tr>
        <w:trPr>
          <w:trHeight w:val="210"/>
        </w:trPr>
        <w:tc>
          <w:tcPr>
            <w:tcW w:w="70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Preferred stock exchanged for UBP shares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225,000</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Common stock issued by Parent Company for partnership units exchanged</w:t>
            </w:r>
          </w:p>
        </w:tc>
        <w:tc>
          <w:tcPr>
            <w:tcW w:w="34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735</w:t>
            </w:r>
          </w:p>
        </w:tc>
        <w:tc>
          <w:tcPr>
            <w:tcW w:w="14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10"/>
        </w:trPr>
        <w:tc>
          <w:tcPr>
            <w:tcW w:w="706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6"/>
                <w:szCs w:val="16"/>
                <w:color w:val="auto"/>
              </w:rPr>
              <w:t>Reallocation of equity upon acquisition of non-controlling interest</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8,694</w:t>
            </w:r>
          </w:p>
        </w:tc>
        <w:tc>
          <w:tcPr>
            <w:tcW w:w="140" w:type="dxa"/>
            <w:vAlign w:val="bottom"/>
            <w:tcBorders>
              <w:top w:val="single" w:sz="8" w:color="CFF0FC"/>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Exchangeable operating partnership units issued for acquisition of real estate</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20,000</w:t>
            </w:r>
          </w:p>
        </w:tc>
        <w:tc>
          <w:tcPr>
            <w:tcW w:w="0" w:type="dxa"/>
            <w:vAlign w:val="bottom"/>
          </w:tcPr>
          <w:p>
            <w:pPr>
              <w:spacing w:after="0"/>
              <w:rPr>
                <w:sz w:val="1"/>
                <w:szCs w:val="1"/>
                <w:color w:val="auto"/>
              </w:rPr>
            </w:pPr>
          </w:p>
        </w:tc>
      </w:tr>
      <w:tr>
        <w:trPr>
          <w:trHeight w:val="210"/>
        </w:trPr>
        <w:tc>
          <w:tcPr>
            <w:tcW w:w="7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accrued capital expenditures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8,837</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20,967</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Common stock issued by Parent Company for dividend reinvestment plan</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494</w:t>
            </w:r>
          </w:p>
        </w:tc>
        <w:tc>
          <w:tcPr>
            <w:tcW w:w="1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461</w:t>
            </w:r>
          </w:p>
        </w:tc>
        <w:tc>
          <w:tcPr>
            <w:tcW w:w="0" w:type="dxa"/>
            <w:vAlign w:val="bottom"/>
          </w:tcPr>
          <w:p>
            <w:pPr>
              <w:spacing w:after="0"/>
              <w:rPr>
                <w:sz w:val="1"/>
                <w:szCs w:val="1"/>
                <w:color w:val="auto"/>
              </w:rPr>
            </w:pPr>
          </w:p>
        </w:tc>
      </w:tr>
      <w:tr>
        <w:trPr>
          <w:trHeight w:val="210"/>
        </w:trPr>
        <w:tc>
          <w:tcPr>
            <w:tcW w:w="7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Stock-based compensation capitalized</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1,383</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Contributions to investments in real estate partnerships</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18,242</w:t>
            </w:r>
          </w:p>
        </w:tc>
        <w:tc>
          <w:tcPr>
            <w:tcW w:w="1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Contributions from limited partners in consolidated partnerships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7,891</w:t>
            </w:r>
          </w:p>
        </w:tc>
        <w:tc>
          <w:tcPr>
            <w:tcW w:w="140" w:type="dxa"/>
            <w:vAlign w:val="bottom"/>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Common stock issued for dividend reinvestment in trust</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918</w:t>
            </w:r>
          </w:p>
        </w:tc>
        <w:tc>
          <w:tcPr>
            <w:tcW w:w="1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905</w:t>
            </w:r>
          </w:p>
        </w:tc>
        <w:tc>
          <w:tcPr>
            <w:tcW w:w="0" w:type="dxa"/>
            <w:vAlign w:val="bottom"/>
          </w:tcPr>
          <w:p>
            <w:pPr>
              <w:spacing w:after="0"/>
              <w:rPr>
                <w:sz w:val="1"/>
                <w:szCs w:val="1"/>
                <w:color w:val="auto"/>
              </w:rPr>
            </w:pPr>
          </w:p>
        </w:tc>
      </w:tr>
      <w:tr>
        <w:trPr>
          <w:trHeight w:val="210"/>
        </w:trPr>
        <w:tc>
          <w:tcPr>
            <w:tcW w:w="7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Contribution of stock awards into trust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1,749</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1,961</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Distribution of stock held in trust</w:t>
            </w: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476</w:t>
            </w:r>
          </w:p>
        </w:tc>
        <w:tc>
          <w:tcPr>
            <w:tcW w:w="14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2,245</w:t>
            </w:r>
          </w:p>
        </w:tc>
        <w:tc>
          <w:tcPr>
            <w:tcW w:w="0" w:type="dxa"/>
            <w:vAlign w:val="bottom"/>
          </w:tcPr>
          <w:p>
            <w:pPr>
              <w:spacing w:after="0"/>
              <w:rPr>
                <w:sz w:val="1"/>
                <w:szCs w:val="1"/>
                <w:color w:val="auto"/>
              </w:rPr>
            </w:pPr>
          </w:p>
        </w:tc>
      </w:tr>
      <w:tr>
        <w:trPr>
          <w:trHeight w:val="210"/>
        </w:trPr>
        <w:tc>
          <w:tcPr>
            <w:tcW w:w="7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fair value of securities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295</w:t>
            </w:r>
          </w:p>
        </w:tc>
        <w:tc>
          <w:tcPr>
            <w:tcW w:w="14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-3676650</wp:posOffset>
            </wp:positionV>
            <wp:extent cx="857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-3659505</wp:posOffset>
            </wp:positionV>
            <wp:extent cx="857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-3256915</wp:posOffset>
            </wp:positionV>
            <wp:extent cx="857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-3239770</wp:posOffset>
            </wp:positionV>
            <wp:extent cx="8572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-2914015</wp:posOffset>
            </wp:positionV>
            <wp:extent cx="8572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-2896870</wp:posOffset>
            </wp:positionV>
            <wp:extent cx="8572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-2596515</wp:posOffset>
            </wp:positionV>
            <wp:extent cx="857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-2579370</wp:posOffset>
            </wp:positionV>
            <wp:extent cx="857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-2253615</wp:posOffset>
            </wp:positionV>
            <wp:extent cx="8572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-2236470</wp:posOffset>
            </wp:positionV>
            <wp:extent cx="857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-1910715</wp:posOffset>
            </wp:positionV>
            <wp:extent cx="857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-1893570</wp:posOffset>
            </wp:positionV>
            <wp:extent cx="857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-1567815</wp:posOffset>
            </wp:positionV>
            <wp:extent cx="857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-1550670</wp:posOffset>
            </wp:positionV>
            <wp:extent cx="857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-1224915</wp:posOffset>
            </wp:positionV>
            <wp:extent cx="857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-1207770</wp:posOffset>
            </wp:positionV>
            <wp:extent cx="857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-882015</wp:posOffset>
            </wp:positionV>
            <wp:extent cx="857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-864870</wp:posOffset>
            </wp:positionV>
            <wp:extent cx="8572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-539115</wp:posOffset>
            </wp:positionV>
            <wp:extent cx="857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-521970</wp:posOffset>
            </wp:positionV>
            <wp:extent cx="857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-196215</wp:posOffset>
            </wp:positionV>
            <wp:extent cx="8572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-179070</wp:posOffset>
            </wp:positionV>
            <wp:extent cx="857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 financial statements.</w:t>
      </w:r>
    </w:p>
    <w:p>
      <w:pPr>
        <w:spacing w:after="0" w:line="200" w:lineRule="exact"/>
        <w:rPr>
          <w:sz w:val="20"/>
          <w:szCs w:val="20"/>
          <w:color w:val="auto"/>
        </w:rPr>
      </w:pPr>
    </w:p>
    <w:p>
      <w:pPr>
        <w:spacing w:after="0" w:line="24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008" w:right="899" w:bottom="1440" w:gutter="0" w:footer="0" w:header="0"/>
        </w:sectPr>
      </w:pPr>
    </w:p>
    <w:bookmarkStart w:id="18" w:name="page19"/>
    <w:bookmarkEnd w:id="18"/>
    <w:p>
      <w:pPr>
        <w:jc w:val="center"/>
        <w:ind w:left="360" w:right="2660"/>
        <w:spacing w:after="0" w:line="26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2024</w:t>
      </w:r>
    </w:p>
    <w:p>
      <w:pPr>
        <w:spacing w:after="0" w:line="200" w:lineRule="exact"/>
        <w:rPr>
          <w:sz w:val="20"/>
          <w:szCs w:val="20"/>
          <w:color w:val="auto"/>
        </w:rPr>
      </w:pPr>
    </w:p>
    <w:p>
      <w:pPr>
        <w:spacing w:after="0" w:line="218" w:lineRule="exact"/>
        <w:rPr>
          <w:sz w:val="20"/>
          <w:szCs w:val="20"/>
          <w:color w:val="auto"/>
        </w:rPr>
      </w:pPr>
    </w:p>
    <w:p>
      <w:pPr>
        <w:ind w:left="340" w:hanging="339"/>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 and Significant Accounting Policies</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71" w:lineRule="exact"/>
        <w:rPr>
          <w:sz w:val="20"/>
          <w:szCs w:val="20"/>
          <w:color w:val="auto"/>
        </w:rPr>
      </w:pPr>
    </w:p>
    <w:p>
      <w:pPr>
        <w:ind w:left="360" w:right="380"/>
        <w:spacing w:after="0" w:line="258" w:lineRule="auto"/>
        <w:rPr>
          <w:sz w:val="20"/>
          <w:szCs w:val="20"/>
          <w:color w:val="auto"/>
        </w:rPr>
      </w:pPr>
      <w:r>
        <w:rPr>
          <w:rFonts w:ascii="Times New Roman" w:cs="Times New Roman" w:eastAsia="Times New Roman" w:hAnsi="Times New Roman"/>
          <w:sz w:val="18"/>
          <w:szCs w:val="18"/>
          <w:color w:val="auto"/>
        </w:rPr>
        <w:t>Regency Centers Corporation (the "Parent Company") began its operations as a REIT in 1993 and is the general partner of Regency Centers, L.P. (the "Operating Partnership"). The Parent Company primarily engages in the ownership, management, leasing, acquisition, development, and redevelopment of shopping centers through the Operating Partnership and has no other assets other than through its investment in the Operating Partnership. Its only indebtedness consists of $200 million of unsecured private placement notes, which are co-issued and guaranteed by the Operating Partnership. The Parent Company guarantees all of the unsecured debt of the Operating Partnership.</w:t>
      </w:r>
    </w:p>
    <w:p>
      <w:pPr>
        <w:spacing w:after="0" w:line="129" w:lineRule="exact"/>
        <w:rPr>
          <w:sz w:val="20"/>
          <w:szCs w:val="20"/>
          <w:color w:val="auto"/>
        </w:rPr>
      </w:pPr>
    </w:p>
    <w:p>
      <w:pPr>
        <w:ind w:left="360" w:right="140"/>
        <w:spacing w:after="0" w:line="266" w:lineRule="auto"/>
        <w:rPr>
          <w:sz w:val="20"/>
          <w:szCs w:val="20"/>
          <w:color w:val="auto"/>
        </w:rPr>
      </w:pPr>
      <w:r>
        <w:rPr>
          <w:rFonts w:ascii="Times New Roman" w:cs="Times New Roman" w:eastAsia="Times New Roman" w:hAnsi="Times New Roman"/>
          <w:sz w:val="18"/>
          <w:szCs w:val="18"/>
          <w:color w:val="auto"/>
        </w:rPr>
        <w:t>As of September 30, 2024, the Parent Company, the Operating Partnership, and their controlled subsidiaries on a consolidated basis owned 381 properties and held partial interests in an additional 102 properties through unconsolidated Investments in real estate partnerships (also referred to as "joint ventures" or "investment partnerships").</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171" w:lineRule="exact"/>
        <w:rPr>
          <w:sz w:val="20"/>
          <w:szCs w:val="20"/>
          <w:color w:val="auto"/>
        </w:rPr>
      </w:pPr>
    </w:p>
    <w:p>
      <w:pPr>
        <w:ind w:left="360"/>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Report should be read in conjunction with the Company's Annual Report on Form 10-K for the year ended December 31, 2023, as certain disclosures in this Report that would duplicate those included in such Annual Report on Form 10-K are not included in these consolidated financial statements. The consolidated financial statements reflect all adjustments which are, in the opinion of management, necessary to fairly state the results for the interim periods presented. These adjustments are considered to be of a normal recurring nature.</w:t>
      </w:r>
    </w:p>
    <w:p>
      <w:pPr>
        <w:spacing w:after="0" w:line="12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Acquisition of Urstadt Biddle Properties Inc.</w:t>
      </w:r>
    </w:p>
    <w:p>
      <w:pPr>
        <w:spacing w:after="0" w:line="171" w:lineRule="exact"/>
        <w:rPr>
          <w:sz w:val="20"/>
          <w:szCs w:val="20"/>
          <w:color w:val="auto"/>
        </w:rPr>
      </w:pPr>
    </w:p>
    <w:p>
      <w:pPr>
        <w:ind w:left="360" w:right="40"/>
        <w:spacing w:after="0" w:line="256" w:lineRule="auto"/>
        <w:rPr>
          <w:sz w:val="20"/>
          <w:szCs w:val="20"/>
          <w:color w:val="auto"/>
        </w:rPr>
      </w:pPr>
      <w:r>
        <w:rPr>
          <w:rFonts w:ascii="Times New Roman" w:cs="Times New Roman" w:eastAsia="Times New Roman" w:hAnsi="Times New Roman"/>
          <w:sz w:val="18"/>
          <w:szCs w:val="18"/>
          <w:color w:val="212529"/>
        </w:rPr>
        <w:t xml:space="preserve">On August 18, 2023, the Company acquired </w:t>
      </w:r>
      <w:r>
        <w:rPr>
          <w:rFonts w:ascii="Times New Roman" w:cs="Times New Roman" w:eastAsia="Times New Roman" w:hAnsi="Times New Roman"/>
          <w:sz w:val="18"/>
          <w:szCs w:val="18"/>
          <w:color w:val="000000"/>
        </w:rPr>
        <w:t>Urstadt Biddle Properties Inc. ("UBP") which</w:t>
      </w:r>
      <w:r>
        <w:rPr>
          <w:rFonts w:ascii="Times New Roman" w:cs="Times New Roman" w:eastAsia="Times New Roman" w:hAnsi="Times New Roman"/>
          <w:sz w:val="18"/>
          <w:szCs w:val="18"/>
          <w:color w:val="212529"/>
        </w:rPr>
        <w:t xml:space="preserve"> was accounted for as an asset acquisitio</w:t>
      </w:r>
      <w:r>
        <w:rPr>
          <w:rFonts w:ascii="Times New Roman" w:cs="Times New Roman" w:eastAsia="Times New Roman" w:hAnsi="Times New Roman"/>
          <w:sz w:val="18"/>
          <w:szCs w:val="18"/>
          <w:color w:val="000000"/>
        </w:rPr>
        <w:t>n. Under the terms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of the merger agreement, each share of Urstadt Biddle common stock and Urstadt Biddle Class A common stock was converted into 0.347 of a share of common stock of the Parent Company. Additionally, each share of UBP’s 6.25% Series H Cumulative Redeemable Preferred Stock and 5.875% Series K Cumulative Redeemable Preferred Stock was converted into one share of newly issued Parent Company 6.25% Series A Cumulative Redeemable Preferred Stock ("Parent Company Series A preferred stock") and 5.875% Series B Cumulative Redeemable Preferred Stock ("Parent Company Series B preferred stock"), respectively (collectively referred to as the "Preferred Stock").</w:t>
      </w:r>
    </w:p>
    <w:p>
      <w:pPr>
        <w:spacing w:after="0" w:line="133" w:lineRule="exact"/>
        <w:rPr>
          <w:sz w:val="20"/>
          <w:szCs w:val="20"/>
          <w:color w:val="auto"/>
        </w:rPr>
      </w:pPr>
    </w:p>
    <w:p>
      <w:pPr>
        <w:ind w:left="360" w:right="140"/>
        <w:spacing w:after="0" w:line="266" w:lineRule="auto"/>
        <w:rPr>
          <w:sz w:val="20"/>
          <w:szCs w:val="20"/>
          <w:color w:val="auto"/>
        </w:rPr>
      </w:pPr>
      <w:r>
        <w:rPr>
          <w:rFonts w:ascii="Times New Roman" w:cs="Times New Roman" w:eastAsia="Times New Roman" w:hAnsi="Times New Roman"/>
          <w:sz w:val="18"/>
          <w:szCs w:val="18"/>
          <w:color w:val="212529"/>
        </w:rPr>
        <w:t xml:space="preserve">As a result of the acquisition, the Company acquired 74 properties representing 5.3 million square feet of GLA, including 10 properties held through real estate partnerships. See the Company's audited Annual Report on Form 10-K for the year ended </w:t>
      </w:r>
      <w:r>
        <w:rPr>
          <w:rFonts w:ascii="Times New Roman" w:cs="Times New Roman" w:eastAsia="Times New Roman" w:hAnsi="Times New Roman"/>
          <w:sz w:val="18"/>
          <w:szCs w:val="18"/>
          <w:color w:val="000000"/>
        </w:rPr>
        <w:t>December 31, 2023</w:t>
      </w:r>
      <w:r>
        <w:rPr>
          <w:rFonts w:ascii="Times New Roman" w:cs="Times New Roman" w:eastAsia="Times New Roman" w:hAnsi="Times New Roman"/>
          <w:sz w:val="18"/>
          <w:szCs w:val="18"/>
          <w:color w:val="212529"/>
        </w:rPr>
        <w:t xml:space="preserve"> for further disclosure regarding the acquisition transaction.</w:t>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Risks and Uncertainties</w:t>
      </w:r>
    </w:p>
    <w:p>
      <w:pPr>
        <w:spacing w:after="0" w:line="171" w:lineRule="exact"/>
        <w:rPr>
          <w:sz w:val="20"/>
          <w:szCs w:val="20"/>
          <w:color w:val="auto"/>
        </w:rPr>
      </w:pPr>
    </w:p>
    <w:p>
      <w:pPr>
        <w:ind w:left="360" w:right="20"/>
        <w:spacing w:after="0" w:line="253" w:lineRule="auto"/>
        <w:rPr>
          <w:sz w:val="20"/>
          <w:szCs w:val="20"/>
          <w:color w:val="auto"/>
        </w:rPr>
      </w:pPr>
      <w:r>
        <w:rPr>
          <w:rFonts w:ascii="Times New Roman" w:cs="Times New Roman" w:eastAsia="Times New Roman" w:hAnsi="Times New Roman"/>
          <w:sz w:val="18"/>
          <w:szCs w:val="18"/>
          <w:color w:val="auto"/>
        </w:rPr>
        <w:t>The success of the Company's tenants in operating their businesses and their corresponding ability to pay rent continue to be influenced by current economic challenges, which may impact their cost of doing business, including but not limited to the impact of inflation, the cost and availability of labor, increasing energy prices and interest rates, and access to credit. Additionally, geopolitical and macroeconomic challenges, including the war involving Russia and Ukraine, the current Middle East conflicts and wars, and economic conflicts with China, as well as the slowing of its economy, could impact aspects of the U.S. economy and, therefore, consumer spending. The policies implemented by the U.S. government to address these and related issues, including changes by the Board of Governors of the Federal Reserve System of its benchmark federal funds rate, increases or decreases in federal government spending, and economic sanctions and tariffs, could result in adverse impacts on the U.S. economy, including a slowing of growth and potentially a recession, thereby impacting consumer spending, tenants' businesses, and/or decreasing future demand for space in shopping centers. The potential impact of current macroeconomic and geopolitical challenges on the Company's financial condition, results of operations, and cash flows is subject to change and continues to depend on the extent and duration of these risks and uncertainties. See Item 1A of Part I of the Company's Annual Report on Form 10-K for a more detailed discussion of the Risk Factors potentially impacting the Company's business and results of operations.</w:t>
      </w:r>
    </w:p>
    <w:p>
      <w:pPr>
        <w:spacing w:after="0" w:line="1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Investment Risk Concentrations</w:t>
      </w:r>
    </w:p>
    <w:p>
      <w:pPr>
        <w:spacing w:after="0" w:line="194" w:lineRule="exact"/>
        <w:rPr>
          <w:sz w:val="20"/>
          <w:szCs w:val="20"/>
          <w:color w:val="auto"/>
        </w:rPr>
      </w:pPr>
    </w:p>
    <w:p>
      <w:pPr>
        <w:ind w:left="360" w:right="140"/>
        <w:spacing w:after="0" w:line="289" w:lineRule="auto"/>
        <w:rPr>
          <w:sz w:val="20"/>
          <w:szCs w:val="20"/>
          <w:color w:val="auto"/>
        </w:rPr>
      </w:pPr>
      <w:r>
        <w:rPr>
          <w:rFonts w:ascii="Times New Roman" w:cs="Times New Roman" w:eastAsia="Times New Roman" w:hAnsi="Times New Roman"/>
          <w:sz w:val="18"/>
          <w:szCs w:val="18"/>
          <w:color w:val="auto"/>
        </w:rPr>
        <w:t>As of September 30, 2024, no single tenant comprised 10% or more of our aggregate annualized base rent ("ABR")</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As of September 30, 2024, the Company had three geographic concentrations that accounted for at least 10.0% of our aggregate ABR.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19" w:name="page20"/>
    <w:bookmarkEnd w:id="19"/>
    <w:p>
      <w:pPr>
        <w:jc w:val="center"/>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2024</w:t>
      </w:r>
    </w:p>
    <w:p>
      <w:pPr>
        <w:spacing w:after="0" w:line="36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Real estate properties located in California, Florida and the New York-Newark-Jersey City core-based statistical area accounted for 23.4%, 20.4% and 12.1% of ABR respectively. As a result, this geographic concentration of our portfolio makes it potentially more susceptible to adverse weather or economic events that impact these locations.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Consolidation</w:t>
      </w:r>
    </w:p>
    <w:p>
      <w:pPr>
        <w:spacing w:after="0" w:line="17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addition to properties that are wholly-owned, the Company consolidates properties where it owns less than 100% but holds a controlling financial interest in the entity. Controlling financial interest is determined using an evaluation based on accounting standards related to the consolidation of Variable Interest Entities ("VIEs") and voting interest entities.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Ownership of the Parent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Parent Company currently has a single class of common stock and two series of preferred stock outstanding.</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Ownership of the Operating Partnership</w:t>
      </w:r>
    </w:p>
    <w:p>
      <w:pPr>
        <w:spacing w:after="0" w:line="173" w:lineRule="exact"/>
        <w:rPr>
          <w:sz w:val="20"/>
          <w:szCs w:val="20"/>
          <w:color w:val="auto"/>
        </w:rPr>
      </w:pPr>
    </w:p>
    <w:p>
      <w:pPr>
        <w:ind w:right="800"/>
        <w:spacing w:after="0" w:line="266" w:lineRule="auto"/>
        <w:rPr>
          <w:sz w:val="20"/>
          <w:szCs w:val="20"/>
          <w:color w:val="auto"/>
        </w:rPr>
      </w:pPr>
      <w:r>
        <w:rPr>
          <w:rFonts w:ascii="Times New Roman" w:cs="Times New Roman" w:eastAsia="Times New Roman" w:hAnsi="Times New Roman"/>
          <w:sz w:val="18"/>
          <w:szCs w:val="18"/>
          <w:color w:val="auto"/>
        </w:rPr>
        <w:t>The Operating Partnership's capital includes Common Units and Preferred Units. As of September 30, 2024, the Parent Company owned approximately 99.4% of the outstanding Common Units, with the remaining Common Units held by third parties ("Exchangeable operating partnership units" or "EOP units"). The Parent Company currently owns all of the Preferred Units.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Real Estate Partnerships</w:t>
      </w:r>
    </w:p>
    <w:p>
      <w:pPr>
        <w:spacing w:after="0" w:line="17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As of September 30, 2024, Regency held partial ownership interests in 121 properties through real estate partnerships, of which 19 are consolidated. Regency's partners include institutional investors, real estate developers and/or operators, and passive investors (the "Partners" or "Limited Partners"). These partnerships have been established to own and operate real estate properties. </w:t>
      </w:r>
      <w:r>
        <w:rPr>
          <w:rFonts w:ascii="Times New Roman" w:cs="Times New Roman" w:eastAsia="Times New Roman" w:hAnsi="Times New Roman"/>
          <w:sz w:val="18"/>
          <w:szCs w:val="18"/>
          <w:color w:val="212529"/>
        </w:rPr>
        <w:t>The Company’s involvement with these entities is through its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ownership and management of the properties. The entities were deemed VIEs primarily because the unrelated investors do not have substantive kick-out rights to remove the general or managing partner by a vote of a simple majority or less, and they do not have substantive participating rights. </w:t>
      </w:r>
      <w:r>
        <w:rPr>
          <w:rFonts w:ascii="Times New Roman" w:cs="Times New Roman" w:eastAsia="Times New Roman" w:hAnsi="Times New Roman"/>
          <w:sz w:val="18"/>
          <w:szCs w:val="18"/>
          <w:color w:val="000000"/>
        </w:rPr>
        <w:t>Regency has variable interests in these entities through its equity ownership, with Regency being the primary beneficiary in certain of these real estate partnerships. Regency consolidates the partnerships into its financial statements for which it is the primary beneficiary and reports the limited partners' interests as noncontrolling interests. For those partnerships which Regency is not the primary beneficiary and does not have a controlling financial interest, but has significant influence, Regency recognizes its equity investments in them in accordance with the equity method of accounting.</w:t>
      </w:r>
    </w:p>
    <w:p>
      <w:pPr>
        <w:spacing w:after="0" w:line="1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assets of these partnerships are restricted to use by the respective partnerships and cannot be directly reached by general creditors of the Company. Similarly, the obligations of the partnerships are backed by, and can only be settled through the assets of these partnerships or by additional capital contributions by the partners.</w:t>
      </w:r>
    </w:p>
    <w:p>
      <w:pPr>
        <w:spacing w:after="0" w:line="12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carrying amounts of VIEs' assets and liabilities included in the Company's consolidated financial statements, exclusive of the Operating Partnership, are as follows:</w:t>
      </w:r>
    </w:p>
    <w:p>
      <w:pPr>
        <w:spacing w:after="0" w:line="157" w:lineRule="exact"/>
        <w:rPr>
          <w:sz w:val="20"/>
          <w:szCs w:val="20"/>
          <w:color w:val="auto"/>
        </w:rPr>
      </w:pPr>
    </w:p>
    <w:tbl>
      <w:tblPr>
        <w:tblLayout w:type="fixed"/>
        <w:tblInd w:w="760" w:type="dxa"/>
        <w:tblCellMar>
          <w:top w:w="0" w:type="dxa"/>
          <w:left w:w="0" w:type="dxa"/>
          <w:bottom w:w="0" w:type="dxa"/>
          <w:right w:w="0" w:type="dxa"/>
        </w:tblCellMar>
      </w:tblPr>
      <w:tr>
        <w:trPr>
          <w:trHeight w:val="232"/>
        </w:trPr>
        <w:tc>
          <w:tcPr>
            <w:tcW w:w="49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tcPr>
          <w:p>
            <w:pPr>
              <w:spacing w:after="0"/>
              <w:rPr>
                <w:sz w:val="20"/>
                <w:szCs w:val="20"/>
                <w:color w:val="auto"/>
              </w:rPr>
            </w:pPr>
          </w:p>
        </w:tc>
        <w:tc>
          <w:tcPr>
            <w:tcW w:w="19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3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r>
      <w:tr>
        <w:trPr>
          <w:trHeight w:val="220"/>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Real estate assets,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299,767</w:t>
            </w:r>
          </w:p>
        </w:tc>
        <w:tc>
          <w:tcPr>
            <w:tcW w:w="21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270,674</w:t>
            </w:r>
          </w:p>
        </w:tc>
      </w:tr>
      <w:tr>
        <w:trPr>
          <w:trHeight w:val="239"/>
        </w:trPr>
        <w:tc>
          <w:tcPr>
            <w:tcW w:w="4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160" w:type="dxa"/>
            <w:vAlign w:val="bottom"/>
            <w:shd w:val="clear" w:color="auto" w:fill="CFF0FC"/>
          </w:tcPr>
          <w:p>
            <w:pPr>
              <w:spacing w:after="0"/>
              <w:rPr>
                <w:sz w:val="20"/>
                <w:szCs w:val="20"/>
                <w:color w:val="auto"/>
              </w:rPr>
            </w:pPr>
          </w:p>
        </w:tc>
        <w:tc>
          <w:tcPr>
            <w:tcW w:w="1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16,734</w:t>
            </w:r>
          </w:p>
        </w:tc>
        <w:tc>
          <w:tcPr>
            <w:tcW w:w="21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8,201</w:t>
            </w:r>
          </w:p>
        </w:tc>
      </w:tr>
      <w:tr>
        <w:trPr>
          <w:trHeight w:val="220"/>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Tenant and other receivables, net</w:t>
            </w:r>
          </w:p>
        </w:tc>
        <w:tc>
          <w:tcPr>
            <w:tcW w:w="160" w:type="dxa"/>
            <w:vAlign w:val="bottom"/>
          </w:tcPr>
          <w:p>
            <w:pPr>
              <w:spacing w:after="0"/>
              <w:rPr>
                <w:sz w:val="19"/>
                <w:szCs w:val="19"/>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5,786</w:t>
            </w:r>
          </w:p>
        </w:tc>
        <w:tc>
          <w:tcPr>
            <w:tcW w:w="21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3,883</w:t>
            </w:r>
          </w:p>
        </w:tc>
      </w:tr>
      <w:tr>
        <w:trPr>
          <w:trHeight w:val="239"/>
        </w:trPr>
        <w:tc>
          <w:tcPr>
            <w:tcW w:w="4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Deferred costs, net</w:t>
            </w:r>
          </w:p>
        </w:tc>
        <w:tc>
          <w:tcPr>
            <w:tcW w:w="160" w:type="dxa"/>
            <w:vAlign w:val="bottom"/>
            <w:shd w:val="clear" w:color="auto" w:fill="CFF0FC"/>
          </w:tcPr>
          <w:p>
            <w:pPr>
              <w:spacing w:after="0"/>
              <w:rPr>
                <w:sz w:val="20"/>
                <w:szCs w:val="20"/>
                <w:color w:val="auto"/>
              </w:rPr>
            </w:pPr>
          </w:p>
        </w:tc>
        <w:tc>
          <w:tcPr>
            <w:tcW w:w="1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2,545</w:t>
            </w:r>
          </w:p>
        </w:tc>
        <w:tc>
          <w:tcPr>
            <w:tcW w:w="21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2,494</w:t>
            </w:r>
          </w:p>
        </w:tc>
      </w:tr>
      <w:tr>
        <w:trPr>
          <w:trHeight w:val="220"/>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Acquired lease intangible assets, net</w:t>
            </w:r>
          </w:p>
        </w:tc>
        <w:tc>
          <w:tcPr>
            <w:tcW w:w="160" w:type="dxa"/>
            <w:vAlign w:val="bottom"/>
          </w:tcPr>
          <w:p>
            <w:pPr>
              <w:spacing w:after="0"/>
              <w:rPr>
                <w:sz w:val="19"/>
                <w:szCs w:val="19"/>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6,719</w:t>
            </w:r>
          </w:p>
        </w:tc>
        <w:tc>
          <w:tcPr>
            <w:tcW w:w="21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12,099</w:t>
            </w:r>
          </w:p>
        </w:tc>
      </w:tr>
      <w:tr>
        <w:trPr>
          <w:trHeight w:val="239"/>
        </w:trPr>
        <w:tc>
          <w:tcPr>
            <w:tcW w:w="4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Right of use assets, net</w:t>
            </w:r>
          </w:p>
        </w:tc>
        <w:tc>
          <w:tcPr>
            <w:tcW w:w="160" w:type="dxa"/>
            <w:vAlign w:val="bottom"/>
            <w:shd w:val="clear" w:color="auto" w:fill="CFF0FC"/>
          </w:tcPr>
          <w:p>
            <w:pPr>
              <w:spacing w:after="0"/>
              <w:rPr>
                <w:sz w:val="20"/>
                <w:szCs w:val="20"/>
                <w:color w:val="auto"/>
              </w:rPr>
            </w:pPr>
          </w:p>
        </w:tc>
        <w:tc>
          <w:tcPr>
            <w:tcW w:w="1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18,273</w:t>
            </w:r>
          </w:p>
        </w:tc>
        <w:tc>
          <w:tcPr>
            <w:tcW w:w="21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44,377</w:t>
            </w:r>
          </w:p>
        </w:tc>
      </w:tr>
      <w:tr>
        <w:trPr>
          <w:trHeight w:val="223"/>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1,215</w:t>
            </w:r>
          </w:p>
        </w:tc>
        <w:tc>
          <w:tcPr>
            <w:tcW w:w="180" w:type="dxa"/>
            <w:vAlign w:val="bottom"/>
          </w:tcPr>
          <w:p>
            <w:pPr>
              <w:spacing w:after="0"/>
              <w:rPr>
                <w:sz w:val="19"/>
                <w:szCs w:val="19"/>
                <w:color w:val="auto"/>
              </w:rPr>
            </w:pPr>
          </w:p>
        </w:tc>
        <w:tc>
          <w:tcPr>
            <w:tcW w:w="1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893</w:t>
            </w:r>
          </w:p>
        </w:tc>
      </w:tr>
      <w:tr>
        <w:trPr>
          <w:trHeight w:val="263"/>
        </w:trPr>
        <w:tc>
          <w:tcPr>
            <w:tcW w:w="49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351,039</w:t>
            </w:r>
          </w:p>
        </w:tc>
        <w:tc>
          <w:tcPr>
            <w:tcW w:w="21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342,621</w:t>
            </w:r>
          </w:p>
        </w:tc>
      </w:tr>
      <w:tr>
        <w:trPr>
          <w:trHeight w:val="208"/>
        </w:trPr>
        <w:tc>
          <w:tcPr>
            <w:tcW w:w="49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r>
      <w:tr>
        <w:trPr>
          <w:trHeight w:val="238"/>
        </w:trPr>
        <w:tc>
          <w:tcPr>
            <w:tcW w:w="4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Notes payable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32,851</w:t>
            </w:r>
          </w:p>
        </w:tc>
        <w:tc>
          <w:tcPr>
            <w:tcW w:w="21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33,211</w:t>
            </w:r>
          </w:p>
        </w:tc>
      </w:tr>
      <w:tr>
        <w:trPr>
          <w:trHeight w:val="233"/>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and other liabilities</w:t>
            </w:r>
          </w:p>
        </w:tc>
        <w:tc>
          <w:tcPr>
            <w:tcW w:w="16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10,490</w:t>
            </w:r>
          </w:p>
        </w:tc>
        <w:tc>
          <w:tcPr>
            <w:tcW w:w="21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29,919</w:t>
            </w:r>
          </w:p>
        </w:tc>
      </w:tr>
      <w:tr>
        <w:trPr>
          <w:trHeight w:val="253"/>
        </w:trPr>
        <w:tc>
          <w:tcPr>
            <w:tcW w:w="49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Acquired lease intangible liabilities, net</w:t>
            </w:r>
          </w:p>
        </w:tc>
        <w:tc>
          <w:tcPr>
            <w:tcW w:w="16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10,784</w:t>
            </w:r>
          </w:p>
        </w:tc>
        <w:tc>
          <w:tcPr>
            <w:tcW w:w="21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21,456</w:t>
            </w:r>
          </w:p>
        </w:tc>
      </w:tr>
      <w:tr>
        <w:trPr>
          <w:trHeight w:val="233"/>
        </w:trPr>
        <w:tc>
          <w:tcPr>
            <w:tcW w:w="4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Tenants' security, escrow deposits and prepaid rent</w:t>
            </w:r>
          </w:p>
        </w:tc>
        <w:tc>
          <w:tcPr>
            <w:tcW w:w="160" w:type="dxa"/>
            <w:vAlign w:val="bottom"/>
          </w:tcPr>
          <w:p>
            <w:pPr>
              <w:spacing w:after="0"/>
              <w:rPr>
                <w:sz w:val="20"/>
                <w:szCs w:val="20"/>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1,176</w:t>
            </w:r>
          </w:p>
        </w:tc>
        <w:tc>
          <w:tcPr>
            <w:tcW w:w="21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1,239</w:t>
            </w:r>
          </w:p>
        </w:tc>
      </w:tr>
      <w:tr>
        <w:trPr>
          <w:trHeight w:val="246"/>
        </w:trPr>
        <w:tc>
          <w:tcPr>
            <w:tcW w:w="492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Lease liabilities</w:t>
            </w:r>
          </w:p>
        </w:tc>
        <w:tc>
          <w:tcPr>
            <w:tcW w:w="16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19,324</w:t>
            </w:r>
          </w:p>
        </w:tc>
        <w:tc>
          <w:tcPr>
            <w:tcW w:w="180" w:type="dxa"/>
            <w:vAlign w:val="bottom"/>
            <w:tcBorders>
              <w:bottom w:val="single" w:sz="8" w:color="CFF0FC"/>
            </w:tcBorders>
            <w:shd w:val="clear" w:color="auto" w:fill="CFF0FC"/>
          </w:tcPr>
          <w:p>
            <w:pPr>
              <w:spacing w:after="0"/>
              <w:rPr>
                <w:sz w:val="21"/>
                <w:szCs w:val="21"/>
                <w:color w:val="auto"/>
              </w:rPr>
            </w:pPr>
          </w:p>
        </w:tc>
        <w:tc>
          <w:tcPr>
            <w:tcW w:w="19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21,433</w:t>
            </w:r>
          </w:p>
        </w:tc>
      </w:tr>
      <w:tr>
        <w:trPr>
          <w:trHeight w:val="223"/>
        </w:trPr>
        <w:tc>
          <w:tcPr>
            <w:tcW w:w="49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74,625</w:t>
            </w:r>
          </w:p>
        </w:tc>
        <w:tc>
          <w:tcPr>
            <w:tcW w:w="21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107,258</w:t>
            </w:r>
          </w:p>
        </w:tc>
      </w:tr>
      <w:tr>
        <w:trPr>
          <w:trHeight w:val="20"/>
        </w:trPr>
        <w:tc>
          <w:tcPr>
            <w:tcW w:w="4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4838700</wp:posOffset>
            </wp:positionH>
            <wp:positionV relativeFrom="paragraph">
              <wp:posOffset>-1113790</wp:posOffset>
            </wp:positionV>
            <wp:extent cx="11176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4838700</wp:posOffset>
            </wp:positionH>
            <wp:positionV relativeFrom="paragraph">
              <wp:posOffset>-1096645</wp:posOffset>
            </wp:positionV>
            <wp:extent cx="11176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4838700</wp:posOffset>
            </wp:positionH>
            <wp:positionV relativeFrom="paragraph">
              <wp:posOffset>-179705</wp:posOffset>
            </wp:positionV>
            <wp:extent cx="11176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0840"/>
          </w:cols>
          <w:pgMar w:left="700" w:top="765" w:right="3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765" w:right="359" w:bottom="1440" w:gutter="0" w:footer="0" w:header="0"/>
          <w:type w:val="continuous"/>
        </w:sectPr>
      </w:pPr>
    </w:p>
    <w:bookmarkStart w:id="20" w:name="page21"/>
    <w:bookmarkEnd w:id="20"/>
    <w:p>
      <w:pPr>
        <w:jc w:val="cente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2024</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 and Tenant and other Receivables</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Other property income includes parking fees and other incidental income from the properties and is generally recognized at the point in time that the performance obligation is met. Income within Management, transaction, and other fees is primarily derived from contracts with the Company's real estate partnerships. The primary components of these revenue streams, the timing of satisfying the performance obligations, and amounts are as follows:</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25"/>
        </w:trPr>
        <w:tc>
          <w:tcPr>
            <w:tcW w:w="3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30,</w:t>
            </w: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0"/>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Timing of</w:t>
            </w: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satisfaction of</w:t>
            </w:r>
          </w:p>
        </w:tc>
        <w:tc>
          <w:tcPr>
            <w:tcW w:w="260" w:type="dxa"/>
            <w:vAlign w:val="bottom"/>
          </w:tcPr>
          <w:p>
            <w:pPr>
              <w:spacing w:after="0"/>
              <w:rPr>
                <w:sz w:val="17"/>
                <w:szCs w:val="17"/>
                <w:color w:val="auto"/>
              </w:rPr>
            </w:pPr>
          </w:p>
        </w:tc>
        <w:tc>
          <w:tcPr>
            <w:tcW w:w="88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80" w:type="dxa"/>
            <w:vAlign w:val="bottom"/>
          </w:tcPr>
          <w:p>
            <w:pPr>
              <w:spacing w:after="0"/>
              <w:rPr>
                <w:sz w:val="17"/>
                <w:szCs w:val="17"/>
                <w:color w:val="auto"/>
              </w:rPr>
            </w:pPr>
          </w:p>
        </w:tc>
        <w:tc>
          <w:tcPr>
            <w:tcW w:w="10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160" w:type="dxa"/>
            <w:vAlign w:val="bottom"/>
            <w:gridSpan w:val="2"/>
            <w:vMerge w:val="restart"/>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3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2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3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2"/>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20"/>
                <w:szCs w:val="20"/>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obligations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Management, transaction, and other fees:</w:t>
            </w:r>
          </w:p>
        </w:tc>
        <w:tc>
          <w:tcPr>
            <w:tcW w:w="120" w:type="dxa"/>
            <w:vAlign w:val="bottom"/>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management services</w:t>
            </w:r>
          </w:p>
        </w:tc>
        <w:tc>
          <w:tcPr>
            <w:tcW w:w="120" w:type="dxa"/>
            <w:vAlign w:val="bottom"/>
          </w:tcPr>
          <w:p>
            <w:pPr>
              <w:spacing w:after="0"/>
              <w:rPr>
                <w:sz w:val="19"/>
                <w:szCs w:val="19"/>
                <w:color w:val="auto"/>
              </w:rPr>
            </w:pP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Over time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11,765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Asset management services</w:t>
            </w:r>
          </w:p>
        </w:tc>
        <w:tc>
          <w:tcPr>
            <w:tcW w:w="12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center"/>
              <w:ind w:right="120"/>
              <w:spacing w:after="0"/>
              <w:rPr>
                <w:sz w:val="20"/>
                <w:szCs w:val="20"/>
                <w:color w:val="auto"/>
              </w:rPr>
            </w:pPr>
            <w:r>
              <w:rPr>
                <w:rFonts w:ascii="Times New Roman" w:cs="Times New Roman" w:eastAsia="Times New Roman" w:hAnsi="Times New Roman"/>
                <w:sz w:val="16"/>
                <w:szCs w:val="16"/>
                <w:color w:val="auto"/>
              </w:rPr>
              <w:t>Over time</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1,623</w:t>
            </w: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4,915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Leasing services</w:t>
            </w:r>
          </w:p>
        </w:tc>
        <w:tc>
          <w:tcPr>
            <w:tcW w:w="120" w:type="dxa"/>
            <w:vAlign w:val="bottom"/>
          </w:tcPr>
          <w:p>
            <w:pPr>
              <w:spacing w:after="0"/>
              <w:rPr>
                <w:sz w:val="19"/>
                <w:szCs w:val="19"/>
                <w:color w:val="auto"/>
              </w:rPr>
            </w:pPr>
          </w:p>
        </w:tc>
        <w:tc>
          <w:tcPr>
            <w:tcW w:w="15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Point in time</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946</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9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Other fees</w:t>
            </w:r>
          </w:p>
        </w:tc>
        <w:tc>
          <w:tcPr>
            <w:tcW w:w="12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CFF0FC"/>
            </w:tcBorders>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6"/>
                <w:szCs w:val="16"/>
                <w:color w:val="auto"/>
              </w:rPr>
              <w:t>Point in time</w:t>
            </w: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28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2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management, transaction, and other fees</w:t>
            </w: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6,765</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7,079</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19,896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4307205</wp:posOffset>
            </wp:positionH>
            <wp:positionV relativeFrom="paragraph">
              <wp:posOffset>-179070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5113020</wp:posOffset>
            </wp:positionH>
            <wp:positionV relativeFrom="paragraph">
              <wp:posOffset>-179070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5858510</wp:posOffset>
            </wp:positionH>
            <wp:positionV relativeFrom="paragraph">
              <wp:posOffset>-179070</wp:posOffset>
            </wp:positionV>
            <wp:extent cx="603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6587490</wp:posOffset>
            </wp:positionH>
            <wp:positionV relativeFrom="paragraph">
              <wp:posOffset>-179070</wp:posOffset>
            </wp:positionV>
            <wp:extent cx="596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2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accounts receivable for management, transactions, and other fees, which are included within Tenant and other receivables in the accompanying Consolidated Balance Sheets, are $18.8 million and $18.5 million, as of September 30, 2024 and December 31, 2023,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brief description of recently adopted accounting pronouncements and impact on our financial statements:</w:t>
      </w:r>
    </w:p>
    <w:p>
      <w:pPr>
        <w:sectPr>
          <w:pgSz w:w="11900" w:h="16838" w:orient="portrait"/>
          <w:cols w:equalWidth="0" w:num="1">
            <w:col w:w="10680"/>
          </w:cols>
          <w:pgMar w:left="700" w:top="765" w:right="519" w:bottom="1440" w:gutter="0" w:footer="0" w:header="0"/>
        </w:sectPr>
      </w:pP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Earlier of Effective</w:t>
      </w:r>
    </w:p>
    <w:p>
      <w:pPr>
        <w:spacing w:after="0" w:line="2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Date or the Date of</w:t>
      </w:r>
    </w:p>
    <w:p>
      <w:pPr>
        <w:spacing w:after="0" w:line="9" w:lineRule="exact"/>
        <w:rPr>
          <w:sz w:val="20"/>
          <w:szCs w:val="20"/>
          <w:color w:val="auto"/>
        </w:rPr>
      </w:pPr>
    </w:p>
    <w:p>
      <w:pPr>
        <w:ind w:left="40"/>
        <w:spacing w:after="0"/>
        <w:tabs>
          <w:tab w:leader="none" w:pos="1940" w:val="left"/>
          <w:tab w:leader="none" w:pos="5440" w:val="left"/>
        </w:tabs>
        <w:rPr>
          <w:sz w:val="20"/>
          <w:szCs w:val="20"/>
          <w:color w:val="auto"/>
        </w:rPr>
      </w:pPr>
      <w:r>
        <w:rPr>
          <w:rFonts w:ascii="Times New Roman" w:cs="Times New Roman" w:eastAsia="Times New Roman" w:hAnsi="Times New Roman"/>
          <w:sz w:val="18"/>
          <w:szCs w:val="18"/>
          <w:b w:val="1"/>
          <w:bCs w:val="1"/>
          <w:color w:val="auto"/>
        </w:rPr>
        <w:t>Standard</w:t>
      </w:r>
      <w:r>
        <w:rPr>
          <w:sz w:val="20"/>
          <w:szCs w:val="20"/>
          <w:color w:val="auto"/>
        </w:rPr>
        <w:tab/>
      </w:r>
      <w:r>
        <w:rPr>
          <w:rFonts w:ascii="Times New Roman" w:cs="Times New Roman" w:eastAsia="Times New Roman" w:hAnsi="Times New Roman"/>
          <w:sz w:val="18"/>
          <w:szCs w:val="18"/>
          <w:b w:val="1"/>
          <w:bCs w:val="1"/>
          <w:color w:val="auto"/>
        </w:rPr>
        <w:t>Description</w:t>
      </w:r>
      <w:r>
        <w:rPr>
          <w:sz w:val="20"/>
          <w:szCs w:val="20"/>
          <w:color w:val="auto"/>
        </w:rPr>
        <w:tab/>
      </w:r>
      <w:r>
        <w:rPr>
          <w:rFonts w:ascii="Times New Roman" w:cs="Times New Roman" w:eastAsia="Times New Roman" w:hAnsi="Times New Roman"/>
          <w:sz w:val="17"/>
          <w:szCs w:val="17"/>
          <w:b w:val="1"/>
          <w:bCs w:val="1"/>
          <w:color w:val="auto"/>
        </w:rPr>
        <w:t>adoption</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b w:val="1"/>
          <w:bCs w:val="1"/>
          <w:color w:val="auto"/>
        </w:rPr>
        <w:t>Effect on the financial statements or other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19888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920" w:space="420"/>
            <w:col w:w="3340"/>
          </w:cols>
          <w:pgMar w:left="700" w:top="765" w:right="519" w:bottom="1440" w:gutter="0" w:footer="0" w:header="0"/>
          <w:type w:val="continuous"/>
        </w:sectPr>
      </w:pPr>
    </w:p>
    <w:tbl>
      <w:tblPr>
        <w:tblLayout w:type="fixed"/>
        <w:tblInd w:w="40" w:type="dxa"/>
        <w:tblCellMar>
          <w:top w:w="0" w:type="dxa"/>
          <w:left w:w="0" w:type="dxa"/>
          <w:bottom w:w="0" w:type="dxa"/>
          <w:right w:w="0" w:type="dxa"/>
        </w:tblCellMar>
      </w:tblPr>
      <w:tr>
        <w:trPr>
          <w:trHeight w:val="176"/>
        </w:trPr>
        <w:tc>
          <w:tcPr>
            <w:tcW w:w="1780" w:type="dxa"/>
            <w:vAlign w:val="bottom"/>
            <w:tcBorders>
              <w:top w:val="single" w:sz="8" w:color="auto"/>
            </w:tcBorders>
            <w:gridSpan w:val="2"/>
          </w:tcPr>
          <w:p>
            <w:pPr>
              <w:spacing w:after="0" w:line="176" w:lineRule="exact"/>
              <w:rPr>
                <w:sz w:val="20"/>
                <w:szCs w:val="20"/>
                <w:color w:val="auto"/>
              </w:rPr>
            </w:pPr>
            <w:r>
              <w:rPr>
                <w:rFonts w:ascii="Times New Roman" w:cs="Times New Roman" w:eastAsia="Times New Roman" w:hAnsi="Times New Roman"/>
                <w:sz w:val="18"/>
                <w:szCs w:val="18"/>
                <w:b w:val="1"/>
                <w:bCs w:val="1"/>
                <w:i w:val="1"/>
                <w:iCs w:val="1"/>
                <w:color w:val="auto"/>
              </w:rPr>
              <w:t>Recently adopted:</w:t>
            </w:r>
          </w:p>
        </w:tc>
        <w:tc>
          <w:tcPr>
            <w:tcW w:w="120" w:type="dxa"/>
            <w:vAlign w:val="bottom"/>
          </w:tcPr>
          <w:p>
            <w:pPr>
              <w:spacing w:after="0"/>
              <w:rPr>
                <w:sz w:val="15"/>
                <w:szCs w:val="15"/>
                <w:color w:val="auto"/>
              </w:rPr>
            </w:pPr>
          </w:p>
        </w:tc>
        <w:tc>
          <w:tcPr>
            <w:tcW w:w="3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Borders>
              <w:top w:val="single" w:sz="8" w:color="auto"/>
            </w:tcBorders>
          </w:tcPr>
          <w:p>
            <w:pPr>
              <w:spacing w:after="0"/>
              <w:rPr>
                <w:sz w:val="15"/>
                <w:szCs w:val="15"/>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45"/>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ASU 2023-07, Segment</w:t>
            </w:r>
          </w:p>
        </w:tc>
        <w:tc>
          <w:tcPr>
            <w:tcW w:w="120" w:type="dxa"/>
            <w:vAlign w:val="bottom"/>
          </w:tcPr>
          <w:p>
            <w:pPr>
              <w:spacing w:after="0"/>
              <w:rPr>
                <w:sz w:val="21"/>
                <w:szCs w:val="21"/>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amendments are aimed at enhancing the</w:t>
            </w:r>
          </w:p>
        </w:tc>
        <w:tc>
          <w:tcPr>
            <w:tcW w:w="120" w:type="dxa"/>
            <w:vAlign w:val="bottom"/>
          </w:tcPr>
          <w:p>
            <w:pPr>
              <w:spacing w:after="0"/>
              <w:rPr>
                <w:sz w:val="21"/>
                <w:szCs w:val="21"/>
                <w:color w:val="auto"/>
              </w:rPr>
            </w:pPr>
          </w:p>
        </w:tc>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1, 2024</w:t>
            </w:r>
          </w:p>
        </w:tc>
      </w:tr>
      <w:tr>
        <w:trPr>
          <w:trHeight w:val="216"/>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Reporting (Topic 280):</w:t>
            </w:r>
          </w:p>
        </w:tc>
        <w:tc>
          <w:tcPr>
            <w:tcW w:w="1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disclosures public entities provide regarding</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Improvements to</w:t>
            </w:r>
          </w:p>
        </w:tc>
        <w:tc>
          <w:tcPr>
            <w:tcW w:w="1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significant segment expenses so that investors</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Reportable Segment</w:t>
            </w:r>
          </w:p>
        </w:tc>
        <w:tc>
          <w:tcPr>
            <w:tcW w:w="1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 "better understand an entity’s overall</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1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Disclosures</w:t>
            </w:r>
          </w:p>
        </w:tc>
        <w:tc>
          <w:tcPr>
            <w:tcW w:w="12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and assess "potential future</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4"/>
        </w:trPr>
        <w:tc>
          <w:tcPr>
            <w:tcW w:w="1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right="300"/>
        <w:spacing w:after="0" w:line="254" w:lineRule="auto"/>
        <w:rPr>
          <w:sz w:val="20"/>
          <w:szCs w:val="20"/>
          <w:color w:val="auto"/>
        </w:rPr>
      </w:pPr>
      <w:r>
        <w:rPr>
          <w:rFonts w:ascii="Times New Roman" w:cs="Times New Roman" w:eastAsia="Times New Roman" w:hAnsi="Times New Roman"/>
          <w:sz w:val="18"/>
          <w:szCs w:val="18"/>
          <w:color w:val="auto"/>
        </w:rPr>
        <w:t>The standard became effective for the Company on January 1, 2024 and the required disclosures for the Company will begin with its Annual Report on Form 10-K for the fiscal year ending December 31, 2024. The adoption and implementation of this guidance is not expected to have a material impact on the Company’s consolidated financial statements.</w:t>
      </w:r>
    </w:p>
    <w:p>
      <w:pPr>
        <w:spacing w:after="0" w:line="200" w:lineRule="exact"/>
        <w:rPr>
          <w:sz w:val="20"/>
          <w:szCs w:val="20"/>
          <w:color w:val="auto"/>
        </w:rPr>
      </w:pPr>
    </w:p>
    <w:p>
      <w:pPr>
        <w:sectPr>
          <w:pgSz w:w="11900" w:h="16838" w:orient="portrait"/>
          <w:cols w:equalWidth="0" w:num="2">
            <w:col w:w="7220" w:space="120"/>
            <w:col w:w="3340"/>
          </w:cols>
          <w:pgMar w:left="700" w:top="765" w:right="519" w:bottom="1440" w:gutter="0" w:footer="0" w:header="0"/>
          <w:type w:val="continuous"/>
        </w:sectPr>
      </w:pPr>
    </w:p>
    <w:p>
      <w:pPr>
        <w:spacing w:after="0" w:line="164" w:lineRule="exact"/>
        <w:rPr>
          <w:sz w:val="20"/>
          <w:szCs w:val="20"/>
          <w:color w:val="auto"/>
        </w:rPr>
      </w:pPr>
    </w:p>
    <w:p>
      <w:pPr>
        <w:ind w:left="40"/>
        <w:spacing w:after="0"/>
        <w:tabs>
          <w:tab w:leader="none" w:pos="1940" w:val="left"/>
          <w:tab w:leader="none" w:pos="5440" w:val="left"/>
        </w:tabs>
        <w:rPr>
          <w:sz w:val="20"/>
          <w:szCs w:val="20"/>
          <w:color w:val="auto"/>
        </w:rPr>
      </w:pPr>
      <w:r>
        <w:rPr>
          <w:rFonts w:ascii="Times New Roman" w:cs="Times New Roman" w:eastAsia="Times New Roman" w:hAnsi="Times New Roman"/>
          <w:sz w:val="18"/>
          <w:szCs w:val="18"/>
          <w:color w:val="auto"/>
        </w:rPr>
        <w:t>ASU 2023-09, Income</w:t>
        <w:tab/>
        <w:t>ASU 2023-09 requires public business entities</w:t>
      </w:r>
      <w:r>
        <w:rPr>
          <w:sz w:val="20"/>
          <w:szCs w:val="20"/>
          <w:color w:val="auto"/>
        </w:rPr>
        <w:tab/>
      </w:r>
      <w:r>
        <w:rPr>
          <w:rFonts w:ascii="Times New Roman" w:cs="Times New Roman" w:eastAsia="Times New Roman" w:hAnsi="Times New Roman"/>
          <w:sz w:val="17"/>
          <w:szCs w:val="17"/>
          <w:color w:val="auto"/>
        </w:rPr>
        <w:t>January 1, 2025</w:t>
      </w:r>
    </w:p>
    <w:p>
      <w:pPr>
        <w:spacing w:after="0" w:line="27" w:lineRule="exact"/>
        <w:rPr>
          <w:sz w:val="20"/>
          <w:szCs w:val="20"/>
          <w:color w:val="auto"/>
        </w:rPr>
      </w:pPr>
    </w:p>
    <w:p>
      <w:pPr>
        <w:ind w:left="40"/>
        <w:spacing w:after="0"/>
        <w:tabs>
          <w:tab w:leader="none" w:pos="1940" w:val="left"/>
        </w:tabs>
        <w:rPr>
          <w:sz w:val="20"/>
          <w:szCs w:val="20"/>
          <w:color w:val="auto"/>
        </w:rPr>
      </w:pPr>
      <w:r>
        <w:rPr>
          <w:rFonts w:ascii="Times New Roman" w:cs="Times New Roman" w:eastAsia="Times New Roman" w:hAnsi="Times New Roman"/>
          <w:sz w:val="18"/>
          <w:szCs w:val="18"/>
          <w:color w:val="auto"/>
        </w:rPr>
        <w:t>Taxes (Topic 740):</w:t>
      </w:r>
      <w:r>
        <w:rPr>
          <w:sz w:val="20"/>
          <w:szCs w:val="20"/>
          <w:color w:val="auto"/>
        </w:rPr>
        <w:tab/>
      </w:r>
      <w:r>
        <w:rPr>
          <w:rFonts w:ascii="Times New Roman" w:cs="Times New Roman" w:eastAsia="Times New Roman" w:hAnsi="Times New Roman"/>
          <w:sz w:val="17"/>
          <w:szCs w:val="17"/>
          <w:color w:val="auto"/>
        </w:rPr>
        <w:t>to disclose additional information in specified</w:t>
      </w:r>
    </w:p>
    <w:p>
      <w:pPr>
        <w:spacing w:after="0" w:line="9" w:lineRule="exact"/>
        <w:rPr>
          <w:sz w:val="20"/>
          <w:szCs w:val="20"/>
          <w:color w:val="auto"/>
        </w:rPr>
      </w:pPr>
    </w:p>
    <w:p>
      <w:pPr>
        <w:ind w:left="40"/>
        <w:spacing w:after="0"/>
        <w:tabs>
          <w:tab w:leader="none" w:pos="1940" w:val="left"/>
        </w:tabs>
        <w:rPr>
          <w:sz w:val="20"/>
          <w:szCs w:val="20"/>
          <w:color w:val="auto"/>
        </w:rPr>
      </w:pPr>
      <w:r>
        <w:rPr>
          <w:rFonts w:ascii="Times New Roman" w:cs="Times New Roman" w:eastAsia="Times New Roman" w:hAnsi="Times New Roman"/>
          <w:sz w:val="18"/>
          <w:szCs w:val="18"/>
          <w:color w:val="auto"/>
        </w:rPr>
        <w:t>Improvements to</w:t>
      </w:r>
      <w:r>
        <w:rPr>
          <w:sz w:val="20"/>
          <w:szCs w:val="20"/>
          <w:color w:val="auto"/>
        </w:rPr>
        <w:tab/>
      </w:r>
      <w:r>
        <w:rPr>
          <w:rFonts w:ascii="Times New Roman" w:cs="Times New Roman" w:eastAsia="Times New Roman" w:hAnsi="Times New Roman"/>
          <w:sz w:val="17"/>
          <w:szCs w:val="17"/>
          <w:color w:val="auto"/>
        </w:rPr>
        <w:t>categories with respect to the reconciliation of</w:t>
      </w:r>
    </w:p>
    <w:p>
      <w:pPr>
        <w:spacing w:after="0" w:line="9" w:lineRule="exact"/>
        <w:rPr>
          <w:sz w:val="20"/>
          <w:szCs w:val="20"/>
          <w:color w:val="auto"/>
        </w:rPr>
      </w:pPr>
    </w:p>
    <w:p>
      <w:pPr>
        <w:ind w:left="40"/>
        <w:spacing w:after="0"/>
        <w:tabs>
          <w:tab w:leader="none" w:pos="1940" w:val="left"/>
        </w:tabs>
        <w:rPr>
          <w:sz w:val="20"/>
          <w:szCs w:val="20"/>
          <w:color w:val="auto"/>
        </w:rPr>
      </w:pPr>
      <w:r>
        <w:rPr>
          <w:rFonts w:ascii="Times New Roman" w:cs="Times New Roman" w:eastAsia="Times New Roman" w:hAnsi="Times New Roman"/>
          <w:sz w:val="18"/>
          <w:szCs w:val="18"/>
          <w:color w:val="auto"/>
        </w:rPr>
        <w:t>Income Tax</w:t>
      </w:r>
      <w:r>
        <w:rPr>
          <w:sz w:val="20"/>
          <w:szCs w:val="20"/>
          <w:color w:val="auto"/>
        </w:rPr>
        <w:tab/>
      </w:r>
      <w:r>
        <w:rPr>
          <w:rFonts w:ascii="Times New Roman" w:cs="Times New Roman" w:eastAsia="Times New Roman" w:hAnsi="Times New Roman"/>
          <w:sz w:val="17"/>
          <w:szCs w:val="17"/>
          <w:color w:val="auto"/>
        </w:rPr>
        <w:t>the effective tax rate to the statutory rate for</w:t>
      </w:r>
    </w:p>
    <w:p>
      <w:pPr>
        <w:spacing w:after="0" w:line="9" w:lineRule="exact"/>
        <w:rPr>
          <w:sz w:val="20"/>
          <w:szCs w:val="20"/>
          <w:color w:val="auto"/>
        </w:rPr>
      </w:pPr>
    </w:p>
    <w:p>
      <w:pPr>
        <w:ind w:left="40"/>
        <w:spacing w:after="0"/>
        <w:tabs>
          <w:tab w:leader="none" w:pos="1940" w:val="left"/>
        </w:tabs>
        <w:rPr>
          <w:sz w:val="20"/>
          <w:szCs w:val="20"/>
          <w:color w:val="auto"/>
        </w:rPr>
      </w:pPr>
      <w:r>
        <w:rPr>
          <w:rFonts w:ascii="Times New Roman" w:cs="Times New Roman" w:eastAsia="Times New Roman" w:hAnsi="Times New Roman"/>
          <w:sz w:val="18"/>
          <w:szCs w:val="18"/>
          <w:color w:val="auto"/>
        </w:rPr>
        <w:t>Disclosures.</w:t>
      </w:r>
      <w:r>
        <w:rPr>
          <w:sz w:val="20"/>
          <w:szCs w:val="20"/>
          <w:color w:val="auto"/>
        </w:rPr>
        <w:tab/>
      </w:r>
      <w:r>
        <w:rPr>
          <w:rFonts w:ascii="Times New Roman" w:cs="Times New Roman" w:eastAsia="Times New Roman" w:hAnsi="Times New Roman"/>
          <w:sz w:val="18"/>
          <w:szCs w:val="18"/>
          <w:color w:val="auto"/>
        </w:rPr>
        <w:t>federal, state, and foreign income taxes. It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also requires greater detail about individual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reconciling items in the rate reconciliation to</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the extent the impact of those items exceeds 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specified threshold.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212529"/>
        </w:rPr>
        <w:t xml:space="preserve">The Company will review the extent of new disclosures necessary prior to implementation. </w:t>
      </w:r>
      <w:r>
        <w:rPr>
          <w:rFonts w:ascii="Times New Roman" w:cs="Times New Roman" w:eastAsia="Times New Roman" w:hAnsi="Times New Roman"/>
          <w:sz w:val="18"/>
          <w:szCs w:val="18"/>
          <w:color w:val="000000"/>
        </w:rPr>
        <w:t>O</w:t>
      </w:r>
      <w:r>
        <w:rPr>
          <w:rFonts w:ascii="Times New Roman" w:cs="Times New Roman" w:eastAsia="Times New Roman" w:hAnsi="Times New Roman"/>
          <w:sz w:val="19"/>
          <w:szCs w:val="19"/>
          <w:color w:val="212529"/>
        </w:rPr>
        <w:t>t</w:t>
      </w:r>
      <w:r>
        <w:rPr>
          <w:rFonts w:ascii="Times New Roman" w:cs="Times New Roman" w:eastAsia="Times New Roman" w:hAnsi="Times New Roman"/>
          <w:sz w:val="18"/>
          <w:szCs w:val="18"/>
          <w:color w:val="212529"/>
        </w:rPr>
        <w:t xml:space="preserve">her than additional disclosure, the adoption of this ASU is not expected to have a material impact on the Company's </w:t>
      </w:r>
      <w:r>
        <w:rPr>
          <w:rFonts w:ascii="Times New Roman" w:cs="Times New Roman" w:eastAsia="Times New Roman" w:hAnsi="Times New Roman"/>
          <w:sz w:val="18"/>
          <w:szCs w:val="18"/>
          <w:color w:val="000000"/>
        </w:rPr>
        <w:t>consolidated financial</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statements.</w:t>
      </w:r>
    </w:p>
    <w:p>
      <w:pPr>
        <w:spacing w:after="0" w:line="601" w:lineRule="exact"/>
        <w:rPr>
          <w:sz w:val="20"/>
          <w:szCs w:val="20"/>
          <w:color w:val="auto"/>
        </w:rPr>
      </w:pPr>
    </w:p>
    <w:p>
      <w:pPr>
        <w:sectPr>
          <w:pgSz w:w="11900" w:h="16838" w:orient="portrait"/>
          <w:cols w:equalWidth="0" w:num="2">
            <w:col w:w="6620" w:space="720"/>
            <w:col w:w="3340"/>
          </w:cols>
          <w:pgMar w:left="700" w:top="765" w:right="519" w:bottom="1440" w:gutter="0" w:footer="0" w:header="0"/>
          <w:type w:val="continuous"/>
        </w:sectPr>
      </w:pPr>
    </w:p>
    <w:p>
      <w:pPr>
        <w:spacing w:after="0" w:line="200" w:lineRule="exact"/>
        <w:rPr>
          <w:sz w:val="20"/>
          <w:szCs w:val="20"/>
          <w:color w:val="auto"/>
        </w:rPr>
      </w:pPr>
    </w:p>
    <w:p>
      <w:pPr>
        <w:spacing w:after="0" w:line="23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700" w:top="765" w:right="519" w:bottom="1440" w:gutter="0" w:footer="0" w:header="0"/>
          <w:type w:val="continuous"/>
        </w:sectPr>
      </w:pPr>
    </w:p>
    <w:bookmarkStart w:id="21" w:name="page22"/>
    <w:bookmarkEnd w:id="21"/>
    <w:p>
      <w:pPr>
        <w:jc w:val="center"/>
        <w:ind w:left="340" w:right="2680"/>
        <w:spacing w:after="0" w:line="26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60" w:hanging="339"/>
        <w:spacing w:after="0"/>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Investments</w:t>
      </w:r>
    </w:p>
    <w:p>
      <w:pPr>
        <w:spacing w:after="0" w:line="1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tables detail the properties acquired for the periods set forth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4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9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Regency</w:t>
            </w:r>
          </w:p>
        </w:tc>
        <w:tc>
          <w:tcPr>
            <w:tcW w:w="120" w:type="dxa"/>
            <w:vAlign w:val="bottom"/>
          </w:tcPr>
          <w:p>
            <w:pPr>
              <w:spacing w:after="0"/>
              <w:rPr>
                <w:sz w:val="12"/>
                <w:szCs w:val="12"/>
                <w:color w:val="auto"/>
              </w:rPr>
            </w:pPr>
          </w:p>
        </w:tc>
        <w:tc>
          <w:tcPr>
            <w:tcW w:w="7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Assumed,</w:t>
            </w: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100" w:type="dxa"/>
            <w:vAlign w:val="bottom"/>
          </w:tcPr>
          <w:p>
            <w:pPr>
              <w:spacing w:after="0"/>
              <w:rPr>
                <w:sz w:val="12"/>
                <w:szCs w:val="12"/>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46"/>
        </w:trPr>
        <w:tc>
          <w:tcPr>
            <w:tcW w:w="900" w:type="dxa"/>
            <w:vAlign w:val="bottom"/>
            <w:vMerge w:val="continue"/>
          </w:tcPr>
          <w:p>
            <w:pPr>
              <w:spacing w:after="0"/>
              <w:rPr>
                <w:sz w:val="12"/>
                <w:szCs w:val="12"/>
                <w:color w:val="auto"/>
              </w:rPr>
            </w:pPr>
          </w:p>
        </w:tc>
        <w:tc>
          <w:tcPr>
            <w:tcW w:w="26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Property Name</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City/State</w:t>
            </w:r>
          </w:p>
        </w:tc>
        <w:tc>
          <w:tcPr>
            <w:tcW w:w="10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Net of</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6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0" w:type="dxa"/>
            <w:vAlign w:val="bottom"/>
          </w:tcPr>
          <w:p>
            <w:pPr>
              <w:spacing w:after="0"/>
              <w:rPr>
                <w:sz w:val="16"/>
                <w:szCs w:val="16"/>
                <w:color w:val="auto"/>
              </w:rPr>
            </w:pPr>
          </w:p>
        </w:tc>
        <w:tc>
          <w:tcPr>
            <w:tcW w:w="780" w:type="dxa"/>
            <w:vAlign w:val="bottom"/>
          </w:tcPr>
          <w:p>
            <w:pPr>
              <w:jc w:val="center"/>
              <w:ind w:right="48"/>
              <w:spacing w:after="0" w:line="189" w:lineRule="exact"/>
              <w:rPr>
                <w:sz w:val="20"/>
                <w:szCs w:val="20"/>
                <w:color w:val="auto"/>
              </w:rPr>
            </w:pPr>
            <w:r>
              <w:rPr>
                <w:rFonts w:ascii="Times New Roman" w:cs="Times New Roman" w:eastAsia="Times New Roman" w:hAnsi="Times New Roman"/>
                <w:sz w:val="14"/>
                <w:szCs w:val="14"/>
                <w:b w:val="1"/>
                <w:bCs w:val="1"/>
                <w:color w:val="auto"/>
                <w:w w:val="93"/>
              </w:rPr>
              <w:t xml:space="preserve">Price </w:t>
            </w:r>
            <w:r>
              <w:rPr>
                <w:rFonts w:ascii="Times New Roman" w:cs="Times New Roman" w:eastAsia="Times New Roman" w:hAnsi="Times New Roman"/>
                <w:sz w:val="19"/>
                <w:szCs w:val="19"/>
                <w:b w:val="1"/>
                <w:bCs w:val="1"/>
                <w:color w:val="auto"/>
                <w:w w:val="93"/>
                <w:vertAlign w:val="superscript"/>
              </w:rPr>
              <w:t>(1)</w:t>
            </w:r>
          </w:p>
        </w:tc>
        <w:tc>
          <w:tcPr>
            <w:tcW w:w="120" w:type="dxa"/>
            <w:vAlign w:val="bottom"/>
          </w:tcPr>
          <w:p>
            <w:pPr>
              <w:spacing w:after="0"/>
              <w:rPr>
                <w:sz w:val="16"/>
                <w:szCs w:val="16"/>
                <w:color w:val="auto"/>
              </w:rPr>
            </w:pP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6"/>
              </w:rPr>
              <w:t xml:space="preserve">Discounts </w:t>
            </w:r>
            <w:r>
              <w:rPr>
                <w:rFonts w:ascii="Times New Roman" w:cs="Times New Roman" w:eastAsia="Times New Roman" w:hAnsi="Times New Roman"/>
                <w:sz w:val="19"/>
                <w:szCs w:val="19"/>
                <w:b w:val="1"/>
                <w:bCs w:val="1"/>
                <w:color w:val="auto"/>
                <w:w w:val="96"/>
                <w:vertAlign w:val="superscript"/>
              </w:rPr>
              <w:t>(1)</w:t>
            </w:r>
          </w:p>
        </w:tc>
        <w:tc>
          <w:tcPr>
            <w:tcW w:w="100" w:type="dxa"/>
            <w:vAlign w:val="bottom"/>
          </w:tcPr>
          <w:p>
            <w:pPr>
              <w:spacing w:after="0"/>
              <w:rPr>
                <w:sz w:val="16"/>
                <w:szCs w:val="16"/>
                <w:color w:val="auto"/>
              </w:rPr>
            </w:pP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3"/>
              </w:rPr>
              <w:t xml:space="preserve">Assets </w:t>
            </w:r>
            <w:r>
              <w:rPr>
                <w:rFonts w:ascii="Times New Roman" w:cs="Times New Roman" w:eastAsia="Times New Roman" w:hAnsi="Times New Roman"/>
                <w:sz w:val="19"/>
                <w:szCs w:val="19"/>
                <w:b w:val="1"/>
                <w:bCs w:val="1"/>
                <w:color w:val="auto"/>
                <w:w w:val="93"/>
                <w:vertAlign w:val="superscript"/>
              </w:rPr>
              <w:t>(1)</w:t>
            </w:r>
          </w:p>
        </w:tc>
        <w:tc>
          <w:tcPr>
            <w:tcW w:w="100" w:type="dxa"/>
            <w:vAlign w:val="bottom"/>
          </w:tcPr>
          <w:p>
            <w:pPr>
              <w:spacing w:after="0"/>
              <w:rPr>
                <w:sz w:val="16"/>
                <w:szCs w:val="16"/>
                <w:color w:val="auto"/>
              </w:rPr>
            </w:pPr>
          </w:p>
        </w:tc>
        <w:tc>
          <w:tcPr>
            <w:tcW w:w="110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4"/>
                <w:szCs w:val="14"/>
                <w:b w:val="1"/>
                <w:bCs w:val="1"/>
                <w:color w:val="auto"/>
                <w:w w:val="97"/>
              </w:rPr>
              <w:t xml:space="preserve">Liabilities </w:t>
            </w:r>
            <w:r>
              <w:rPr>
                <w:rFonts w:ascii="Times New Roman" w:cs="Times New Roman" w:eastAsia="Times New Roman" w:hAnsi="Times New Roman"/>
                <w:sz w:val="19"/>
                <w:szCs w:val="19"/>
                <w:b w:val="1"/>
                <w:bCs w:val="1"/>
                <w:color w:val="auto"/>
                <w:w w:val="97"/>
                <w:vertAlign w:val="superscript"/>
              </w:rPr>
              <w:t>(1)</w:t>
            </w:r>
          </w:p>
        </w:tc>
        <w:tc>
          <w:tcPr>
            <w:tcW w:w="0" w:type="dxa"/>
            <w:vAlign w:val="bottom"/>
          </w:tcPr>
          <w:p>
            <w:pPr>
              <w:spacing w:after="0"/>
              <w:rPr>
                <w:sz w:val="1"/>
                <w:szCs w:val="1"/>
                <w:color w:val="auto"/>
              </w:rPr>
            </w:pPr>
          </w:p>
        </w:tc>
      </w:tr>
      <w:tr>
        <w:trPr>
          <w:trHeight w:val="169"/>
        </w:trPr>
        <w:tc>
          <w:tcPr>
            <w:tcW w:w="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640" w:type="dxa"/>
            <w:vAlign w:val="bottom"/>
            <w:tcBorders>
              <w:top w:val="single" w:sz="8" w:color="auto"/>
            </w:tcBorders>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2/23/2024</w:t>
            </w:r>
          </w:p>
        </w:tc>
        <w:tc>
          <w:tcPr>
            <w:tcW w:w="2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The Shops at Stone Bridge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Cheshire, CT</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Development</w:t>
            </w:r>
          </w:p>
        </w:tc>
        <w:tc>
          <w:tcPr>
            <w:tcW w:w="106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20" w:type="dxa"/>
            <w:vAlign w:val="bottom"/>
          </w:tcPr>
          <w:p>
            <w:pPr>
              <w:spacing w:after="0"/>
              <w:rPr>
                <w:sz w:val="15"/>
                <w:szCs w:val="15"/>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5/3/2024</w:t>
            </w:r>
          </w:p>
        </w:tc>
        <w:tc>
          <w:tcPr>
            <w:tcW w:w="2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Compo Acres North shopping center</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Westport, CT</w:t>
            </w:r>
          </w:p>
        </w:tc>
        <w:tc>
          <w:tcPr>
            <w:tcW w:w="1020" w:type="dxa"/>
            <w:vAlign w:val="bottom"/>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Operating</w:t>
            </w:r>
          </w:p>
        </w:tc>
        <w:tc>
          <w:tcPr>
            <w:tcW w:w="1060" w:type="dxa"/>
            <w:vAlign w:val="bottom"/>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45,500</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5,360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7/16/2024</w:t>
            </w:r>
          </w:p>
        </w:tc>
        <w:tc>
          <w:tcPr>
            <w:tcW w:w="2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Jordan Ranch Market</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Houston, TX</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Development</w:t>
            </w:r>
          </w:p>
        </w:tc>
        <w:tc>
          <w:tcPr>
            <w:tcW w:w="106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15,784</w:t>
            </w:r>
          </w:p>
        </w:tc>
        <w:tc>
          <w:tcPr>
            <w:tcW w:w="120" w:type="dxa"/>
            <w:vAlign w:val="bottom"/>
          </w:tcPr>
          <w:p>
            <w:pPr>
              <w:spacing w:after="0"/>
              <w:rPr>
                <w:sz w:val="15"/>
                <w:szCs w:val="15"/>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354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8/21/2024   Oakley Shops at Laurel Fields</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Oakley, CA</w:t>
            </w:r>
          </w:p>
        </w:tc>
        <w:tc>
          <w:tcPr>
            <w:tcW w:w="1020" w:type="dxa"/>
            <w:vAlign w:val="bottom"/>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Development</w:t>
            </w:r>
          </w:p>
        </w:tc>
        <w:tc>
          <w:tcPr>
            <w:tcW w:w="1060" w:type="dxa"/>
            <w:vAlign w:val="bottom"/>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2,120</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consolidated</w:t>
            </w: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71,404</w:t>
            </w:r>
          </w:p>
        </w:tc>
        <w:tc>
          <w:tcPr>
            <w:tcW w:w="120" w:type="dxa"/>
            <w:vAlign w:val="bottom"/>
          </w:tcPr>
          <w:p>
            <w:pPr>
              <w:spacing w:after="0"/>
              <w:rPr>
                <w:sz w:val="14"/>
                <w:szCs w:val="14"/>
                <w:color w:val="auto"/>
              </w:rPr>
            </w:pPr>
          </w:p>
        </w:tc>
        <w:tc>
          <w:tcPr>
            <w:tcW w:w="9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5,360</w:t>
            </w:r>
          </w:p>
        </w:tc>
        <w:tc>
          <w:tcPr>
            <w:tcW w:w="1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Unconsolidated</w:t>
            </w:r>
          </w:p>
        </w:tc>
        <w:tc>
          <w:tcPr>
            <w:tcW w:w="14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8/30/2024</w:t>
            </w:r>
          </w:p>
        </w:tc>
        <w:tc>
          <w:tcPr>
            <w:tcW w:w="2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East Greenwich Square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East Greenwich, RI</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Operating</w:t>
            </w:r>
          </w:p>
        </w:tc>
        <w:tc>
          <w:tcPr>
            <w:tcW w:w="106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46,650</w:t>
            </w:r>
          </w:p>
        </w:tc>
        <w:tc>
          <w:tcPr>
            <w:tcW w:w="120" w:type="dxa"/>
            <w:vAlign w:val="bottom"/>
          </w:tcPr>
          <w:p>
            <w:pPr>
              <w:spacing w:after="0"/>
              <w:rPr>
                <w:sz w:val="15"/>
                <w:szCs w:val="15"/>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5,127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40" w:type="dxa"/>
            <w:vAlign w:val="bottom"/>
            <w:tcBorders>
              <w:top w:val="single" w:sz="8" w:color="CFF0FC"/>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 unconsolidated</w:t>
            </w:r>
          </w:p>
        </w:tc>
        <w:tc>
          <w:tcPr>
            <w:tcW w:w="1460" w:type="dxa"/>
            <w:vAlign w:val="bottom"/>
            <w:tcBorders>
              <w:top w:val="single" w:sz="8" w:color="CFF0FC"/>
              <w:bottom w:val="single" w:sz="8" w:color="CFF0FC"/>
            </w:tcBorders>
            <w:shd w:val="clear" w:color="auto" w:fill="CFF0FC"/>
          </w:tcPr>
          <w:p>
            <w:pPr>
              <w:spacing w:after="0"/>
              <w:rPr>
                <w:sz w:val="14"/>
                <w:szCs w:val="14"/>
                <w:color w:val="auto"/>
              </w:rPr>
            </w:pPr>
          </w:p>
        </w:tc>
        <w:tc>
          <w:tcPr>
            <w:tcW w:w="1020" w:type="dxa"/>
            <w:vAlign w:val="bottom"/>
            <w:tcBorders>
              <w:top w:val="single" w:sz="8" w:color="CFF0FC"/>
              <w:bottom w:val="single" w:sz="8" w:color="CFF0FC"/>
            </w:tcBorders>
            <w:shd w:val="clear" w:color="auto" w:fill="CFF0FC"/>
          </w:tcPr>
          <w:p>
            <w:pPr>
              <w:spacing w:after="0"/>
              <w:rPr>
                <w:sz w:val="14"/>
                <w:szCs w:val="14"/>
                <w:color w:val="auto"/>
              </w:rPr>
            </w:pPr>
          </w:p>
        </w:tc>
        <w:tc>
          <w:tcPr>
            <w:tcW w:w="106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46,650</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5,127</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1,877</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Total property acquisitions</w:t>
            </w: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gridSpan w:val="2"/>
          </w:tcPr>
          <w:p>
            <w:pPr>
              <w:spacing w:after="0"/>
              <w:rPr>
                <w:sz w:val="14"/>
                <w:szCs w:val="14"/>
                <w:color w:val="auto"/>
              </w:rPr>
            </w:pPr>
          </w:p>
        </w:tc>
        <w:tc>
          <w:tcPr>
            <w:tcW w:w="11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40" w:type="dxa"/>
            <w:vAlign w:val="bottom"/>
            <w:gridSpan w:val="2"/>
            <w:vMerge w:val="continue"/>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118,054</w:t>
            </w:r>
          </w:p>
        </w:tc>
        <w:tc>
          <w:tcPr>
            <w:tcW w:w="120" w:type="dxa"/>
            <w:vAlign w:val="bottom"/>
          </w:tcPr>
          <w:p>
            <w:pPr>
              <w:spacing w:after="0"/>
              <w:rPr>
                <w:sz w:val="14"/>
                <w:szCs w:val="14"/>
                <w:color w:val="auto"/>
              </w:rPr>
            </w:pPr>
          </w:p>
        </w:tc>
        <w:tc>
          <w:tcPr>
            <w:tcW w:w="9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10,487</w:t>
            </w:r>
          </w:p>
        </w:tc>
        <w:tc>
          <w:tcPr>
            <w:tcW w:w="1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64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9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2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Regency</w:t>
            </w:r>
          </w:p>
        </w:tc>
        <w:tc>
          <w:tcPr>
            <w:tcW w:w="120" w:type="dxa"/>
            <w:vAlign w:val="bottom"/>
          </w:tcPr>
          <w:p>
            <w:pPr>
              <w:spacing w:after="0"/>
              <w:rPr>
                <w:sz w:val="12"/>
                <w:szCs w:val="12"/>
                <w:color w:val="auto"/>
              </w:rPr>
            </w:pPr>
          </w:p>
        </w:tc>
        <w:tc>
          <w:tcPr>
            <w:tcW w:w="78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Purchase</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Assumed,</w:t>
            </w:r>
          </w:p>
        </w:tc>
        <w:tc>
          <w:tcPr>
            <w:tcW w:w="10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100" w:type="dxa"/>
            <w:vAlign w:val="bottom"/>
          </w:tcPr>
          <w:p>
            <w:pPr>
              <w:spacing w:after="0"/>
              <w:rPr>
                <w:sz w:val="12"/>
                <w:szCs w:val="12"/>
                <w:color w:val="auto"/>
              </w:rPr>
            </w:pP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Intangible</w:t>
            </w:r>
          </w:p>
        </w:tc>
        <w:tc>
          <w:tcPr>
            <w:tcW w:w="0" w:type="dxa"/>
            <w:vAlign w:val="bottom"/>
          </w:tcPr>
          <w:p>
            <w:pPr>
              <w:spacing w:after="0"/>
              <w:rPr>
                <w:sz w:val="1"/>
                <w:szCs w:val="1"/>
                <w:color w:val="auto"/>
              </w:rPr>
            </w:pPr>
          </w:p>
        </w:tc>
      </w:tr>
      <w:tr>
        <w:trPr>
          <w:trHeight w:val="146"/>
        </w:trPr>
        <w:tc>
          <w:tcPr>
            <w:tcW w:w="900" w:type="dxa"/>
            <w:vAlign w:val="bottom"/>
            <w:vMerge w:val="continue"/>
          </w:tcPr>
          <w:p>
            <w:pPr>
              <w:spacing w:after="0"/>
              <w:rPr>
                <w:sz w:val="12"/>
                <w:szCs w:val="12"/>
                <w:color w:val="auto"/>
              </w:rPr>
            </w:pPr>
          </w:p>
        </w:tc>
        <w:tc>
          <w:tcPr>
            <w:tcW w:w="2640" w:type="dxa"/>
            <w:vAlign w:val="bottom"/>
            <w:vMerge w:val="restart"/>
          </w:tcPr>
          <w:p>
            <w:pPr>
              <w:ind w:left="880"/>
              <w:spacing w:after="0"/>
              <w:rPr>
                <w:sz w:val="20"/>
                <w:szCs w:val="20"/>
                <w:color w:val="auto"/>
              </w:rPr>
            </w:pPr>
            <w:r>
              <w:rPr>
                <w:rFonts w:ascii="Times New Roman" w:cs="Times New Roman" w:eastAsia="Times New Roman" w:hAnsi="Times New Roman"/>
                <w:sz w:val="14"/>
                <w:szCs w:val="14"/>
                <w:b w:val="1"/>
                <w:bCs w:val="1"/>
                <w:color w:val="auto"/>
              </w:rPr>
              <w:t>Property Name</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City/State</w:t>
            </w:r>
          </w:p>
        </w:tc>
        <w:tc>
          <w:tcPr>
            <w:tcW w:w="10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Net of</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640" w:type="dxa"/>
            <w:vAlign w:val="bottom"/>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c>
          <w:tcPr>
            <w:tcW w:w="120" w:type="dxa"/>
            <w:vAlign w:val="bottom"/>
          </w:tcPr>
          <w:p>
            <w:pPr>
              <w:spacing w:after="0"/>
              <w:rPr>
                <w:sz w:val="16"/>
                <w:szCs w:val="16"/>
                <w:color w:val="auto"/>
              </w:rPr>
            </w:pPr>
          </w:p>
        </w:tc>
        <w:tc>
          <w:tcPr>
            <w:tcW w:w="780" w:type="dxa"/>
            <w:vAlign w:val="bottom"/>
          </w:tcPr>
          <w:p>
            <w:pPr>
              <w:jc w:val="center"/>
              <w:ind w:right="48"/>
              <w:spacing w:after="0" w:line="189" w:lineRule="exact"/>
              <w:rPr>
                <w:sz w:val="20"/>
                <w:szCs w:val="20"/>
                <w:color w:val="auto"/>
              </w:rPr>
            </w:pPr>
            <w:r>
              <w:rPr>
                <w:rFonts w:ascii="Times New Roman" w:cs="Times New Roman" w:eastAsia="Times New Roman" w:hAnsi="Times New Roman"/>
                <w:sz w:val="14"/>
                <w:szCs w:val="14"/>
                <w:b w:val="1"/>
                <w:bCs w:val="1"/>
                <w:color w:val="auto"/>
                <w:w w:val="93"/>
              </w:rPr>
              <w:t xml:space="preserve">Price </w:t>
            </w:r>
            <w:r>
              <w:rPr>
                <w:rFonts w:ascii="Times New Roman" w:cs="Times New Roman" w:eastAsia="Times New Roman" w:hAnsi="Times New Roman"/>
                <w:sz w:val="19"/>
                <w:szCs w:val="19"/>
                <w:b w:val="1"/>
                <w:bCs w:val="1"/>
                <w:color w:val="auto"/>
                <w:w w:val="93"/>
                <w:vertAlign w:val="superscript"/>
              </w:rPr>
              <w:t>(1)</w:t>
            </w:r>
          </w:p>
        </w:tc>
        <w:tc>
          <w:tcPr>
            <w:tcW w:w="120" w:type="dxa"/>
            <w:vAlign w:val="bottom"/>
          </w:tcPr>
          <w:p>
            <w:pPr>
              <w:spacing w:after="0"/>
              <w:rPr>
                <w:sz w:val="16"/>
                <w:szCs w:val="16"/>
                <w:color w:val="auto"/>
              </w:rPr>
            </w:pP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6"/>
              </w:rPr>
              <w:t xml:space="preserve">Discounts </w:t>
            </w:r>
            <w:r>
              <w:rPr>
                <w:rFonts w:ascii="Times New Roman" w:cs="Times New Roman" w:eastAsia="Times New Roman" w:hAnsi="Times New Roman"/>
                <w:sz w:val="19"/>
                <w:szCs w:val="19"/>
                <w:b w:val="1"/>
                <w:bCs w:val="1"/>
                <w:color w:val="auto"/>
                <w:w w:val="96"/>
                <w:vertAlign w:val="superscript"/>
              </w:rPr>
              <w:t>(1)</w:t>
            </w:r>
          </w:p>
        </w:tc>
        <w:tc>
          <w:tcPr>
            <w:tcW w:w="100" w:type="dxa"/>
            <w:vAlign w:val="bottom"/>
          </w:tcPr>
          <w:p>
            <w:pPr>
              <w:spacing w:after="0"/>
              <w:rPr>
                <w:sz w:val="16"/>
                <w:szCs w:val="16"/>
                <w:color w:val="auto"/>
              </w:rPr>
            </w:pPr>
          </w:p>
        </w:tc>
        <w:tc>
          <w:tcPr>
            <w:tcW w:w="920" w:type="dxa"/>
            <w:vAlign w:val="bottom"/>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3"/>
              </w:rPr>
              <w:t xml:space="preserve">Assets </w:t>
            </w:r>
            <w:r>
              <w:rPr>
                <w:rFonts w:ascii="Times New Roman" w:cs="Times New Roman" w:eastAsia="Times New Roman" w:hAnsi="Times New Roman"/>
                <w:sz w:val="19"/>
                <w:szCs w:val="19"/>
                <w:b w:val="1"/>
                <w:bCs w:val="1"/>
                <w:color w:val="auto"/>
                <w:w w:val="93"/>
                <w:vertAlign w:val="superscript"/>
              </w:rPr>
              <w:t>(1)</w:t>
            </w:r>
          </w:p>
        </w:tc>
        <w:tc>
          <w:tcPr>
            <w:tcW w:w="100" w:type="dxa"/>
            <w:vAlign w:val="bottom"/>
          </w:tcPr>
          <w:p>
            <w:pPr>
              <w:spacing w:after="0"/>
              <w:rPr>
                <w:sz w:val="16"/>
                <w:szCs w:val="16"/>
                <w:color w:val="auto"/>
              </w:rPr>
            </w:pPr>
          </w:p>
        </w:tc>
        <w:tc>
          <w:tcPr>
            <w:tcW w:w="110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4"/>
                <w:szCs w:val="14"/>
                <w:b w:val="1"/>
                <w:bCs w:val="1"/>
                <w:color w:val="auto"/>
                <w:w w:val="97"/>
              </w:rPr>
              <w:t xml:space="preserve">Liabilities </w:t>
            </w:r>
            <w:r>
              <w:rPr>
                <w:rFonts w:ascii="Times New Roman" w:cs="Times New Roman" w:eastAsia="Times New Roman" w:hAnsi="Times New Roman"/>
                <w:sz w:val="19"/>
                <w:szCs w:val="19"/>
                <w:b w:val="1"/>
                <w:bCs w:val="1"/>
                <w:color w:val="auto"/>
                <w:w w:val="97"/>
                <w:vertAlign w:val="superscript"/>
              </w:rPr>
              <w:t>(1)</w:t>
            </w:r>
          </w:p>
        </w:tc>
        <w:tc>
          <w:tcPr>
            <w:tcW w:w="0" w:type="dxa"/>
            <w:vAlign w:val="bottom"/>
          </w:tcPr>
          <w:p>
            <w:pPr>
              <w:spacing w:after="0"/>
              <w:rPr>
                <w:sz w:val="1"/>
                <w:szCs w:val="1"/>
                <w:color w:val="auto"/>
              </w:rPr>
            </w:pPr>
          </w:p>
        </w:tc>
      </w:tr>
      <w:tr>
        <w:trPr>
          <w:trHeight w:val="169"/>
        </w:trPr>
        <w:tc>
          <w:tcPr>
            <w:tcW w:w="9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640" w:type="dxa"/>
            <w:vAlign w:val="bottom"/>
            <w:tcBorders>
              <w:top w:val="single" w:sz="8" w:color="auto"/>
            </w:tcBorders>
            <w:shd w:val="clear" w:color="auto" w:fill="CFF0FC"/>
          </w:tcPr>
          <w:p>
            <w:pPr>
              <w:spacing w:after="0"/>
              <w:rPr>
                <w:sz w:val="14"/>
                <w:szCs w:val="14"/>
                <w:color w:val="auto"/>
              </w:rPr>
            </w:pPr>
          </w:p>
        </w:tc>
        <w:tc>
          <w:tcPr>
            <w:tcW w:w="146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106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5/1/2023</w:t>
            </w:r>
          </w:p>
        </w:tc>
        <w:tc>
          <w:tcPr>
            <w:tcW w:w="2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Sienna Phase 1</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Houston, TX</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Development</w:t>
            </w:r>
          </w:p>
        </w:tc>
        <w:tc>
          <w:tcPr>
            <w:tcW w:w="106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2,695</w:t>
            </w:r>
          </w:p>
        </w:tc>
        <w:tc>
          <w:tcPr>
            <w:tcW w:w="120" w:type="dxa"/>
            <w:vAlign w:val="bottom"/>
          </w:tcPr>
          <w:p>
            <w:pPr>
              <w:spacing w:after="0"/>
              <w:rPr>
                <w:sz w:val="15"/>
                <w:szCs w:val="15"/>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9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5/18/2023</w:t>
            </w:r>
          </w:p>
        </w:tc>
        <w:tc>
          <w:tcPr>
            <w:tcW w:w="26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SunVet</w:t>
            </w:r>
          </w:p>
        </w:tc>
        <w:tc>
          <w:tcPr>
            <w:tcW w:w="14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Holbrook, NY</w:t>
            </w:r>
          </w:p>
        </w:tc>
        <w:tc>
          <w:tcPr>
            <w:tcW w:w="1020" w:type="dxa"/>
            <w:vAlign w:val="bottom"/>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Development</w:t>
            </w:r>
          </w:p>
        </w:tc>
        <w:tc>
          <w:tcPr>
            <w:tcW w:w="1060" w:type="dxa"/>
            <w:vAlign w:val="bottom"/>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24,140</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35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 consolidated</w:t>
            </w: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26,835</w:t>
            </w:r>
          </w:p>
        </w:tc>
        <w:tc>
          <w:tcPr>
            <w:tcW w:w="120" w:type="dxa"/>
            <w:vAlign w:val="bottom"/>
          </w:tcPr>
          <w:p>
            <w:pPr>
              <w:spacing w:after="0"/>
              <w:rPr>
                <w:sz w:val="14"/>
                <w:szCs w:val="14"/>
                <w:color w:val="auto"/>
              </w:rPr>
            </w:pPr>
          </w:p>
        </w:tc>
        <w:tc>
          <w:tcPr>
            <w:tcW w:w="9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Unconsolidated</w:t>
            </w:r>
          </w:p>
        </w:tc>
        <w:tc>
          <w:tcPr>
            <w:tcW w:w="14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9/19/2023</w:t>
            </w:r>
          </w:p>
        </w:tc>
        <w:tc>
          <w:tcPr>
            <w:tcW w:w="2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Old Town Square</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Chicago, IL</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Operating</w:t>
            </w:r>
          </w:p>
        </w:tc>
        <w:tc>
          <w:tcPr>
            <w:tcW w:w="106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27,510</w:t>
            </w:r>
          </w:p>
        </w:tc>
        <w:tc>
          <w:tcPr>
            <w:tcW w:w="120" w:type="dxa"/>
            <w:vAlign w:val="bottom"/>
          </w:tcPr>
          <w:p>
            <w:pPr>
              <w:spacing w:after="0"/>
              <w:rPr>
                <w:sz w:val="15"/>
                <w:szCs w:val="15"/>
                <w:color w:val="auto"/>
              </w:rPr>
            </w:pPr>
          </w:p>
        </w:tc>
        <w:tc>
          <w:tcPr>
            <w:tcW w:w="920" w:type="dxa"/>
            <w:vAlign w:val="bottom"/>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40" w:type="dxa"/>
            <w:vAlign w:val="bottom"/>
            <w:tcBorders>
              <w:top w:val="single" w:sz="8" w:color="CFF0FC"/>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 unconsolidated</w:t>
            </w:r>
          </w:p>
        </w:tc>
        <w:tc>
          <w:tcPr>
            <w:tcW w:w="1460" w:type="dxa"/>
            <w:vAlign w:val="bottom"/>
            <w:tcBorders>
              <w:top w:val="single" w:sz="8" w:color="CFF0FC"/>
              <w:bottom w:val="single" w:sz="8" w:color="CFF0FC"/>
            </w:tcBorders>
            <w:shd w:val="clear" w:color="auto" w:fill="CFF0FC"/>
          </w:tcPr>
          <w:p>
            <w:pPr>
              <w:spacing w:after="0"/>
              <w:rPr>
                <w:sz w:val="14"/>
                <w:szCs w:val="14"/>
                <w:color w:val="auto"/>
              </w:rPr>
            </w:pPr>
          </w:p>
        </w:tc>
        <w:tc>
          <w:tcPr>
            <w:tcW w:w="1020" w:type="dxa"/>
            <w:vAlign w:val="bottom"/>
            <w:tcBorders>
              <w:top w:val="single" w:sz="8" w:color="CFF0FC"/>
              <w:bottom w:val="single" w:sz="8" w:color="CFF0FC"/>
            </w:tcBorders>
            <w:shd w:val="clear" w:color="auto" w:fill="CFF0FC"/>
          </w:tcPr>
          <w:p>
            <w:pPr>
              <w:spacing w:after="0"/>
              <w:rPr>
                <w:sz w:val="14"/>
                <w:szCs w:val="14"/>
                <w:color w:val="auto"/>
              </w:rPr>
            </w:pPr>
          </w:p>
        </w:tc>
        <w:tc>
          <w:tcPr>
            <w:tcW w:w="1060" w:type="dxa"/>
            <w:vAlign w:val="bottom"/>
            <w:tcBorders>
              <w:top w:val="single" w:sz="8" w:color="CFF0FC"/>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27,510</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40" w:type="dxa"/>
            <w:vAlign w:val="bottom"/>
            <w:gridSpan w:val="2"/>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540" w:type="dxa"/>
            <w:vAlign w:val="bottom"/>
            <w:tcBorders>
              <w:bottom w:val="single" w:sz="8" w:color="CFF0FC"/>
            </w:tcBorders>
            <w:gridSpan w:val="2"/>
            <w:shd w:val="clear" w:color="auto" w:fill="CFF0FC"/>
          </w:tcPr>
          <w:p>
            <w:pPr>
              <w:ind w:left="380"/>
              <w:spacing w:after="0"/>
              <w:rPr>
                <w:sz w:val="20"/>
                <w:szCs w:val="20"/>
                <w:color w:val="auto"/>
              </w:rPr>
            </w:pPr>
            <w:r>
              <w:rPr>
                <w:rFonts w:ascii="Times New Roman" w:cs="Times New Roman" w:eastAsia="Times New Roman" w:hAnsi="Times New Roman"/>
                <w:sz w:val="14"/>
                <w:szCs w:val="14"/>
                <w:b w:val="1"/>
                <w:bCs w:val="1"/>
                <w:color w:val="auto"/>
              </w:rPr>
              <w:t>Total property acquisitions</w:t>
            </w:r>
          </w:p>
        </w:tc>
        <w:tc>
          <w:tcPr>
            <w:tcW w:w="14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54,345</w:t>
            </w:r>
          </w:p>
        </w:tc>
        <w:tc>
          <w:tcPr>
            <w:tcW w:w="12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3,625</w:t>
            </w: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5058410</wp:posOffset>
            </wp:positionH>
            <wp:positionV relativeFrom="paragraph">
              <wp:posOffset>-2472055</wp:posOffset>
            </wp:positionV>
            <wp:extent cx="9398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-2472055</wp:posOffset>
            </wp:positionV>
            <wp:extent cx="93980"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-2472055</wp:posOffset>
            </wp:positionV>
            <wp:extent cx="93980"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-2472055</wp:posOffset>
            </wp:positionV>
            <wp:extent cx="93980"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-2120900</wp:posOffset>
            </wp:positionV>
            <wp:extent cx="93980"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-2120900</wp:posOffset>
            </wp:positionV>
            <wp:extent cx="93980"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-2120900</wp:posOffset>
            </wp:positionV>
            <wp:extent cx="9398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-2120900</wp:posOffset>
            </wp:positionV>
            <wp:extent cx="93980"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-749300</wp:posOffset>
            </wp:positionV>
            <wp:extent cx="9398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-749300</wp:posOffset>
            </wp:positionV>
            <wp:extent cx="93980"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-749300</wp:posOffset>
            </wp:positionV>
            <wp:extent cx="93980"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-749300</wp:posOffset>
            </wp:positionV>
            <wp:extent cx="9398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5058410</wp:posOffset>
            </wp:positionH>
            <wp:positionV relativeFrom="paragraph">
              <wp:posOffset>-397510</wp:posOffset>
            </wp:positionV>
            <wp:extent cx="9398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5709920</wp:posOffset>
            </wp:positionH>
            <wp:positionV relativeFrom="paragraph">
              <wp:posOffset>-397510</wp:posOffset>
            </wp:positionV>
            <wp:extent cx="93980" cy="1543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6361430</wp:posOffset>
            </wp:positionH>
            <wp:positionV relativeFrom="paragraph">
              <wp:posOffset>-397510</wp:posOffset>
            </wp:positionV>
            <wp:extent cx="93980"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-397510</wp:posOffset>
            </wp:positionV>
            <wp:extent cx="9398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-24765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 w:lineRule="exact"/>
        <w:rPr>
          <w:sz w:val="20"/>
          <w:szCs w:val="20"/>
          <w:color w:val="auto"/>
        </w:rPr>
      </w:pPr>
    </w:p>
    <w:p>
      <w:pPr>
        <w:ind w:left="260" w:hanging="252"/>
        <w:spacing w:after="0"/>
        <w:tabs>
          <w:tab w:leader="none" w:pos="26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Amounts for purchase price and allocation are reflected at 100%.</w:t>
      </w:r>
    </w:p>
    <w:p>
      <w:pPr>
        <w:spacing w:after="0" w:line="200" w:lineRule="exact"/>
        <w:rPr>
          <w:rFonts w:ascii="Times New Roman" w:cs="Times New Roman" w:eastAsia="Times New Roman" w:hAnsi="Times New Roman"/>
          <w:sz w:val="22"/>
          <w:szCs w:val="22"/>
          <w:color w:val="auto"/>
          <w:vertAlign w:val="superscript"/>
        </w:rPr>
      </w:pPr>
    </w:p>
    <w:p>
      <w:pPr>
        <w:spacing w:after="0" w:line="219" w:lineRule="exact"/>
        <w:rPr>
          <w:rFonts w:ascii="Times New Roman" w:cs="Times New Roman" w:eastAsia="Times New Roman" w:hAnsi="Times New Roman"/>
          <w:sz w:val="22"/>
          <w:szCs w:val="22"/>
          <w:color w:val="auto"/>
          <w:vertAlign w:val="superscript"/>
        </w:rPr>
      </w:pPr>
    </w:p>
    <w:p>
      <w:pPr>
        <w:ind w:left="360" w:hanging="339"/>
        <w:spacing w:after="0"/>
        <w:tabs>
          <w:tab w:leader="none" w:pos="3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Dispositions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provides a summary of consolidated shopping centers and land parcels sold during the periods set forth below:</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2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7"/>
                <w:szCs w:val="17"/>
                <w:color w:val="auto"/>
              </w:rPr>
            </w:pPr>
          </w:p>
        </w:tc>
        <w:tc>
          <w:tcPr>
            <w:tcW w:w="222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25"/>
        </w:trPr>
        <w:tc>
          <w:tcPr>
            <w:tcW w:w="4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80" w:type="dxa"/>
            <w:vAlign w:val="bottom"/>
          </w:tcPr>
          <w:p>
            <w:pPr>
              <w:spacing w:after="0"/>
              <w:rPr>
                <w:sz w:val="19"/>
                <w:szCs w:val="19"/>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 except number sold data)</w:t>
            </w: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Pr>
          <w:p>
            <w:pPr>
              <w:spacing w:after="0"/>
              <w:rPr>
                <w:sz w:val="19"/>
                <w:szCs w:val="19"/>
                <w:color w:val="auto"/>
              </w:rPr>
            </w:pPr>
          </w:p>
        </w:tc>
        <w:tc>
          <w:tcPr>
            <w:tcW w:w="10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r>
      <w:tr>
        <w:trPr>
          <w:trHeight w:val="22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proceeds from sale of real estate investments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11,409</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6,593</w:t>
            </w:r>
          </w:p>
        </w:tc>
        <w:tc>
          <w:tcPr>
            <w:tcW w:w="46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103,568</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9,658</w:t>
            </w:r>
          </w:p>
        </w:tc>
        <w:tc>
          <w:tcPr>
            <w:tcW w:w="80" w:type="dxa"/>
            <w:vAlign w:val="bottom"/>
            <w:shd w:val="clear" w:color="auto" w:fill="CFF0FC"/>
          </w:tcPr>
          <w:p>
            <w:pPr>
              <w:spacing w:after="0"/>
              <w:rPr>
                <w:sz w:val="19"/>
                <w:szCs w:val="19"/>
                <w:color w:val="auto"/>
              </w:rPr>
            </w:pPr>
          </w:p>
        </w:tc>
      </w:tr>
      <w:tr>
        <w:trPr>
          <w:trHeight w:val="220"/>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80" w:type="dxa"/>
            <w:vAlign w:val="bottom"/>
          </w:tcPr>
          <w:p>
            <w:pPr>
              <w:spacing w:after="0"/>
              <w:rPr>
                <w:sz w:val="19"/>
                <w:szCs w:val="19"/>
                <w:color w:val="auto"/>
              </w:rPr>
            </w:pPr>
          </w:p>
        </w:tc>
      </w:tr>
      <w:tr>
        <w:trPr>
          <w:trHeight w:val="23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Number of operating properties sold</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Number of land parcels sold</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9"/>
                <w:szCs w:val="19"/>
                <w:color w:val="auto"/>
              </w:rPr>
            </w:pPr>
          </w:p>
        </w:tc>
      </w:tr>
      <w:tr>
        <w:trPr>
          <w:trHeight w:val="23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Percent interest sold</w:t>
            </w: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shd w:val="clear" w:color="auto" w:fill="CFF0FC"/>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 w:name="page23"/>
    <w:bookmarkEnd w:id="22"/>
    <w:p>
      <w:pPr>
        <w:jc w:val="center"/>
        <w:ind w:left="400" w:right="2620"/>
        <w:spacing w:after="0" w:line="26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2024</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hanging="339"/>
        <w:spacing w:after="0"/>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Assets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represents the components of Other assets in the accompanying Consolidated Balance Sheets as of the dates set forth below:</w:t>
      </w:r>
    </w:p>
    <w:p>
      <w:pPr>
        <w:spacing w:after="0" w:line="228" w:lineRule="exact"/>
        <w:rPr>
          <w:sz w:val="20"/>
          <w:szCs w:val="20"/>
          <w:color w:val="auto"/>
        </w:rPr>
      </w:pPr>
    </w:p>
    <w:tbl>
      <w:tblPr>
        <w:tblLayout w:type="fixed"/>
        <w:tblInd w:w="1120" w:type="dxa"/>
        <w:tblCellMar>
          <w:top w:w="0" w:type="dxa"/>
          <w:left w:w="0" w:type="dxa"/>
          <w:bottom w:w="0" w:type="dxa"/>
          <w:right w:w="0" w:type="dxa"/>
        </w:tblCellMar>
      </w:tblPr>
      <w:tr>
        <w:trPr>
          <w:trHeight w:val="232"/>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tcPr>
          <w:p>
            <w:pPr>
              <w:spacing w:after="0"/>
              <w:rPr>
                <w:sz w:val="20"/>
                <w:szCs w:val="20"/>
                <w:color w:val="auto"/>
              </w:rPr>
            </w:pPr>
          </w:p>
        </w:tc>
        <w:tc>
          <w:tcPr>
            <w:tcW w:w="20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166,739</w:t>
            </w:r>
          </w:p>
        </w:tc>
        <w:tc>
          <w:tcPr>
            <w:tcW w:w="22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167,062</w:t>
            </w:r>
          </w:p>
        </w:tc>
      </w:tr>
      <w:tr>
        <w:trPr>
          <w:trHeight w:val="220"/>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Investments</w:t>
            </w:r>
          </w:p>
        </w:tc>
        <w:tc>
          <w:tcPr>
            <w:tcW w:w="200" w:type="dxa"/>
            <w:vAlign w:val="bottom"/>
          </w:tcPr>
          <w:p>
            <w:pPr>
              <w:spacing w:after="0"/>
              <w:rPr>
                <w:sz w:val="19"/>
                <w:szCs w:val="19"/>
                <w:color w:val="auto"/>
              </w:rPr>
            </w:pPr>
          </w:p>
        </w:tc>
        <w:tc>
          <w:tcPr>
            <w:tcW w:w="1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51,691</w:t>
            </w:r>
          </w:p>
        </w:tc>
        <w:tc>
          <w:tcPr>
            <w:tcW w:w="2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51,992</w:t>
            </w:r>
          </w:p>
        </w:tc>
      </w:tr>
      <w:tr>
        <w:trPr>
          <w:trHeight w:val="23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Prepaid and other</w:t>
            </w:r>
          </w:p>
        </w:tc>
        <w:tc>
          <w:tcPr>
            <w:tcW w:w="200" w:type="dxa"/>
            <w:vAlign w:val="bottom"/>
            <w:shd w:val="clear" w:color="auto" w:fill="CFF0FC"/>
          </w:tcPr>
          <w:p>
            <w:pPr>
              <w:spacing w:after="0"/>
              <w:rPr>
                <w:sz w:val="20"/>
                <w:szCs w:val="20"/>
                <w:color w:val="auto"/>
              </w:rPr>
            </w:pPr>
          </w:p>
        </w:tc>
        <w:tc>
          <w:tcPr>
            <w:tcW w:w="1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51,086</w:t>
            </w:r>
          </w:p>
        </w:tc>
        <w:tc>
          <w:tcPr>
            <w:tcW w:w="22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40,635</w:t>
            </w:r>
          </w:p>
        </w:tc>
      </w:tr>
      <w:tr>
        <w:trPr>
          <w:trHeight w:val="220"/>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Derivative assets</w:t>
            </w:r>
          </w:p>
        </w:tc>
        <w:tc>
          <w:tcPr>
            <w:tcW w:w="200" w:type="dxa"/>
            <w:vAlign w:val="bottom"/>
          </w:tcPr>
          <w:p>
            <w:pPr>
              <w:spacing w:after="0"/>
              <w:rPr>
                <w:sz w:val="19"/>
                <w:szCs w:val="19"/>
                <w:color w:val="auto"/>
              </w:rPr>
            </w:pPr>
          </w:p>
        </w:tc>
        <w:tc>
          <w:tcPr>
            <w:tcW w:w="1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9,511</w:t>
            </w:r>
          </w:p>
        </w:tc>
        <w:tc>
          <w:tcPr>
            <w:tcW w:w="2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14,213</w:t>
            </w:r>
          </w:p>
        </w:tc>
      </w:tr>
      <w:tr>
        <w:trPr>
          <w:trHeight w:val="239"/>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Furniture, fixtures, and equipment, net ("FF&amp;E")</w:t>
            </w:r>
          </w:p>
        </w:tc>
        <w:tc>
          <w:tcPr>
            <w:tcW w:w="200" w:type="dxa"/>
            <w:vAlign w:val="bottom"/>
            <w:shd w:val="clear" w:color="auto" w:fill="CFF0FC"/>
          </w:tcPr>
          <w:p>
            <w:pPr>
              <w:spacing w:after="0"/>
              <w:rPr>
                <w:sz w:val="20"/>
                <w:szCs w:val="20"/>
                <w:color w:val="auto"/>
              </w:rPr>
            </w:pPr>
          </w:p>
        </w:tc>
        <w:tc>
          <w:tcPr>
            <w:tcW w:w="1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7,888</w:t>
            </w:r>
          </w:p>
        </w:tc>
        <w:tc>
          <w:tcPr>
            <w:tcW w:w="22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6,662</w:t>
            </w:r>
          </w:p>
        </w:tc>
      </w:tr>
      <w:tr>
        <w:trPr>
          <w:trHeight w:val="229"/>
        </w:trPr>
        <w:tc>
          <w:tcPr>
            <w:tcW w:w="470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Deferred financing costs, net</w:t>
            </w:r>
            <w:r>
              <w:rPr>
                <w:rFonts w:ascii="Times New Roman" w:cs="Times New Roman" w:eastAsia="Times New Roman" w:hAnsi="Times New Roman"/>
                <w:sz w:val="21"/>
                <w:szCs w:val="21"/>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10,263</w:t>
            </w:r>
          </w:p>
        </w:tc>
        <w:tc>
          <w:tcPr>
            <w:tcW w:w="160" w:type="dxa"/>
            <w:vAlign w:val="bottom"/>
          </w:tcPr>
          <w:p>
            <w:pPr>
              <w:spacing w:after="0"/>
              <w:rPr>
                <w:sz w:val="19"/>
                <w:szCs w:val="19"/>
                <w:color w:val="auto"/>
              </w:rPr>
            </w:pPr>
          </w:p>
        </w:tc>
        <w:tc>
          <w:tcPr>
            <w:tcW w:w="2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2,865</w:t>
            </w:r>
          </w:p>
        </w:tc>
      </w:tr>
      <w:tr>
        <w:trPr>
          <w:trHeight w:val="257"/>
        </w:trPr>
        <w:tc>
          <w:tcPr>
            <w:tcW w:w="4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other assets</w:t>
            </w:r>
          </w:p>
        </w:tc>
        <w:tc>
          <w:tcPr>
            <w:tcW w:w="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297,178</w:t>
            </w:r>
          </w:p>
        </w:tc>
        <w:tc>
          <w:tcPr>
            <w:tcW w:w="160" w:type="dxa"/>
            <w:vAlign w:val="bottom"/>
            <w:tcBorders>
              <w:bottom w:val="single" w:sz="8" w:color="CFF0FC"/>
            </w:tcBorders>
            <w:shd w:val="clear" w:color="auto" w:fill="CFF0FC"/>
          </w:tcPr>
          <w:p>
            <w:pPr>
              <w:spacing w:after="0"/>
              <w:rPr>
                <w:sz w:val="22"/>
                <w:szCs w:val="22"/>
                <w:color w:val="auto"/>
              </w:rPr>
            </w:pPr>
          </w:p>
        </w:tc>
        <w:tc>
          <w:tcPr>
            <w:tcW w:w="2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283,429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4998720</wp:posOffset>
            </wp:positionH>
            <wp:positionV relativeFrom="paragraph">
              <wp:posOffset>-25400</wp:posOffset>
            </wp:positionV>
            <wp:extent cx="1111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4998720</wp:posOffset>
            </wp:positionH>
            <wp:positionV relativeFrom="paragraph">
              <wp:posOffset>-8255</wp:posOffset>
            </wp:positionV>
            <wp:extent cx="1111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90" w:lineRule="exact"/>
        <w:rPr>
          <w:sz w:val="20"/>
          <w:szCs w:val="20"/>
          <w:color w:val="auto"/>
        </w:rPr>
      </w:pPr>
    </w:p>
    <w:p>
      <w:pPr>
        <w:ind w:left="820" w:right="400" w:hanging="265"/>
        <w:spacing w:after="0" w:line="226" w:lineRule="auto"/>
        <w:tabs>
          <w:tab w:leader="none" w:pos="820" w:val="left"/>
        </w:tabs>
        <w:numPr>
          <w:ilvl w:val="1"/>
          <w:numId w:val="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Company incurred additional financing costs related to recasting its Line of Credit. See Note 5 — Notes Payable and Unsecured Credit Facilities for discussion regarding these transactions.</w:t>
      </w:r>
    </w:p>
    <w:p>
      <w:pPr>
        <w:spacing w:after="0" w:line="200" w:lineRule="exact"/>
        <w:rPr>
          <w:rFonts w:ascii="Times New Roman" w:cs="Times New Roman" w:eastAsia="Times New Roman" w:hAnsi="Times New Roman"/>
          <w:sz w:val="22"/>
          <w:szCs w:val="22"/>
          <w:color w:val="auto"/>
          <w:vertAlign w:val="superscript"/>
        </w:rPr>
      </w:pPr>
    </w:p>
    <w:p>
      <w:pPr>
        <w:spacing w:after="0" w:line="234" w:lineRule="exact"/>
        <w:rPr>
          <w:rFonts w:ascii="Times New Roman" w:cs="Times New Roman" w:eastAsia="Times New Roman" w:hAnsi="Times New Roman"/>
          <w:sz w:val="22"/>
          <w:szCs w:val="22"/>
          <w:color w:val="auto"/>
          <w:vertAlign w:val="superscript"/>
        </w:rPr>
      </w:pPr>
    </w:p>
    <w:p>
      <w:pPr>
        <w:ind w:left="340" w:hanging="339"/>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Payable and Unsecured Credit Facilities</w:t>
      </w:r>
    </w:p>
    <w:p>
      <w:pPr>
        <w:spacing w:after="0" w:line="185" w:lineRule="exact"/>
        <w:rPr>
          <w:sz w:val="20"/>
          <w:szCs w:val="20"/>
          <w:color w:val="auto"/>
        </w:rPr>
      </w:pPr>
    </w:p>
    <w:p>
      <w:pPr>
        <w:ind w:left="360" w:right="160"/>
        <w:spacing w:after="0" w:line="282" w:lineRule="auto"/>
        <w:rPr>
          <w:sz w:val="20"/>
          <w:szCs w:val="20"/>
          <w:color w:val="auto"/>
        </w:rPr>
      </w:pPr>
      <w:r>
        <w:rPr>
          <w:rFonts w:ascii="Times New Roman" w:cs="Times New Roman" w:eastAsia="Times New Roman" w:hAnsi="Times New Roman"/>
          <w:sz w:val="18"/>
          <w:szCs w:val="18"/>
          <w:color w:val="auto"/>
        </w:rPr>
        <w:t>The Company's outstanding debt, net of unamortized debt premium (discount) and debt issuance costs, consisted of the following as of the dates set forth below:</w:t>
      </w:r>
    </w:p>
    <w:p>
      <w:pPr>
        <w:spacing w:after="0" w:line="164"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3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36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Maturing</w:t>
            </w:r>
          </w:p>
        </w:tc>
        <w:tc>
          <w:tcPr>
            <w:tcW w:w="1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Contractual</w:t>
            </w:r>
          </w:p>
        </w:tc>
        <w:tc>
          <w:tcPr>
            <w:tcW w:w="18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Effective</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32"/>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Through</w:t>
            </w:r>
          </w:p>
        </w:tc>
        <w:tc>
          <w:tcPr>
            <w:tcW w:w="18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8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Pr>
          <w:p>
            <w:pPr>
              <w:spacing w:after="0"/>
              <w:rPr>
                <w:sz w:val="20"/>
                <w:szCs w:val="20"/>
                <w:color w:val="auto"/>
              </w:rPr>
            </w:pPr>
          </w:p>
        </w:tc>
        <w:tc>
          <w:tcPr>
            <w:tcW w:w="1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Notes payable:</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shd w:val="clear" w:color="auto" w:fill="CFF0FC"/>
          </w:tcPr>
          <w:p>
            <w:pPr>
              <w:spacing w:after="0"/>
              <w:rPr>
                <w:sz w:val="19"/>
                <w:szCs w:val="19"/>
                <w:color w:val="auto"/>
              </w:rPr>
            </w:pPr>
          </w:p>
        </w:tc>
      </w:tr>
      <w:tr>
        <w:trPr>
          <w:trHeight w:val="220"/>
        </w:trPr>
        <w:tc>
          <w:tcPr>
            <w:tcW w:w="3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Fixed rate mortgage loans</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6/1/2037</w:t>
            </w:r>
          </w:p>
        </w:tc>
        <w:tc>
          <w:tcPr>
            <w:tcW w:w="120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3.9%</w:t>
            </w:r>
          </w:p>
        </w:tc>
        <w:tc>
          <w:tcPr>
            <w:tcW w:w="12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rPr>
              <w:t>4.4%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359,056</w:t>
            </w:r>
          </w:p>
        </w:tc>
        <w:tc>
          <w:tcPr>
            <w:tcW w:w="17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449,615</w:t>
            </w:r>
          </w:p>
        </w:tc>
      </w:tr>
      <w:tr>
        <w:trPr>
          <w:trHeight w:val="239"/>
        </w:trPr>
        <w:tc>
          <w:tcPr>
            <w:tcW w:w="3640" w:type="dxa"/>
            <w:vAlign w:val="bottom"/>
            <w:shd w:val="clear" w:color="auto" w:fill="CFF0FC"/>
          </w:tcPr>
          <w:p>
            <w:pPr>
              <w:ind w:left="180"/>
              <w:spacing w:after="0" w:line="239" w:lineRule="exact"/>
              <w:rPr>
                <w:sz w:val="20"/>
                <w:szCs w:val="20"/>
                <w:color w:val="auto"/>
              </w:rPr>
            </w:pPr>
            <w:r>
              <w:rPr>
                <w:rFonts w:ascii="Times New Roman" w:cs="Times New Roman" w:eastAsia="Times New Roman" w:hAnsi="Times New Roman"/>
                <w:sz w:val="16"/>
                <w:szCs w:val="16"/>
                <w:color w:val="auto"/>
              </w:rPr>
              <w:t xml:space="preserve">Variable rate mortgage loans </w:t>
            </w:r>
            <w:r>
              <w:rPr>
                <w:rFonts w:ascii="Times New Roman" w:cs="Times New Roman" w:eastAsia="Times New Roman" w:hAnsi="Times New Roman"/>
                <w:sz w:val="21"/>
                <w:szCs w:val="21"/>
                <w:color w:val="auto"/>
                <w:vertAlign w:val="superscript"/>
              </w:rPr>
              <w:t>(1)</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1/31/2032</w:t>
            </w:r>
          </w:p>
        </w:tc>
        <w:tc>
          <w:tcPr>
            <w:tcW w:w="120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4.2%</w:t>
            </w:r>
          </w:p>
        </w:tc>
        <w:tc>
          <w:tcPr>
            <w:tcW w:w="1220" w:type="dxa"/>
            <w:vAlign w:val="bottom"/>
            <w:gridSpan w:val="2"/>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rPr>
              <w:t>4.3%</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283,292</w:t>
            </w:r>
          </w:p>
        </w:tc>
        <w:tc>
          <w:tcPr>
            <w:tcW w:w="17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299,579</w:t>
            </w:r>
          </w:p>
        </w:tc>
      </w:tr>
      <w:tr>
        <w:trPr>
          <w:trHeight w:val="226"/>
        </w:trPr>
        <w:tc>
          <w:tcPr>
            <w:tcW w:w="3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Fixed rate unsecured debt</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3/15/2049</w:t>
            </w:r>
          </w:p>
        </w:tc>
        <w:tc>
          <w:tcPr>
            <w:tcW w:w="1200" w:type="dxa"/>
            <w:vAlign w:val="bottom"/>
            <w:gridSpan w:val="2"/>
          </w:tcPr>
          <w:p>
            <w:pPr>
              <w:jc w:val="center"/>
              <w:ind w:left="99"/>
              <w:spacing w:after="0"/>
              <w:rPr>
                <w:sz w:val="20"/>
                <w:szCs w:val="20"/>
                <w:color w:val="auto"/>
              </w:rPr>
            </w:pPr>
            <w:r>
              <w:rPr>
                <w:rFonts w:ascii="Times New Roman" w:cs="Times New Roman" w:eastAsia="Times New Roman" w:hAnsi="Times New Roman"/>
                <w:sz w:val="16"/>
                <w:szCs w:val="16"/>
                <w:color w:val="auto"/>
              </w:rPr>
              <w:t>4.1%</w:t>
            </w:r>
          </w:p>
        </w:tc>
        <w:tc>
          <w:tcPr>
            <w:tcW w:w="1220" w:type="dxa"/>
            <w:vAlign w:val="bottom"/>
            <w:gridSpan w:val="2"/>
          </w:tcPr>
          <w:p>
            <w:pPr>
              <w:jc w:val="center"/>
              <w:ind w:left="79"/>
              <w:spacing w:after="0"/>
              <w:rPr>
                <w:sz w:val="20"/>
                <w:szCs w:val="20"/>
                <w:color w:val="auto"/>
              </w:rPr>
            </w:pPr>
            <w:r>
              <w:rPr>
                <w:rFonts w:ascii="Times New Roman" w:cs="Times New Roman" w:eastAsia="Times New Roman" w:hAnsi="Times New Roman"/>
                <w:sz w:val="16"/>
                <w:szCs w:val="16"/>
                <w:color w:val="auto"/>
              </w:rPr>
              <w:t>4.3%</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3,722,659</w:t>
            </w:r>
          </w:p>
        </w:tc>
        <w:tc>
          <w:tcPr>
            <w:tcW w:w="140" w:type="dxa"/>
            <w:vAlign w:val="bottom"/>
          </w:tcPr>
          <w:p>
            <w:pPr>
              <w:spacing w:after="0"/>
              <w:rPr>
                <w:sz w:val="19"/>
                <w:szCs w:val="19"/>
                <w:color w:val="auto"/>
              </w:rPr>
            </w:pPr>
          </w:p>
        </w:tc>
        <w:tc>
          <w:tcPr>
            <w:tcW w:w="1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3,252,755</w:t>
            </w:r>
          </w:p>
        </w:tc>
      </w:tr>
      <w:tr>
        <w:trPr>
          <w:trHeight w:val="226"/>
        </w:trPr>
        <w:tc>
          <w:tcPr>
            <w:tcW w:w="364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notes payable, net</w:t>
            </w: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4,365,007</w:t>
            </w:r>
          </w:p>
        </w:tc>
        <w:tc>
          <w:tcPr>
            <w:tcW w:w="17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4,001,949</w:t>
            </w:r>
          </w:p>
        </w:tc>
      </w:tr>
      <w:tr>
        <w:trPr>
          <w:trHeight w:val="220"/>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Unsecured credit facilities:</w:t>
            </w: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9"/>
        </w:trPr>
        <w:tc>
          <w:tcPr>
            <w:tcW w:w="3640" w:type="dxa"/>
            <w:vAlign w:val="bottom"/>
            <w:shd w:val="clear" w:color="auto" w:fill="CFF0FC"/>
          </w:tcPr>
          <w:p>
            <w:pPr>
              <w:ind w:left="180"/>
              <w:spacing w:after="0" w:line="239" w:lineRule="exact"/>
              <w:rPr>
                <w:sz w:val="20"/>
                <w:szCs w:val="20"/>
                <w:color w:val="auto"/>
              </w:rPr>
            </w:pPr>
            <w:r>
              <w:rPr>
                <w:rFonts w:ascii="Times New Roman" w:cs="Times New Roman" w:eastAsia="Times New Roman" w:hAnsi="Times New Roman"/>
                <w:sz w:val="16"/>
                <w:szCs w:val="16"/>
                <w:color w:val="auto"/>
              </w:rPr>
              <w:t xml:space="preserve">$1.5 Billion Line of Credit (the "Line") </w:t>
            </w:r>
            <w:r>
              <w:rPr>
                <w:rFonts w:ascii="Times New Roman" w:cs="Times New Roman" w:eastAsia="Times New Roman" w:hAnsi="Times New Roman"/>
                <w:sz w:val="21"/>
                <w:szCs w:val="21"/>
                <w:color w:val="auto"/>
                <w:vertAlign w:val="superscript"/>
              </w:rPr>
              <w:t>(2)</w:t>
            </w: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3/23/2028</w:t>
            </w:r>
          </w:p>
        </w:tc>
        <w:tc>
          <w:tcPr>
            <w:tcW w:w="1200" w:type="dxa"/>
            <w:vAlign w:val="bottom"/>
            <w:gridSpan w:val="2"/>
            <w:shd w:val="clear" w:color="auto" w:fill="CFF0FC"/>
          </w:tcPr>
          <w:p>
            <w:pPr>
              <w:jc w:val="center"/>
              <w:ind w:left="99"/>
              <w:spacing w:after="0"/>
              <w:rPr>
                <w:sz w:val="20"/>
                <w:szCs w:val="20"/>
                <w:color w:val="auto"/>
              </w:rPr>
            </w:pPr>
            <w:r>
              <w:rPr>
                <w:rFonts w:ascii="Times New Roman" w:cs="Times New Roman" w:eastAsia="Times New Roman" w:hAnsi="Times New Roman"/>
                <w:sz w:val="16"/>
                <w:szCs w:val="16"/>
                <w:color w:val="auto"/>
              </w:rPr>
              <w:t>5.8%</w:t>
            </w:r>
          </w:p>
        </w:tc>
        <w:tc>
          <w:tcPr>
            <w:tcW w:w="1220" w:type="dxa"/>
            <w:vAlign w:val="bottom"/>
            <w:gridSpan w:val="2"/>
            <w:shd w:val="clear" w:color="auto" w:fill="CFF0FC"/>
          </w:tcPr>
          <w:p>
            <w:pPr>
              <w:jc w:val="center"/>
              <w:ind w:left="79"/>
              <w:spacing w:after="0"/>
              <w:rPr>
                <w:sz w:val="20"/>
                <w:szCs w:val="20"/>
                <w:color w:val="auto"/>
              </w:rPr>
            </w:pPr>
            <w:r>
              <w:rPr>
                <w:rFonts w:ascii="Times New Roman" w:cs="Times New Roman" w:eastAsia="Times New Roman" w:hAnsi="Times New Roman"/>
                <w:sz w:val="16"/>
                <w:szCs w:val="16"/>
                <w:color w:val="auto"/>
              </w:rPr>
              <w:t>6.1%</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30,000</w:t>
            </w:r>
          </w:p>
        </w:tc>
        <w:tc>
          <w:tcPr>
            <w:tcW w:w="17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152,000</w:t>
            </w:r>
          </w:p>
        </w:tc>
      </w:tr>
      <w:tr>
        <w:trPr>
          <w:trHeight w:val="216"/>
        </w:trPr>
        <w:tc>
          <w:tcPr>
            <w:tcW w:w="3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unsecured credit facilities</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30,000</w:t>
            </w:r>
          </w:p>
        </w:tc>
        <w:tc>
          <w:tcPr>
            <w:tcW w:w="140" w:type="dxa"/>
            <w:vAlign w:val="bottom"/>
          </w:tcPr>
          <w:p>
            <w:pPr>
              <w:spacing w:after="0"/>
              <w:rPr>
                <w:sz w:val="18"/>
                <w:szCs w:val="18"/>
                <w:color w:val="auto"/>
              </w:rPr>
            </w:pPr>
          </w:p>
        </w:tc>
        <w:tc>
          <w:tcPr>
            <w:tcW w:w="16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152,000</w:t>
            </w:r>
          </w:p>
        </w:tc>
      </w:tr>
      <w:tr>
        <w:trPr>
          <w:trHeight w:val="263"/>
        </w:trPr>
        <w:tc>
          <w:tcPr>
            <w:tcW w:w="36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debt outstanding</w:t>
            </w:r>
          </w:p>
        </w:tc>
        <w:tc>
          <w:tcPr>
            <w:tcW w:w="9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4,395,007</w:t>
            </w:r>
          </w:p>
        </w:tc>
        <w:tc>
          <w:tcPr>
            <w:tcW w:w="14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4,153,949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-346075</wp:posOffset>
            </wp:positionV>
            <wp:extent cx="111125" cy="1879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11125" cy="187960"/>
                    </a:xfrm>
                    <a:prstGeom prst="rect">
                      <a:avLst/>
                    </a:prstGeom>
                    <a:noFill/>
                  </pic:spPr>
                </pic:pic>
              </a:graphicData>
            </a:graphic>
          </wp:anchor>
        </w:drawing>
        <w:drawing>
          <wp:anchor simplePos="0" relativeHeight="251657728" behindDoc="1" locked="0" layoutInCell="0" allowOverlap="1">
            <wp:simplePos x="0" y="0"/>
            <wp:positionH relativeFrom="column">
              <wp:posOffset>5829935</wp:posOffset>
            </wp:positionH>
            <wp:positionV relativeFrom="paragraph">
              <wp:posOffset>-24765</wp:posOffset>
            </wp:positionV>
            <wp:extent cx="857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5829935</wp:posOffset>
            </wp:positionH>
            <wp:positionV relativeFrom="paragraph">
              <wp:posOffset>-7620</wp:posOffset>
            </wp:positionV>
            <wp:extent cx="8572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2" w:lineRule="exact"/>
        <w:rPr>
          <w:sz w:val="20"/>
          <w:szCs w:val="20"/>
          <w:color w:val="auto"/>
        </w:rPr>
      </w:pPr>
    </w:p>
    <w:p>
      <w:pPr>
        <w:ind w:left="820" w:hanging="265"/>
        <w:spacing w:after="0"/>
        <w:tabs>
          <w:tab w:leader="none" w:pos="82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As of September 30, 2024, 98.1% of the variable rate mortgage loans are fixed through interest rate swaps.</w:t>
      </w:r>
    </w:p>
    <w:p>
      <w:pPr>
        <w:spacing w:after="0" w:line="64" w:lineRule="exact"/>
        <w:rPr>
          <w:rFonts w:ascii="Times New Roman" w:cs="Times New Roman" w:eastAsia="Times New Roman" w:hAnsi="Times New Roman"/>
          <w:sz w:val="22"/>
          <w:szCs w:val="22"/>
          <w:color w:val="auto"/>
          <w:vertAlign w:val="superscript"/>
        </w:rPr>
      </w:pPr>
    </w:p>
    <w:p>
      <w:pPr>
        <w:ind w:left="820" w:right="80" w:hanging="265"/>
        <w:spacing w:after="0" w:line="216" w:lineRule="auto"/>
        <w:tabs>
          <w:tab w:leader="none" w:pos="82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Company has the option to extend the maturity date by two additional six-month periods. Weighted average effective rate for the Line is calculated based on a fully drawn Line balance using the period end variable rate.</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Significant financing activity during 2024 includes:</w:t>
      </w:r>
    </w:p>
    <w:p>
      <w:pPr>
        <w:spacing w:after="0" w:line="171" w:lineRule="exact"/>
        <w:rPr>
          <w:sz w:val="20"/>
          <w:szCs w:val="20"/>
          <w:color w:val="auto"/>
        </w:rPr>
      </w:pPr>
    </w:p>
    <w:p>
      <w:pPr>
        <w:ind w:left="360" w:right="500"/>
        <w:spacing w:after="0" w:line="282" w:lineRule="auto"/>
        <w:rPr>
          <w:sz w:val="20"/>
          <w:szCs w:val="20"/>
          <w:color w:val="auto"/>
        </w:rPr>
      </w:pPr>
      <w:r>
        <w:rPr>
          <w:rFonts w:ascii="Times New Roman" w:cs="Times New Roman" w:eastAsia="Times New Roman" w:hAnsi="Times New Roman"/>
          <w:sz w:val="18"/>
          <w:szCs w:val="18"/>
          <w:color w:val="auto"/>
        </w:rPr>
        <w:t>On January 8, 2024, the Company priced a public offering of $400 million of senior unsecured notes due in 2034, and the notes were issued on January 18, 2024 at 99.617% of par value with a coupon of 5.250%.</w:t>
      </w:r>
    </w:p>
    <w:p>
      <w:pPr>
        <w:spacing w:after="0" w:line="108" w:lineRule="exact"/>
        <w:rPr>
          <w:sz w:val="20"/>
          <w:szCs w:val="20"/>
          <w:color w:val="auto"/>
        </w:rPr>
      </w:pPr>
    </w:p>
    <w:p>
      <w:pPr>
        <w:ind w:left="360"/>
        <w:spacing w:after="0" w:line="253" w:lineRule="auto"/>
        <w:rPr>
          <w:sz w:val="20"/>
          <w:szCs w:val="20"/>
          <w:color w:val="auto"/>
        </w:rPr>
      </w:pPr>
      <w:r>
        <w:rPr>
          <w:rFonts w:ascii="Times New Roman" w:cs="Times New Roman" w:eastAsia="Times New Roman" w:hAnsi="Times New Roman"/>
          <w:sz w:val="18"/>
          <w:szCs w:val="18"/>
          <w:color w:val="auto"/>
        </w:rPr>
        <w:t>On January 18, 2024, the Company entered into a Sixth Amended and Restated Credit Agreement (the "Credit Agreement"), with the financial institutions party thereto, as lenders, and Wells Fargo Bank, National Association, as Administrative Agent. The Credit Agreement provides for an unsecured revolving credit facility in the amount of $1.50 billion for a term of four years (plus two six-month extension options) and includes an accordion feature which permits the borrower to request increases in the size of the revolving loan facility by up to an additional $1.50 billion. The interest rate on the revolving credit facility is equal to the Secured Overnight Financing Rate ("SOFR") plus a margin that is determined based on the borrower’s long-term unsecured debt ratings and ratio of indebtedness to total asset value. At the time of the closing, the effective interest rate was SOFR plus a credit spread adjustment of 10 basis points plus a margin of 72.5 basis points. The Credit Agreement also incorporates sustainability-linked adjustments to the interest rate, which provide for upward or downward adjustments to the applicable margin if the Company achieves, or fails to achieve, certain specified targets based on Scope 1 and Scope 2 emission standards as set forth in the Credit Agreement. At the time of the closing, a 1 basis point downward sustainability-linked adjustment to the interest rate was applicable. The Credit Agreement was further amended on July 8, 2024 to update the baseline metric used to calculate sustainability-linked performance targets.</w:t>
      </w:r>
    </w:p>
    <w:p>
      <w:pPr>
        <w:sectPr>
          <w:pgSz w:w="11900" w:h="16838" w:orient="portrait"/>
          <w:cols w:equalWidth="0" w:num="1">
            <w:col w:w="11160"/>
          </w:cols>
          <w:pgMar w:left="340" w:top="765" w:right="399" w:bottom="1440" w:gutter="0" w:footer="0" w:header="0"/>
        </w:sectPr>
      </w:pP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40" w:top="765" w:right="399" w:bottom="1440" w:gutter="0" w:footer="0" w:header="0"/>
          <w:type w:val="continuous"/>
        </w:sectPr>
      </w:pPr>
    </w:p>
    <w:bookmarkStart w:id="23" w:name="page24"/>
    <w:bookmarkEnd w:id="23"/>
    <w:p>
      <w:pPr>
        <w:jc w:val="center"/>
        <w:ind w:left="420" w:right="2600"/>
        <w:spacing w:after="0" w:line="26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2024</w:t>
      </w:r>
    </w:p>
    <w:p>
      <w:pPr>
        <w:spacing w:after="0" w:line="364" w:lineRule="exact"/>
        <w:rPr>
          <w:sz w:val="20"/>
          <w:szCs w:val="20"/>
          <w:color w:val="auto"/>
        </w:rPr>
      </w:pPr>
    </w:p>
    <w:p>
      <w:pPr>
        <w:ind w:left="359" w:right="20"/>
        <w:spacing w:after="0" w:line="282" w:lineRule="auto"/>
        <w:rPr>
          <w:sz w:val="20"/>
          <w:szCs w:val="20"/>
          <w:color w:val="auto"/>
        </w:rPr>
      </w:pPr>
      <w:r>
        <w:rPr>
          <w:rFonts w:ascii="Times New Roman" w:cs="Times New Roman" w:eastAsia="Times New Roman" w:hAnsi="Times New Roman"/>
          <w:sz w:val="18"/>
          <w:szCs w:val="18"/>
          <w:color w:val="auto"/>
        </w:rPr>
        <w:t>On June 17, 2024, the Company paid off $250 million of unsecured public debt that had matured, utilizing a portion of the proceeds from the January 2024 public debt offering, and the Company paid off a $78.3 million fixed rate mortgage loan.</w:t>
      </w:r>
    </w:p>
    <w:p>
      <w:pPr>
        <w:spacing w:after="0" w:line="108" w:lineRule="exact"/>
        <w:rPr>
          <w:sz w:val="20"/>
          <w:szCs w:val="20"/>
          <w:color w:val="auto"/>
        </w:rPr>
      </w:pPr>
    </w:p>
    <w:p>
      <w:pPr>
        <w:ind w:left="359" w:right="440"/>
        <w:spacing w:after="0" w:line="282" w:lineRule="auto"/>
        <w:rPr>
          <w:sz w:val="20"/>
          <w:szCs w:val="20"/>
          <w:color w:val="auto"/>
        </w:rPr>
      </w:pPr>
      <w:r>
        <w:rPr>
          <w:rFonts w:ascii="Times New Roman" w:cs="Times New Roman" w:eastAsia="Times New Roman" w:hAnsi="Times New Roman"/>
          <w:sz w:val="18"/>
          <w:szCs w:val="18"/>
          <w:color w:val="auto"/>
        </w:rPr>
        <w:t>On August 12, 2024, the Company priced a public offering of $325 million of senior unsecured notes due in 2035, and the notes were issued on August 15, 2024 at 99.813% of par value with a coupon of 5.1%.</w:t>
      </w:r>
    </w:p>
    <w:p>
      <w:pPr>
        <w:spacing w:after="0" w:line="108"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Scheduled principal payments and maturities on notes payable and unsecured credit facilities were as follows:</w:t>
      </w:r>
    </w:p>
    <w:p>
      <w:pPr>
        <w:spacing w:after="0" w:line="187" w:lineRule="exact"/>
        <w:rPr>
          <w:sz w:val="20"/>
          <w:szCs w:val="20"/>
          <w:color w:val="auto"/>
        </w:rPr>
      </w:pPr>
    </w:p>
    <w:tbl>
      <w:tblPr>
        <w:tblLayout w:type="fixed"/>
        <w:tblInd w:w="279" w:type="dxa"/>
        <w:tblCellMar>
          <w:top w:w="0" w:type="dxa"/>
          <w:left w:w="0" w:type="dxa"/>
          <w:bottom w:w="0" w:type="dxa"/>
          <w:right w:w="0" w:type="dxa"/>
        </w:tblCellMar>
      </w:tblPr>
      <w:tr>
        <w:trPr>
          <w:trHeight w:val="232"/>
        </w:trPr>
        <w:tc>
          <w:tcPr>
            <w:tcW w:w="5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r>
      <w:tr>
        <w:trPr>
          <w:trHeight w:val="194"/>
        </w:trPr>
        <w:tc>
          <w:tcPr>
            <w:tcW w:w="4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Scheduled</w:t>
            </w:r>
          </w:p>
        </w:tc>
        <w:tc>
          <w:tcPr>
            <w:tcW w:w="140" w:type="dxa"/>
            <w:vAlign w:val="bottom"/>
          </w:tcPr>
          <w:p>
            <w:pPr>
              <w:spacing w:after="0"/>
              <w:rPr>
                <w:sz w:val="16"/>
                <w:szCs w:val="16"/>
                <w:color w:val="auto"/>
              </w:rPr>
            </w:pPr>
          </w:p>
        </w:tc>
        <w:tc>
          <w:tcPr>
            <w:tcW w:w="13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Mortgage</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175"/>
        </w:trPr>
        <w:tc>
          <w:tcPr>
            <w:tcW w:w="4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179"/>
              <w:spacing w:after="0" w:line="175" w:lineRule="exact"/>
              <w:rPr>
                <w:sz w:val="20"/>
                <w:szCs w:val="20"/>
                <w:color w:val="auto"/>
              </w:rPr>
            </w:pPr>
            <w:r>
              <w:rPr>
                <w:rFonts w:ascii="Times New Roman" w:cs="Times New Roman" w:eastAsia="Times New Roman" w:hAnsi="Times New Roman"/>
                <w:sz w:val="16"/>
                <w:szCs w:val="16"/>
                <w:b w:val="1"/>
                <w:bCs w:val="1"/>
                <w:color w:val="auto"/>
              </w:rPr>
              <w:t>Principal</w:t>
            </w:r>
          </w:p>
        </w:tc>
        <w:tc>
          <w:tcPr>
            <w:tcW w:w="140" w:type="dxa"/>
            <w:vAlign w:val="bottom"/>
          </w:tcPr>
          <w:p>
            <w:pPr>
              <w:spacing w:after="0"/>
              <w:rPr>
                <w:sz w:val="15"/>
                <w:szCs w:val="15"/>
                <w:color w:val="auto"/>
              </w:rPr>
            </w:pPr>
          </w:p>
        </w:tc>
        <w:tc>
          <w:tcPr>
            <w:tcW w:w="1300" w:type="dxa"/>
            <w:vAlign w:val="bottom"/>
          </w:tcPr>
          <w:p>
            <w:pPr>
              <w:jc w:val="center"/>
              <w:ind w:right="19"/>
              <w:spacing w:after="0" w:line="175" w:lineRule="exact"/>
              <w:rPr>
                <w:sz w:val="20"/>
                <w:szCs w:val="20"/>
                <w:color w:val="auto"/>
              </w:rPr>
            </w:pPr>
            <w:r>
              <w:rPr>
                <w:rFonts w:ascii="Times New Roman" w:cs="Times New Roman" w:eastAsia="Times New Roman" w:hAnsi="Times New Roman"/>
                <w:sz w:val="16"/>
                <w:szCs w:val="16"/>
                <w:b w:val="1"/>
                <w:bCs w:val="1"/>
                <w:color w:val="auto"/>
              </w:rPr>
              <w:t>Loan</w:t>
            </w:r>
          </w:p>
        </w:tc>
        <w:tc>
          <w:tcPr>
            <w:tcW w:w="160" w:type="dxa"/>
            <w:vAlign w:val="bottom"/>
          </w:tcPr>
          <w:p>
            <w:pPr>
              <w:spacing w:after="0"/>
              <w:rPr>
                <w:sz w:val="15"/>
                <w:szCs w:val="15"/>
                <w:color w:val="auto"/>
              </w:rPr>
            </w:pPr>
          </w:p>
        </w:tc>
        <w:tc>
          <w:tcPr>
            <w:tcW w:w="1240" w:type="dxa"/>
            <w:vAlign w:val="bottom"/>
          </w:tcPr>
          <w:p>
            <w:pPr>
              <w:jc w:val="right"/>
              <w:ind w:right="219"/>
              <w:spacing w:after="0" w:line="175" w:lineRule="exact"/>
              <w:rPr>
                <w:sz w:val="20"/>
                <w:szCs w:val="20"/>
                <w:color w:val="auto"/>
              </w:rPr>
            </w:pPr>
            <w:r>
              <w:rPr>
                <w:rFonts w:ascii="Times New Roman" w:cs="Times New Roman" w:eastAsia="Times New Roman" w:hAnsi="Times New Roman"/>
                <w:sz w:val="16"/>
                <w:szCs w:val="16"/>
                <w:b w:val="1"/>
                <w:bCs w:val="1"/>
                <w:color w:val="auto"/>
              </w:rPr>
              <w:t>Unsecured</w:t>
            </w: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59"/>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Scheduled Principal Payments and Maturities by Year:</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Payments</w:t>
            </w:r>
          </w:p>
        </w:tc>
        <w:tc>
          <w:tcPr>
            <w:tcW w:w="140" w:type="dxa"/>
            <w:vAlign w:val="bottom"/>
          </w:tcPr>
          <w:p>
            <w:pPr>
              <w:spacing w:after="0"/>
              <w:rPr>
                <w:sz w:val="22"/>
                <w:szCs w:val="22"/>
                <w:color w:val="auto"/>
              </w:rPr>
            </w:pPr>
          </w:p>
        </w:tc>
        <w:tc>
          <w:tcPr>
            <w:tcW w:w="13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Maturities</w:t>
            </w:r>
          </w:p>
        </w:tc>
        <w:tc>
          <w:tcPr>
            <w:tcW w:w="160" w:type="dxa"/>
            <w:vAlign w:val="bottom"/>
          </w:tcPr>
          <w:p>
            <w:pPr>
              <w:spacing w:after="0"/>
              <w:rPr>
                <w:sz w:val="22"/>
                <w:szCs w:val="22"/>
                <w:color w:val="auto"/>
              </w:rPr>
            </w:pP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 xml:space="preserve">Maturities </w:t>
            </w:r>
            <w:r>
              <w:rPr>
                <w:rFonts w:ascii="Times New Roman" w:cs="Times New Roman" w:eastAsia="Times New Roman" w:hAnsi="Times New Roman"/>
                <w:sz w:val="21"/>
                <w:szCs w:val="21"/>
                <w:b w:val="1"/>
                <w:bCs w:val="1"/>
                <w:color w:val="auto"/>
                <w:vertAlign w:val="superscript"/>
              </w:rPr>
              <w:t>(1)</w:t>
            </w:r>
          </w:p>
        </w:tc>
        <w:tc>
          <w:tcPr>
            <w:tcW w:w="140" w:type="dxa"/>
            <w:vAlign w:val="bottom"/>
          </w:tcPr>
          <w:p>
            <w:pPr>
              <w:spacing w:after="0"/>
              <w:rPr>
                <w:sz w:val="22"/>
                <w:szCs w:val="22"/>
                <w:color w:val="auto"/>
              </w:rPr>
            </w:pPr>
          </w:p>
        </w:tc>
        <w:tc>
          <w:tcPr>
            <w:tcW w:w="12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23"/>
        </w:trPr>
        <w:tc>
          <w:tcPr>
            <w:tcW w:w="4980" w:type="dxa"/>
            <w:vAlign w:val="bottom"/>
            <w:shd w:val="clear" w:color="auto" w:fill="CFF0FC"/>
          </w:tcPr>
          <w:p>
            <w:pPr>
              <w:ind w:left="40"/>
              <w:spacing w:after="0" w:line="223" w:lineRule="exact"/>
              <w:rPr>
                <w:sz w:val="20"/>
                <w:szCs w:val="20"/>
                <w:color w:val="auto"/>
              </w:rPr>
            </w:pPr>
            <w:r>
              <w:rPr>
                <w:rFonts w:ascii="Times New Roman" w:cs="Times New Roman" w:eastAsia="Times New Roman" w:hAnsi="Times New Roman"/>
                <w:sz w:val="16"/>
                <w:szCs w:val="16"/>
                <w:color w:val="auto"/>
              </w:rPr>
              <w:t xml:space="preserve">2024 </w:t>
            </w:r>
            <w:r>
              <w:rPr>
                <w:rFonts w:ascii="Times New Roman" w:cs="Times New Roman" w:eastAsia="Times New Roman" w:hAnsi="Times New Roman"/>
                <w:sz w:val="21"/>
                <w:szCs w:val="21"/>
                <w:color w:val="auto"/>
                <w:vertAlign w:val="superscript"/>
              </w:rPr>
              <w:t>(2)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2,461</w:t>
            </w:r>
          </w:p>
        </w:tc>
        <w:tc>
          <w:tcPr>
            <w:tcW w:w="14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30,315</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32,776</w:t>
            </w:r>
          </w:p>
        </w:tc>
      </w:tr>
      <w:tr>
        <w:trPr>
          <w:trHeight w:val="220"/>
        </w:trPr>
        <w:tc>
          <w:tcPr>
            <w:tcW w:w="4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9,678</w:t>
            </w: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52,537</w:t>
            </w:r>
          </w:p>
        </w:tc>
        <w:tc>
          <w:tcPr>
            <w:tcW w:w="1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250,000</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312,215</w:t>
            </w:r>
          </w:p>
        </w:tc>
      </w:tr>
      <w:tr>
        <w:trPr>
          <w:trHeight w:val="239"/>
        </w:trPr>
        <w:tc>
          <w:tcPr>
            <w:tcW w:w="4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2026</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9,920</w:t>
            </w:r>
          </w:p>
        </w:tc>
        <w:tc>
          <w:tcPr>
            <w:tcW w:w="14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147,849</w:t>
            </w:r>
          </w:p>
        </w:tc>
        <w:tc>
          <w:tcPr>
            <w:tcW w:w="14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200,000</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357,769</w:t>
            </w:r>
          </w:p>
        </w:tc>
      </w:tr>
      <w:tr>
        <w:trPr>
          <w:trHeight w:val="220"/>
        </w:trPr>
        <w:tc>
          <w:tcPr>
            <w:tcW w:w="4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2027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7,013</w:t>
            </w: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222,558</w:t>
            </w:r>
          </w:p>
        </w:tc>
        <w:tc>
          <w:tcPr>
            <w:tcW w:w="1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525,000</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754,571</w:t>
            </w:r>
          </w:p>
        </w:tc>
      </w:tr>
      <w:tr>
        <w:trPr>
          <w:trHeight w:val="239"/>
        </w:trPr>
        <w:tc>
          <w:tcPr>
            <w:tcW w:w="49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2028</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5,312</w:t>
            </w:r>
          </w:p>
        </w:tc>
        <w:tc>
          <w:tcPr>
            <w:tcW w:w="14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36,570</w:t>
            </w:r>
          </w:p>
        </w:tc>
        <w:tc>
          <w:tcPr>
            <w:tcW w:w="14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330,000</w:t>
            </w:r>
          </w:p>
        </w:tc>
        <w:tc>
          <w:tcPr>
            <w:tcW w:w="14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371,882</w:t>
            </w:r>
          </w:p>
        </w:tc>
      </w:tr>
      <w:tr>
        <w:trPr>
          <w:trHeight w:val="220"/>
        </w:trPr>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Beyond 5 Years</w:t>
            </w:r>
          </w:p>
        </w:tc>
        <w:tc>
          <w:tcPr>
            <w:tcW w:w="14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7,956</w:t>
            </w: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118,086</w:t>
            </w:r>
          </w:p>
        </w:tc>
        <w:tc>
          <w:tcPr>
            <w:tcW w:w="1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2,475,000</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2,601,042</w:t>
            </w:r>
          </w:p>
        </w:tc>
      </w:tr>
      <w:tr>
        <w:trPr>
          <w:trHeight w:val="233"/>
        </w:trPr>
        <w:tc>
          <w:tcPr>
            <w:tcW w:w="51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Unamortized debt premium/(discount) and issuance costs</w:t>
            </w:r>
          </w:p>
        </w:tc>
        <w:tc>
          <w:tcPr>
            <w:tcW w:w="1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(7,907 )</w:t>
            </w:r>
          </w:p>
        </w:tc>
        <w:tc>
          <w:tcPr>
            <w:tcW w:w="16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(27,341 )</w:t>
            </w:r>
          </w:p>
        </w:tc>
        <w:tc>
          <w:tcPr>
            <w:tcW w:w="14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(35,248 )</w:t>
            </w:r>
          </w:p>
        </w:tc>
      </w:tr>
      <w:tr>
        <w:trPr>
          <w:trHeight w:val="223"/>
        </w:trPr>
        <w:tc>
          <w:tcPr>
            <w:tcW w:w="51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42,340</w:t>
            </w:r>
          </w:p>
        </w:tc>
        <w:tc>
          <w:tcPr>
            <w:tcW w:w="14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600,008</w:t>
            </w:r>
          </w:p>
        </w:tc>
        <w:tc>
          <w:tcPr>
            <w:tcW w:w="14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3,752,659</w:t>
            </w:r>
          </w:p>
        </w:tc>
        <w:tc>
          <w:tcPr>
            <w:tcW w:w="14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4,395,007</w:t>
            </w:r>
          </w:p>
        </w:tc>
      </w:tr>
      <w:tr>
        <w:trPr>
          <w:trHeight w:val="20"/>
        </w:trPr>
        <w:tc>
          <w:tcPr>
            <w:tcW w:w="4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-179070</wp:posOffset>
            </wp:positionV>
            <wp:extent cx="939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5169535</wp:posOffset>
            </wp:positionH>
            <wp:positionV relativeFrom="paragraph">
              <wp:posOffset>-179070</wp:posOffset>
            </wp:positionV>
            <wp:extent cx="9461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6061075</wp:posOffset>
            </wp:positionH>
            <wp:positionV relativeFrom="paragraph">
              <wp:posOffset>-179070</wp:posOffset>
            </wp:positionV>
            <wp:extent cx="8572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559" w:hanging="262"/>
        <w:spacing w:after="0" w:line="237" w:lineRule="auto"/>
        <w:tabs>
          <w:tab w:leader="none" w:pos="559"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unsecured public and private debt and unsecured credit facilities.</w:t>
      </w:r>
    </w:p>
    <w:p>
      <w:pPr>
        <w:spacing w:after="0" w:line="64" w:lineRule="exact"/>
        <w:rPr>
          <w:rFonts w:ascii="Times New Roman" w:cs="Times New Roman" w:eastAsia="Times New Roman" w:hAnsi="Times New Roman"/>
          <w:sz w:val="22"/>
          <w:szCs w:val="22"/>
          <w:color w:val="auto"/>
          <w:vertAlign w:val="superscript"/>
        </w:rPr>
      </w:pPr>
    </w:p>
    <w:p>
      <w:pPr>
        <w:ind w:left="559" w:hanging="262"/>
        <w:spacing w:after="0" w:line="182" w:lineRule="auto"/>
        <w:tabs>
          <w:tab w:leader="none" w:pos="559"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Reflects scheduled principal payments and maturities for the remainder of the year.</w:t>
      </w:r>
    </w:p>
    <w:p>
      <w:pPr>
        <w:spacing w:after="0" w:line="150"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The Company was in compliance as of September 30, 2024, with all debt covenants.</w:t>
      </w:r>
    </w:p>
    <w:p>
      <w:pPr>
        <w:spacing w:after="0" w:line="225" w:lineRule="exact"/>
        <w:rPr>
          <w:sz w:val="20"/>
          <w:szCs w:val="20"/>
          <w:color w:val="auto"/>
        </w:rPr>
      </w:pPr>
    </w:p>
    <w:p>
      <w:pPr>
        <w:ind w:left="339" w:hanging="339"/>
        <w:spacing w:after="0"/>
        <w:tabs>
          <w:tab w:leader="none" w:pos="33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Financial Instruments</w:t>
      </w:r>
    </w:p>
    <w:p>
      <w:pPr>
        <w:spacing w:after="0" w:line="185" w:lineRule="exact"/>
        <w:rPr>
          <w:sz w:val="20"/>
          <w:szCs w:val="20"/>
          <w:color w:val="auto"/>
        </w:rPr>
      </w:pPr>
    </w:p>
    <w:p>
      <w:pPr>
        <w:ind w:left="359"/>
        <w:spacing w:after="0" w:line="255" w:lineRule="auto"/>
        <w:rPr>
          <w:sz w:val="20"/>
          <w:szCs w:val="20"/>
          <w:color w:val="auto"/>
        </w:rPr>
      </w:pPr>
      <w:r>
        <w:rPr>
          <w:rFonts w:ascii="Times New Roman" w:cs="Times New Roman" w:eastAsia="Times New Roman" w:hAnsi="Times New Roman"/>
          <w:sz w:val="18"/>
          <w:szCs w:val="18"/>
          <w:color w:val="auto"/>
        </w:rPr>
        <w:t>The Company may use derivative financial instruments, including interest swaps, caps, options, floors, and other interest rate derivative contracts, to hedge all or a portion of the interest rate risk associated with its borrowings. The principal objective of such arrangements is to minimize the risks and/or costs associated with the Company's operating and financial structure as well as to hedge specific anticipated transactions. The Company does not intend to utilize derivatives for speculative transactions or purposes other than mitigation of interest rate risk. The use of derivative financial instruments carries certain risks, including the risk that the counterparties to these contractual arrangements are not able to perform under the agreements. To mitigate this risk, the Company only enters into derivative financial instruments with counterparties with quality credit ratings. The Company does not anticipate that any of the counterparties will fail to meet their obligations.</w:t>
      </w:r>
    </w:p>
    <w:p>
      <w:pPr>
        <w:spacing w:after="0" w:line="135" w:lineRule="exact"/>
        <w:rPr>
          <w:sz w:val="20"/>
          <w:szCs w:val="20"/>
          <w:color w:val="auto"/>
        </w:rPr>
      </w:pPr>
    </w:p>
    <w:p>
      <w:pPr>
        <w:ind w:left="359" w:right="160"/>
        <w:spacing w:after="0" w:line="261"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attempt to stabilize interest expense where possible and to manage its exposure to interest rate movements. To accomplish this objective, the Company primarily uses interest rate swaps as part of its interest rate risk management strategy. Interest rate swaps designated as cash flow hedges involve the receipt of variable-rate amounts from a counterparty in exchange for the Company making fixed-rate payments over the life of the agreements without exchange of the underlying notional amount.</w:t>
      </w:r>
    </w:p>
    <w:p>
      <w:pPr>
        <w:spacing w:after="0" w:line="126"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Detail on the Company's interest rate derivatives outstanding as of September 30, 2024 and December 31, 2023 is as follows:</w:t>
      </w:r>
    </w:p>
    <w:p>
      <w:pPr>
        <w:spacing w:after="0" w:line="187" w:lineRule="exact"/>
        <w:rPr>
          <w:sz w:val="20"/>
          <w:szCs w:val="20"/>
          <w:color w:val="auto"/>
        </w:rPr>
      </w:pPr>
    </w:p>
    <w:tbl>
      <w:tblPr>
        <w:tblLayout w:type="fixed"/>
        <w:tblInd w:w="1119" w:type="dxa"/>
        <w:tblCellMar>
          <w:top w:w="0" w:type="dxa"/>
          <w:left w:w="0" w:type="dxa"/>
          <w:bottom w:w="0" w:type="dxa"/>
          <w:right w:w="0" w:type="dxa"/>
        </w:tblCellMar>
      </w:tblPr>
      <w:tr>
        <w:trPr>
          <w:trHeight w:val="225"/>
        </w:trPr>
        <w:tc>
          <w:tcPr>
            <w:tcW w:w="4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940" w:type="dxa"/>
            <w:vAlign w:val="bottom"/>
            <w:tcBorders>
              <w:bottom w:val="single" w:sz="8" w:color="auto"/>
            </w:tcBorders>
            <w:gridSpan w:val="3"/>
          </w:tcPr>
          <w:p>
            <w:pPr>
              <w:jc w:val="right"/>
              <w:ind w:right="1199"/>
              <w:spacing w:after="0"/>
              <w:rPr>
                <w:sz w:val="20"/>
                <w:szCs w:val="20"/>
                <w:color w:val="auto"/>
              </w:rPr>
            </w:pPr>
            <w:r>
              <w:rPr>
                <w:rFonts w:ascii="Times New Roman" w:cs="Times New Roman" w:eastAsia="Times New Roman" w:hAnsi="Times New Roman"/>
                <w:sz w:val="16"/>
                <w:szCs w:val="16"/>
                <w:b w:val="1"/>
                <w:bCs w:val="1"/>
                <w:color w:val="auto"/>
              </w:rPr>
              <w:t>Number of Instruments</w:t>
            </w:r>
          </w:p>
        </w:tc>
      </w:tr>
      <w:tr>
        <w:trPr>
          <w:trHeight w:val="236"/>
        </w:trPr>
        <w:tc>
          <w:tcPr>
            <w:tcW w:w="472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6"/>
                <w:szCs w:val="16"/>
                <w:b w:val="1"/>
                <w:bCs w:val="1"/>
                <w:color w:val="auto"/>
              </w:rPr>
              <w:t>Interest Rate Swaps</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40" w:type="dxa"/>
            <w:vAlign w:val="bottom"/>
          </w:tcPr>
          <w:p>
            <w:pPr>
              <w:spacing w:after="0"/>
              <w:rPr>
                <w:sz w:val="20"/>
                <w:szCs w:val="20"/>
                <w:color w:val="auto"/>
              </w:rPr>
            </w:pPr>
          </w:p>
        </w:tc>
        <w:tc>
          <w:tcPr>
            <w:tcW w:w="20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43"/>
        </w:trPr>
        <w:tc>
          <w:tcPr>
            <w:tcW w:w="4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Notional amount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shd w:val="clear" w:color="auto" w:fill="CFF0FC"/>
          </w:tcPr>
          <w:p>
            <w:pPr>
              <w:jc w:val="right"/>
              <w:ind w:right="17"/>
              <w:spacing w:after="0"/>
              <w:rPr>
                <w:sz w:val="20"/>
                <w:szCs w:val="20"/>
                <w:color w:val="auto"/>
              </w:rPr>
            </w:pPr>
            <w:r>
              <w:rPr>
                <w:rFonts w:ascii="Times New Roman" w:cs="Times New Roman" w:eastAsia="Times New Roman" w:hAnsi="Times New Roman"/>
                <w:sz w:val="16"/>
                <w:szCs w:val="16"/>
                <w:color w:val="auto"/>
              </w:rPr>
              <w:t>308,488</w:t>
            </w:r>
          </w:p>
        </w:tc>
        <w:tc>
          <w:tcPr>
            <w:tcW w:w="21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294,928</w:t>
            </w:r>
          </w:p>
        </w:tc>
      </w:tr>
      <w:tr>
        <w:trPr>
          <w:trHeight w:val="23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Number of instruments</w:t>
            </w:r>
          </w:p>
        </w:tc>
        <w:tc>
          <w:tcPr>
            <w:tcW w:w="160" w:type="dxa"/>
            <w:vAlign w:val="bottom"/>
          </w:tcPr>
          <w:p>
            <w:pPr>
              <w:spacing w:after="0"/>
              <w:rPr>
                <w:sz w:val="20"/>
                <w:szCs w:val="20"/>
                <w:color w:val="auto"/>
              </w:rPr>
            </w:pPr>
          </w:p>
        </w:tc>
        <w:tc>
          <w:tcPr>
            <w:tcW w:w="18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w:t>
            </w:r>
          </w:p>
        </w:tc>
        <w:tc>
          <w:tcPr>
            <w:tcW w:w="214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15</w:t>
            </w:r>
          </w:p>
        </w:tc>
      </w:tr>
    </w:tbl>
    <w:p>
      <w:pPr>
        <w:spacing w:after="0" w:line="152"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Detail on the fair value of the Company's interest rate derivatives as of September 30, 2024 and December 31, 2023 is as follows:</w:t>
      </w:r>
    </w:p>
    <w:p>
      <w:pPr>
        <w:spacing w:after="0" w:line="187" w:lineRule="exact"/>
        <w:rPr>
          <w:sz w:val="20"/>
          <w:szCs w:val="20"/>
          <w:color w:val="auto"/>
        </w:rPr>
      </w:pPr>
    </w:p>
    <w:tbl>
      <w:tblPr>
        <w:tblLayout w:type="fixed"/>
        <w:tblInd w:w="1119" w:type="dxa"/>
        <w:tblCellMar>
          <w:top w:w="0" w:type="dxa"/>
          <w:left w:w="0" w:type="dxa"/>
          <w:bottom w:w="0" w:type="dxa"/>
          <w:right w:w="0" w:type="dxa"/>
        </w:tblCellMar>
      </w:tblPr>
      <w:tr>
        <w:trPr>
          <w:trHeight w:val="232"/>
        </w:trPr>
        <w:tc>
          <w:tcPr>
            <w:tcW w:w="4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ind w:left="14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700" w:type="dxa"/>
            <w:vAlign w:val="bottom"/>
            <w:tcBorders>
              <w:bottom w:val="single" w:sz="8" w:color="auto"/>
            </w:tcBorders>
          </w:tcPr>
          <w:p>
            <w:pPr>
              <w:spacing w:after="0"/>
              <w:rPr>
                <w:sz w:val="20"/>
                <w:szCs w:val="20"/>
                <w:color w:val="auto"/>
              </w:rPr>
            </w:pPr>
          </w:p>
        </w:tc>
      </w:tr>
      <w:tr>
        <w:trPr>
          <w:trHeight w:val="230"/>
        </w:trPr>
        <w:tc>
          <w:tcPr>
            <w:tcW w:w="472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6"/>
                <w:szCs w:val="16"/>
                <w:b w:val="1"/>
                <w:bCs w:val="1"/>
                <w:color w:val="auto"/>
              </w:rPr>
              <w:t>Interest rate swaps classified as:</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r>
      <w:tr>
        <w:trPr>
          <w:trHeight w:val="243"/>
        </w:trPr>
        <w:tc>
          <w:tcPr>
            <w:tcW w:w="4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9,511</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14,213</w:t>
            </w:r>
          </w:p>
        </w:tc>
      </w:tr>
      <w:tr>
        <w:trPr>
          <w:trHeight w:val="234"/>
        </w:trPr>
        <w:tc>
          <w:tcPr>
            <w:tcW w:w="4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Derivative liabilities</w:t>
            </w:r>
          </w:p>
        </w:tc>
        <w:tc>
          <w:tcPr>
            <w:tcW w:w="16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(1,994 )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(1,335 )</w:t>
            </w:r>
          </w:p>
        </w:tc>
      </w:tr>
    </w:tbl>
    <w:p>
      <w:pPr>
        <w:spacing w:after="0" w:line="152" w:lineRule="exact"/>
        <w:rPr>
          <w:sz w:val="20"/>
          <w:szCs w:val="20"/>
          <w:color w:val="auto"/>
        </w:rPr>
      </w:pPr>
    </w:p>
    <w:p>
      <w:pPr>
        <w:ind w:left="359" w:right="120"/>
        <w:spacing w:after="0" w:line="282" w:lineRule="auto"/>
        <w:rPr>
          <w:sz w:val="20"/>
          <w:szCs w:val="20"/>
          <w:color w:val="auto"/>
        </w:rPr>
      </w:pPr>
      <w:r>
        <w:rPr>
          <w:rFonts w:ascii="Times New Roman" w:cs="Times New Roman" w:eastAsia="Times New Roman" w:hAnsi="Times New Roman"/>
          <w:sz w:val="18"/>
          <w:szCs w:val="18"/>
          <w:color w:val="auto"/>
        </w:rPr>
        <w:t>These derivative financial instruments are all interest rate swaps, which are designated and qualify as cash flow hedges. The Company does not use derivatives for trading or speculative purposes and, as of September 30, 2024, does not have any derivatives that are not designated as hedges.</w:t>
      </w:r>
    </w:p>
    <w:p>
      <w:pPr>
        <w:sectPr>
          <w:pgSz w:w="11900" w:h="16838" w:orient="portrait"/>
          <w:cols w:equalWidth="0" w:num="1">
            <w:col w:w="11139"/>
          </w:cols>
          <w:pgMar w:left="341" w:top="765" w:right="419" w:bottom="1440" w:gutter="0" w:footer="0" w:header="0"/>
        </w:sectPr>
      </w:pPr>
    </w:p>
    <w:p>
      <w:pPr>
        <w:spacing w:after="0" w:line="162" w:lineRule="exact"/>
        <w:rPr>
          <w:sz w:val="20"/>
          <w:szCs w:val="20"/>
          <w:color w:val="auto"/>
        </w:rPr>
      </w:pPr>
    </w:p>
    <w:p>
      <w:pPr>
        <w:jc w:val="center"/>
        <w:ind w:right="-78"/>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39"/>
          </w:cols>
          <w:pgMar w:left="341" w:top="765" w:right="419" w:bottom="1440" w:gutter="0" w:footer="0" w:header="0"/>
          <w:type w:val="continuous"/>
        </w:sectPr>
      </w:pPr>
    </w:p>
    <w:bookmarkStart w:id="24" w:name="page25"/>
    <w:bookmarkEnd w:id="24"/>
    <w:p>
      <w:pPr>
        <w:jc w:val="center"/>
        <w:ind w:left="460" w:right="2560"/>
        <w:spacing w:after="0" w:line="26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2024</w:t>
      </w:r>
    </w:p>
    <w:p>
      <w:pPr>
        <w:spacing w:after="0" w:line="364" w:lineRule="exact"/>
        <w:rPr>
          <w:sz w:val="20"/>
          <w:szCs w:val="20"/>
          <w:color w:val="auto"/>
        </w:rPr>
      </w:pPr>
    </w:p>
    <w:p>
      <w:pPr>
        <w:ind w:left="359"/>
        <w:spacing w:after="0" w:line="282" w:lineRule="auto"/>
        <w:rPr>
          <w:sz w:val="20"/>
          <w:szCs w:val="20"/>
          <w:color w:val="auto"/>
        </w:rPr>
      </w:pPr>
      <w:r>
        <w:rPr>
          <w:rFonts w:ascii="Times New Roman" w:cs="Times New Roman" w:eastAsia="Times New Roman" w:hAnsi="Times New Roman"/>
          <w:sz w:val="18"/>
          <w:szCs w:val="18"/>
          <w:color w:val="auto"/>
        </w:rPr>
        <w:t>The changes in the fair value of derivatives designated and qualifying as cash flow hedges are recorded in Accumulated other comprehensive income ("AOCI") and subsequently reclassified into earnings in the period that the hedged forecasted transaction affects earnings.</w:t>
      </w:r>
    </w:p>
    <w:p>
      <w:pPr>
        <w:spacing w:after="0" w:line="108"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The following table represents the effect of the derivative financial instruments on the accompanying Consolidated Financial Statements:</w:t>
      </w:r>
    </w:p>
    <w:p>
      <w:pPr>
        <w:spacing w:after="0" w:line="166" w:lineRule="exact"/>
        <w:rPr>
          <w:sz w:val="20"/>
          <w:szCs w:val="20"/>
          <w:color w:val="auto"/>
        </w:rPr>
      </w:pPr>
    </w:p>
    <w:tbl>
      <w:tblPr>
        <w:tblLayout w:type="fixed"/>
        <w:tblInd w:w="319" w:type="dxa"/>
        <w:tblCellMar>
          <w:top w:w="0" w:type="dxa"/>
          <w:left w:w="0" w:type="dxa"/>
          <w:bottom w:w="0" w:type="dxa"/>
          <w:right w:w="0" w:type="dxa"/>
        </w:tblCellMar>
      </w:tblPr>
      <w:tr>
        <w:trPr>
          <w:trHeight w:val="161"/>
        </w:trPr>
        <w:tc>
          <w:tcPr>
            <w:tcW w:w="344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Location and Amount of Gain (Loss) Recognized in</w:t>
            </w:r>
          </w:p>
        </w:tc>
        <w:tc>
          <w:tcPr>
            <w:tcW w:w="140" w:type="dxa"/>
            <w:vAlign w:val="bottom"/>
          </w:tcPr>
          <w:p>
            <w:pPr>
              <w:spacing w:after="0"/>
              <w:rPr>
                <w:sz w:val="13"/>
                <w:szCs w:val="13"/>
                <w:color w:val="auto"/>
              </w:rPr>
            </w:pPr>
          </w:p>
        </w:tc>
        <w:tc>
          <w:tcPr>
            <w:tcW w:w="3400" w:type="dxa"/>
            <w:vAlign w:val="bottom"/>
            <w:gridSpan w:val="6"/>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Location and Amount of Gain (Loss) Reclassified</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0" w:type="dxa"/>
            <w:vAlign w:val="bottom"/>
            <w:gridSpan w:val="6"/>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Total amounts presented in the Consolidated</w:t>
            </w:r>
          </w:p>
        </w:tc>
        <w:tc>
          <w:tcPr>
            <w:tcW w:w="0" w:type="dxa"/>
            <w:vAlign w:val="bottom"/>
          </w:tcPr>
          <w:p>
            <w:pPr>
              <w:spacing w:after="0"/>
              <w:rPr>
                <w:sz w:val="1"/>
                <w:szCs w:val="1"/>
                <w:color w:val="auto"/>
              </w:rPr>
            </w:pPr>
          </w:p>
        </w:tc>
      </w:tr>
      <w:tr>
        <w:trPr>
          <w:trHeight w:val="149"/>
        </w:trPr>
        <w:tc>
          <w:tcPr>
            <w:tcW w:w="344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3400" w:type="dxa"/>
            <w:vAlign w:val="bottom"/>
            <w:gridSpan w:val="6"/>
            <w:vMerge w:val="continue"/>
          </w:tcPr>
          <w:p>
            <w:pPr>
              <w:spacing w:after="0"/>
              <w:rPr>
                <w:sz w:val="12"/>
                <w:szCs w:val="12"/>
                <w:color w:val="auto"/>
              </w:rPr>
            </w:pPr>
          </w:p>
        </w:tc>
        <w:tc>
          <w:tcPr>
            <w:tcW w:w="140" w:type="dxa"/>
            <w:vAlign w:val="bottom"/>
          </w:tcPr>
          <w:p>
            <w:pPr>
              <w:spacing w:after="0"/>
              <w:rPr>
                <w:sz w:val="12"/>
                <w:szCs w:val="12"/>
                <w:color w:val="auto"/>
              </w:rPr>
            </w:pPr>
          </w:p>
        </w:tc>
        <w:tc>
          <w:tcPr>
            <w:tcW w:w="3440" w:type="dxa"/>
            <w:vAlign w:val="bottom"/>
            <w:gridSpan w:val="7"/>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Statements of Operations in which the effects of cash</w:t>
            </w:r>
          </w:p>
        </w:tc>
        <w:tc>
          <w:tcPr>
            <w:tcW w:w="0" w:type="dxa"/>
            <w:vAlign w:val="bottom"/>
          </w:tcPr>
          <w:p>
            <w:pPr>
              <w:spacing w:after="0"/>
              <w:rPr>
                <w:sz w:val="1"/>
                <w:szCs w:val="1"/>
                <w:color w:val="auto"/>
              </w:rPr>
            </w:pPr>
          </w:p>
        </w:tc>
      </w:tr>
      <w:tr>
        <w:trPr>
          <w:trHeight w:val="187"/>
        </w:trPr>
        <w:tc>
          <w:tcPr>
            <w:tcW w:w="2560" w:type="dxa"/>
            <w:vAlign w:val="bottom"/>
            <w:tcBorders>
              <w:bottom w:val="single" w:sz="8" w:color="auto"/>
            </w:tcBorders>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OCI on Derivative</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520" w:type="dxa"/>
            <w:vAlign w:val="bottom"/>
            <w:tcBorders>
              <w:bottom w:val="single" w:sz="8" w:color="auto"/>
            </w:tcBorders>
            <w:gridSpan w:val="5"/>
          </w:tcPr>
          <w:p>
            <w:pPr>
              <w:jc w:val="center"/>
              <w:ind w:left="688"/>
              <w:spacing w:after="0"/>
              <w:rPr>
                <w:sz w:val="20"/>
                <w:szCs w:val="20"/>
                <w:color w:val="auto"/>
              </w:rPr>
            </w:pPr>
            <w:r>
              <w:rPr>
                <w:rFonts w:ascii="Times New Roman" w:cs="Times New Roman" w:eastAsia="Times New Roman" w:hAnsi="Times New Roman"/>
                <w:sz w:val="14"/>
                <w:szCs w:val="14"/>
                <w:b w:val="1"/>
                <w:bCs w:val="1"/>
                <w:color w:val="auto"/>
              </w:rPr>
              <w:t>from AOCI into Income</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center"/>
              <w:ind w:left="428"/>
              <w:spacing w:after="0"/>
              <w:rPr>
                <w:sz w:val="20"/>
                <w:szCs w:val="20"/>
                <w:color w:val="auto"/>
              </w:rPr>
            </w:pPr>
            <w:r>
              <w:rPr>
                <w:rFonts w:ascii="Times New Roman" w:cs="Times New Roman" w:eastAsia="Times New Roman" w:hAnsi="Times New Roman"/>
                <w:sz w:val="14"/>
                <w:szCs w:val="14"/>
                <w:b w:val="1"/>
                <w:bCs w:val="1"/>
                <w:color w:val="auto"/>
              </w:rPr>
              <w:t>flow hedges are recorded</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280" w:type="dxa"/>
            <w:vAlign w:val="bottom"/>
          </w:tcPr>
          <w:p>
            <w:pPr>
              <w:spacing w:after="0"/>
              <w:rPr>
                <w:sz w:val="11"/>
                <w:szCs w:val="11"/>
                <w:color w:val="auto"/>
              </w:rPr>
            </w:pPr>
          </w:p>
        </w:tc>
        <w:tc>
          <w:tcPr>
            <w:tcW w:w="2160" w:type="dxa"/>
            <w:vAlign w:val="bottom"/>
            <w:gridSpan w:val="5"/>
          </w:tcPr>
          <w:p>
            <w:pPr>
              <w:jc w:val="center"/>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260" w:type="dxa"/>
            <w:vAlign w:val="bottom"/>
            <w:gridSpan w:val="5"/>
          </w:tcPr>
          <w:p>
            <w:pPr>
              <w:jc w:val="center"/>
              <w:ind w:right="68"/>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60" w:type="dxa"/>
            <w:vAlign w:val="bottom"/>
            <w:gridSpan w:val="4"/>
          </w:tcPr>
          <w:p>
            <w:pPr>
              <w:jc w:val="center"/>
              <w:ind w:right="248"/>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30,</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30,</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33"/>
        </w:trPr>
        <w:tc>
          <w:tcPr>
            <w:tcW w:w="1480" w:type="dxa"/>
            <w:vAlign w:val="bottom"/>
            <w:gridSpan w:val="2"/>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Interest rate swaps</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(9,305 )</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4,606</w:t>
            </w:r>
          </w:p>
        </w:tc>
        <w:tc>
          <w:tcPr>
            <w:tcW w:w="140" w:type="dxa"/>
            <w:vAlign w:val="bottom"/>
            <w:shd w:val="clear" w:color="auto" w:fill="CFF0FC"/>
          </w:tcPr>
          <w:p>
            <w:pPr>
              <w:spacing w:after="0"/>
              <w:rPr>
                <w:sz w:val="11"/>
                <w:szCs w:val="11"/>
                <w:color w:val="auto"/>
              </w:rPr>
            </w:pPr>
          </w:p>
        </w:tc>
        <w:tc>
          <w:tcPr>
            <w:tcW w:w="1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(2,306 )</w:t>
            </w: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(2,161 )</w:t>
            </w:r>
          </w:p>
        </w:tc>
        <w:tc>
          <w:tcPr>
            <w:tcW w:w="140" w:type="dxa"/>
            <w:vAlign w:val="bottom"/>
            <w:shd w:val="clear" w:color="auto" w:fill="CFF0FC"/>
          </w:tcPr>
          <w:p>
            <w:pPr>
              <w:spacing w:after="0"/>
              <w:rPr>
                <w:sz w:val="11"/>
                <w:szCs w:val="11"/>
                <w:color w:val="auto"/>
              </w:rPr>
            </w:pPr>
          </w:p>
        </w:tc>
        <w:tc>
          <w:tcPr>
            <w:tcW w:w="1580" w:type="dxa"/>
            <w:vAlign w:val="bottom"/>
            <w:gridSpan w:val="3"/>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Interest expense,</w:t>
            </w:r>
          </w:p>
        </w:tc>
        <w:tc>
          <w:tcPr>
            <w:tcW w:w="7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47,022</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38,807</w:t>
            </w:r>
          </w:p>
        </w:tc>
        <w:tc>
          <w:tcPr>
            <w:tcW w:w="0" w:type="dxa"/>
            <w:vAlign w:val="bottom"/>
          </w:tcPr>
          <w:p>
            <w:pPr>
              <w:spacing w:after="0"/>
              <w:rPr>
                <w:sz w:val="1"/>
                <w:szCs w:val="1"/>
                <w:color w:val="auto"/>
              </w:rPr>
            </w:pPr>
          </w:p>
        </w:tc>
      </w:tr>
      <w:tr>
        <w:trPr>
          <w:trHeight w:val="185"/>
        </w:trPr>
        <w:tc>
          <w:tcPr>
            <w:tcW w:w="1480" w:type="dxa"/>
            <w:vAlign w:val="bottom"/>
            <w:gridSpan w:val="2"/>
            <w:shd w:val="clear" w:color="auto" w:fill="CFF0FC"/>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vMerge w:val="continue"/>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13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1280" w:type="dxa"/>
            <w:vAlign w:val="bottom"/>
          </w:tcPr>
          <w:p>
            <w:pPr>
              <w:spacing w:after="0"/>
              <w:rPr>
                <w:sz w:val="24"/>
                <w:szCs w:val="24"/>
                <w:color w:val="auto"/>
              </w:rPr>
            </w:pPr>
          </w:p>
        </w:tc>
        <w:tc>
          <w:tcPr>
            <w:tcW w:w="2160" w:type="dxa"/>
            <w:vAlign w:val="bottom"/>
            <w:gridSpan w:val="5"/>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6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40" w:type="dxa"/>
            <w:vAlign w:val="bottom"/>
            <w:gridSpan w:val="5"/>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30,</w:t>
            </w:r>
          </w:p>
        </w:tc>
        <w:tc>
          <w:tcPr>
            <w:tcW w:w="8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60" w:type="dxa"/>
            <w:vAlign w:val="bottom"/>
            <w:tcBorders>
              <w:bottom w:val="single" w:sz="8" w:color="auto"/>
            </w:tcBorders>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488"/>
              <w:spacing w:after="0"/>
              <w:rPr>
                <w:sz w:val="20"/>
                <w:szCs w:val="20"/>
                <w:color w:val="auto"/>
              </w:rPr>
            </w:pPr>
            <w:r>
              <w:rPr>
                <w:rFonts w:ascii="Times New Roman" w:cs="Times New Roman" w:eastAsia="Times New Roman" w:hAnsi="Times New Roman"/>
                <w:sz w:val="14"/>
                <w:szCs w:val="14"/>
                <w:b w:val="1"/>
                <w:bCs w:val="1"/>
                <w:color w:val="auto"/>
              </w:rPr>
              <w:t>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33"/>
        </w:trPr>
        <w:tc>
          <w:tcPr>
            <w:tcW w:w="1480" w:type="dxa"/>
            <w:vAlign w:val="bottom"/>
            <w:gridSpan w:val="2"/>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Interest rate swaps</w:t>
            </w: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2,412</w:t>
            </w: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7,327</w:t>
            </w:r>
          </w:p>
        </w:tc>
        <w:tc>
          <w:tcPr>
            <w:tcW w:w="140" w:type="dxa"/>
            <w:vAlign w:val="bottom"/>
            <w:shd w:val="clear" w:color="auto" w:fill="CFF0FC"/>
          </w:tcPr>
          <w:p>
            <w:pPr>
              <w:spacing w:after="0"/>
              <w:rPr>
                <w:sz w:val="11"/>
                <w:szCs w:val="11"/>
                <w:color w:val="auto"/>
              </w:rPr>
            </w:pPr>
          </w:p>
        </w:tc>
        <w:tc>
          <w:tcPr>
            <w:tcW w:w="1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2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(7,113 )</w:t>
            </w:r>
          </w:p>
        </w:tc>
        <w:tc>
          <w:tcPr>
            <w:tcW w:w="1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(5,302 )</w:t>
            </w:r>
          </w:p>
        </w:tc>
        <w:tc>
          <w:tcPr>
            <w:tcW w:w="140" w:type="dxa"/>
            <w:vAlign w:val="bottom"/>
            <w:shd w:val="clear" w:color="auto" w:fill="CFF0FC"/>
          </w:tcPr>
          <w:p>
            <w:pPr>
              <w:spacing w:after="0"/>
              <w:rPr>
                <w:sz w:val="11"/>
                <w:szCs w:val="11"/>
                <w:color w:val="auto"/>
              </w:rPr>
            </w:pPr>
          </w:p>
        </w:tc>
        <w:tc>
          <w:tcPr>
            <w:tcW w:w="1580" w:type="dxa"/>
            <w:vAlign w:val="bottom"/>
            <w:gridSpan w:val="3"/>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Interest expense,</w:t>
            </w:r>
          </w:p>
        </w:tc>
        <w:tc>
          <w:tcPr>
            <w:tcW w:w="7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133,068</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112,156</w:t>
            </w:r>
          </w:p>
        </w:tc>
        <w:tc>
          <w:tcPr>
            <w:tcW w:w="0" w:type="dxa"/>
            <w:vAlign w:val="bottom"/>
          </w:tcPr>
          <w:p>
            <w:pPr>
              <w:spacing w:after="0"/>
              <w:rPr>
                <w:sz w:val="1"/>
                <w:szCs w:val="1"/>
                <w:color w:val="auto"/>
              </w:rPr>
            </w:pPr>
          </w:p>
        </w:tc>
      </w:tr>
      <w:tr>
        <w:trPr>
          <w:trHeight w:val="185"/>
        </w:trPr>
        <w:tc>
          <w:tcPr>
            <w:tcW w:w="1480" w:type="dxa"/>
            <w:vAlign w:val="bottom"/>
            <w:gridSpan w:val="2"/>
            <w:shd w:val="clear" w:color="auto" w:fill="CFF0FC"/>
          </w:tcPr>
          <w:p>
            <w:pPr>
              <w:ind w:left="130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40" w:type="dxa"/>
            <w:vAlign w:val="bottom"/>
            <w:vMerge w:val="continue"/>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w:t>
            </w:r>
          </w:p>
        </w:tc>
        <w:tc>
          <w:tcPr>
            <w:tcW w:w="134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359" w:right="280"/>
        <w:spacing w:after="0" w:line="282" w:lineRule="auto"/>
        <w:rPr>
          <w:sz w:val="20"/>
          <w:szCs w:val="20"/>
          <w:color w:val="auto"/>
        </w:rPr>
      </w:pPr>
      <w:r>
        <w:rPr>
          <w:rFonts w:ascii="Times New Roman" w:cs="Times New Roman" w:eastAsia="Times New Roman" w:hAnsi="Times New Roman"/>
          <w:sz w:val="18"/>
          <w:szCs w:val="18"/>
          <w:color w:val="auto"/>
        </w:rPr>
        <w:t>As of September 30, 2024, the Company expects approximately $1.4 million of accumulated comprehensive income on derivative instruments in AOCI, including the Company's share from its Investments in real estate partnerships, to be reclassified into earnings during the next 12 months.</w:t>
      </w:r>
    </w:p>
    <w:p>
      <w:pPr>
        <w:spacing w:after="0" w:line="162" w:lineRule="exact"/>
        <w:rPr>
          <w:sz w:val="20"/>
          <w:szCs w:val="20"/>
          <w:color w:val="auto"/>
        </w:rPr>
      </w:pPr>
    </w:p>
    <w:p>
      <w:pPr>
        <w:ind w:left="339" w:hanging="339"/>
        <w:spacing w:after="0"/>
        <w:tabs>
          <w:tab w:leader="none" w:pos="33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185" w:lineRule="exact"/>
        <w:rPr>
          <w:sz w:val="20"/>
          <w:szCs w:val="20"/>
          <w:color w:val="auto"/>
        </w:rPr>
      </w:pPr>
    </w:p>
    <w:p>
      <w:pPr>
        <w:ind w:left="359" w:right="40"/>
        <w:spacing w:after="0" w:line="261" w:lineRule="auto"/>
        <w:rPr>
          <w:sz w:val="20"/>
          <w:szCs w:val="20"/>
          <w:color w:val="auto"/>
        </w:rPr>
      </w:pPr>
      <w:r>
        <w:rPr>
          <w:rFonts w:ascii="Times New Roman" w:cs="Times New Roman" w:eastAsia="Times New Roman" w:hAnsi="Times New Roman"/>
          <w:sz w:val="18"/>
          <w:szCs w:val="18"/>
          <w:color w:val="auto"/>
        </w:rPr>
        <w:t>Substantially all of the Company's leases are classified as operating leases. The Company's Lease income is comprised of both fixed and variable income. Fixed and in-substance fixed lease income includes stated amounts per the lease contract, which are primarily related to base rent, and in some cases stated amounts for common area maintenance ("CAM"), real estate taxes, and insurance (collectively, "Recoverable Costs"). Income for these amounts is recognized on a straight-line basis.</w:t>
      </w:r>
    </w:p>
    <w:p>
      <w:pPr>
        <w:spacing w:after="0" w:line="126"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Variable lease income includes the following two main items in the lease contracts:</w:t>
      </w:r>
    </w:p>
    <w:p>
      <w:pPr>
        <w:spacing w:after="0" w:line="63" w:lineRule="exact"/>
        <w:rPr>
          <w:sz w:val="20"/>
          <w:szCs w:val="20"/>
          <w:color w:val="auto"/>
        </w:rPr>
      </w:pPr>
    </w:p>
    <w:p>
      <w:pPr>
        <w:ind w:left="999" w:right="100" w:hanging="503"/>
        <w:spacing w:after="0" w:line="266" w:lineRule="auto"/>
        <w:tabs>
          <w:tab w:leader="none" w:pos="9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Recoveries from tenants represents the tenants' contractual obligations to reimburse the Company for their portion of Recoverable Costs incurred. Generally, the Company's leases provide for the tenants to reimburse the Company based on the tenants' share of the actual costs incurred in proportion to the tenants' share of leased space in the property.</w:t>
      </w:r>
    </w:p>
    <w:p>
      <w:pPr>
        <w:spacing w:after="0" w:line="13" w:lineRule="exact"/>
        <w:rPr>
          <w:rFonts w:ascii="Times New Roman" w:cs="Times New Roman" w:eastAsia="Times New Roman" w:hAnsi="Times New Roman"/>
          <w:sz w:val="18"/>
          <w:szCs w:val="18"/>
          <w:color w:val="auto"/>
        </w:rPr>
      </w:pPr>
    </w:p>
    <w:p>
      <w:pPr>
        <w:ind w:left="999" w:right="340" w:hanging="503"/>
        <w:spacing w:after="0" w:line="282" w:lineRule="auto"/>
        <w:tabs>
          <w:tab w:leader="none" w:pos="99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rent represents amounts billable to tenants based on the tenants' actual sales volume in excess of levels specified in the lease contract.</w:t>
      </w:r>
    </w:p>
    <w:p>
      <w:pPr>
        <w:spacing w:after="0" w:line="108"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The following table provides a disaggregation of lease income recognized as either fixed or variable lease income based on the criteria specified in</w:t>
      </w:r>
    </w:p>
    <w:p>
      <w:pPr>
        <w:spacing w:after="0" w:line="27"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ASC Topic 842:</w:t>
      </w:r>
    </w:p>
    <w:p>
      <w:pPr>
        <w:spacing w:after="0" w:line="169" w:lineRule="exact"/>
        <w:rPr>
          <w:sz w:val="20"/>
          <w:szCs w:val="20"/>
          <w:color w:val="auto"/>
        </w:rPr>
      </w:pPr>
    </w:p>
    <w:tbl>
      <w:tblPr>
        <w:tblLayout w:type="fixed"/>
        <w:tblInd w:w="559" w:type="dxa"/>
        <w:tblCellMar>
          <w:top w:w="0" w:type="dxa"/>
          <w:left w:w="0" w:type="dxa"/>
          <w:bottom w:w="0" w:type="dxa"/>
          <w:right w:w="0" w:type="dxa"/>
        </w:tblCellMar>
      </w:tblPr>
      <w:tr>
        <w:trPr>
          <w:trHeight w:val="232"/>
        </w:trPr>
        <w:tc>
          <w:tcPr>
            <w:tcW w:w="48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20"/>
                <w:szCs w:val="20"/>
                <w:color w:val="auto"/>
              </w:rPr>
            </w:pPr>
          </w:p>
        </w:tc>
        <w:tc>
          <w:tcPr>
            <w:tcW w:w="25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6"/>
        </w:trPr>
        <w:tc>
          <w:tcPr>
            <w:tcW w:w="4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80" w:type="dxa"/>
            <w:vAlign w:val="bottom"/>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4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30"/>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income</w:t>
            </w: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r>
      <w:tr>
        <w:trPr>
          <w:trHeight w:val="220"/>
        </w:trPr>
        <w:tc>
          <w:tcPr>
            <w:tcW w:w="4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Fixed and in-substance fixed lease income</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258,185</w:t>
            </w:r>
          </w:p>
        </w:tc>
        <w:tc>
          <w:tcPr>
            <w:tcW w:w="1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235,489</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771,800</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675,320</w:t>
            </w:r>
          </w:p>
        </w:tc>
      </w:tr>
      <w:tr>
        <w:trPr>
          <w:trHeight w:val="239"/>
        </w:trPr>
        <w:tc>
          <w:tcPr>
            <w:tcW w:w="4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Variable lease income</w:t>
            </w:r>
          </w:p>
        </w:tc>
        <w:tc>
          <w:tcPr>
            <w:tcW w:w="26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85,617</w:t>
            </w:r>
          </w:p>
        </w:tc>
        <w:tc>
          <w:tcPr>
            <w:tcW w:w="13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77,901</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263,991</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233,019</w:t>
            </w:r>
          </w:p>
        </w:tc>
      </w:tr>
      <w:tr>
        <w:trPr>
          <w:trHeight w:val="220"/>
        </w:trPr>
        <w:tc>
          <w:tcPr>
            <w:tcW w:w="4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lease related income, net:</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2"/>
        </w:trPr>
        <w:tc>
          <w:tcPr>
            <w:tcW w:w="48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Above/below market rent and tenant rent inducement</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30"/>
        </w:trPr>
        <w:tc>
          <w:tcPr>
            <w:tcW w:w="48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amortization, net</w:t>
            </w: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5,726</w:t>
            </w:r>
          </w:p>
        </w:tc>
        <w:tc>
          <w:tcPr>
            <w:tcW w:w="13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8,118</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18,990</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22,734</w:t>
            </w:r>
          </w:p>
        </w:tc>
      </w:tr>
      <w:tr>
        <w:trPr>
          <w:trHeight w:val="230"/>
        </w:trPr>
        <w:tc>
          <w:tcPr>
            <w:tcW w:w="4820" w:type="dxa"/>
            <w:vAlign w:val="bottom"/>
          </w:tcPr>
          <w:p>
            <w:pPr>
              <w:ind w:left="360"/>
              <w:spacing w:after="0" w:line="230" w:lineRule="exact"/>
              <w:rPr>
                <w:sz w:val="20"/>
                <w:szCs w:val="20"/>
                <w:color w:val="auto"/>
              </w:rPr>
            </w:pPr>
            <w:r>
              <w:rPr>
                <w:rFonts w:ascii="Times New Roman" w:cs="Times New Roman" w:eastAsia="Times New Roman" w:hAnsi="Times New Roman"/>
                <w:sz w:val="16"/>
                <w:szCs w:val="16"/>
                <w:color w:val="auto"/>
              </w:rPr>
              <w:t xml:space="preserve">Uncollectible straight-line rent </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(129 )</w:t>
            </w:r>
          </w:p>
        </w:tc>
        <w:tc>
          <w:tcPr>
            <w:tcW w:w="1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(1,340 )</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2,149</w:t>
            </w:r>
          </w:p>
        </w:tc>
      </w:tr>
      <w:tr>
        <w:trPr>
          <w:trHeight w:val="223"/>
        </w:trPr>
        <w:tc>
          <w:tcPr>
            <w:tcW w:w="482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Uncollectible amounts billable in lease (loss) income</w:t>
            </w: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(342 )</w:t>
            </w:r>
          </w:p>
        </w:tc>
        <w:tc>
          <w:tcPr>
            <w:tcW w:w="120" w:type="dxa"/>
            <w:vAlign w:val="bottom"/>
            <w:tcBorders>
              <w:bottom w:val="single" w:sz="8" w:color="CFF0FC"/>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(636 )</w:t>
            </w: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(3,433 )</w:t>
            </w:r>
          </w:p>
        </w:tc>
        <w:tc>
          <w:tcPr>
            <w:tcW w:w="10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958</w:t>
            </w:r>
          </w:p>
        </w:tc>
      </w:tr>
      <w:tr>
        <w:trPr>
          <w:trHeight w:val="223"/>
        </w:trPr>
        <w:tc>
          <w:tcPr>
            <w:tcW w:w="4820" w:type="dxa"/>
            <w:vAlign w:val="bottom"/>
          </w:tcPr>
          <w:p>
            <w:pPr>
              <w:spacing w:after="0"/>
              <w:rPr>
                <w:sz w:val="20"/>
                <w:szCs w:val="20"/>
                <w:color w:val="auto"/>
              </w:rPr>
            </w:pPr>
            <w:r>
              <w:rPr>
                <w:rFonts w:ascii="Times New Roman" w:cs="Times New Roman" w:eastAsia="Times New Roman" w:hAnsi="Times New Roman"/>
                <w:sz w:val="16"/>
                <w:szCs w:val="16"/>
                <w:color w:val="auto"/>
              </w:rPr>
              <w:t>Total lease income</w:t>
            </w:r>
          </w:p>
        </w:tc>
        <w:tc>
          <w:tcPr>
            <w:tcW w:w="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349,057</w:t>
            </w:r>
          </w:p>
        </w:tc>
        <w:tc>
          <w:tcPr>
            <w:tcW w:w="1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320,921</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1,050,008</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934,180</w:t>
            </w:r>
          </w:p>
        </w:tc>
      </w:tr>
      <w:tr>
        <w:trPr>
          <w:trHeight w:val="20"/>
        </w:trPr>
        <w:tc>
          <w:tcPr>
            <w:tcW w:w="4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4192270</wp:posOffset>
            </wp:positionH>
            <wp:positionV relativeFrom="paragraph">
              <wp:posOffset>-179705</wp:posOffset>
            </wp:positionV>
            <wp:extent cx="7747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5066665</wp:posOffset>
            </wp:positionH>
            <wp:positionV relativeFrom="paragraph">
              <wp:posOffset>-179705</wp:posOffset>
            </wp:positionV>
            <wp:extent cx="10287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5915025</wp:posOffset>
            </wp:positionH>
            <wp:positionV relativeFrom="paragraph">
              <wp:posOffset>-179705</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4" w:lineRule="exact"/>
        <w:rPr>
          <w:sz w:val="20"/>
          <w:szCs w:val="20"/>
          <w:color w:val="auto"/>
        </w:rPr>
      </w:pPr>
    </w:p>
    <w:p>
      <w:pPr>
        <w:jc w:val="center"/>
        <w:ind w:right="-98"/>
        <w:spacing w:after="0"/>
        <w:rPr>
          <w:sz w:val="20"/>
          <w:szCs w:val="20"/>
          <w:color w:val="auto"/>
        </w:rPr>
      </w:pPr>
      <w:r>
        <w:rPr>
          <w:rFonts w:ascii="Times New Roman" w:cs="Times New Roman" w:eastAsia="Times New Roman" w:hAnsi="Times New Roman"/>
          <w:sz w:val="16"/>
          <w:szCs w:val="16"/>
          <w:color w:val="auto"/>
        </w:rPr>
        <w:t>The amounts include straight-line rent adjustments associated with converting between cash basis and accrual basis of accounting for certain leases.</w:t>
      </w:r>
    </w:p>
    <w:p>
      <w:pPr>
        <w:spacing w:after="0" w:line="230" w:lineRule="exact"/>
        <w:rPr>
          <w:sz w:val="20"/>
          <w:szCs w:val="20"/>
          <w:color w:val="auto"/>
        </w:rPr>
      </w:pPr>
    </w:p>
    <w:p>
      <w:pPr>
        <w:jc w:val="center"/>
        <w:ind w:right="-98"/>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99"/>
          </w:cols>
          <w:pgMar w:left="341" w:top="765" w:right="459" w:bottom="1440" w:gutter="0" w:footer="0" w:header="0"/>
        </w:sectPr>
      </w:pPr>
    </w:p>
    <w:bookmarkStart w:id="25" w:name="page26"/>
    <w:bookmarkEnd w:id="25"/>
    <w:p>
      <w:pPr>
        <w:jc w:val="center"/>
        <w:ind w:left="360" w:right="2660"/>
        <w:spacing w:after="0" w:line="26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2024</w:t>
      </w:r>
    </w:p>
    <w:p>
      <w:pPr>
        <w:spacing w:after="0" w:line="364"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The following table represents the components of Tenant and other receivables, net of amounts considered uncollectible, in the accompanying</w:t>
      </w:r>
    </w:p>
    <w:p>
      <w:pPr>
        <w:spacing w:after="0" w:line="27"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169" w:lineRule="exact"/>
        <w:rPr>
          <w:sz w:val="20"/>
          <w:szCs w:val="20"/>
          <w:color w:val="auto"/>
        </w:rPr>
      </w:pPr>
    </w:p>
    <w:tbl>
      <w:tblPr>
        <w:tblLayout w:type="fixed"/>
        <w:tblInd w:w="1119" w:type="dxa"/>
        <w:tblCellMar>
          <w:top w:w="0" w:type="dxa"/>
          <w:left w:w="0" w:type="dxa"/>
          <w:bottom w:w="0" w:type="dxa"/>
          <w:right w:w="0" w:type="dxa"/>
        </w:tblCellMar>
      </w:tblPr>
      <w:tr>
        <w:trPr>
          <w:trHeight w:val="232"/>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tcPr>
          <w:p>
            <w:pPr>
              <w:spacing w:after="0"/>
              <w:rPr>
                <w:sz w:val="20"/>
                <w:szCs w:val="20"/>
                <w:color w:val="auto"/>
              </w:rPr>
            </w:pPr>
          </w:p>
        </w:tc>
        <w:tc>
          <w:tcPr>
            <w:tcW w:w="20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Tenant receivables</w:t>
            </w:r>
          </w:p>
        </w:tc>
        <w:tc>
          <w:tcPr>
            <w:tcW w:w="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26,887</w:t>
            </w:r>
          </w:p>
        </w:tc>
        <w:tc>
          <w:tcPr>
            <w:tcW w:w="22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34,814</w:t>
            </w:r>
          </w:p>
        </w:tc>
      </w:tr>
      <w:tr>
        <w:trPr>
          <w:trHeight w:val="220"/>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Straight-line rent receivables</w:t>
            </w:r>
          </w:p>
        </w:tc>
        <w:tc>
          <w:tcPr>
            <w:tcW w:w="180" w:type="dxa"/>
            <w:vAlign w:val="bottom"/>
          </w:tcPr>
          <w:p>
            <w:pPr>
              <w:spacing w:after="0"/>
              <w:rPr>
                <w:sz w:val="19"/>
                <w:szCs w:val="19"/>
                <w:color w:val="auto"/>
              </w:rPr>
            </w:pPr>
          </w:p>
        </w:tc>
        <w:tc>
          <w:tcPr>
            <w:tcW w:w="18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152,319</w:t>
            </w:r>
          </w:p>
        </w:tc>
        <w:tc>
          <w:tcPr>
            <w:tcW w:w="22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138,590</w:t>
            </w:r>
          </w:p>
        </w:tc>
      </w:tr>
      <w:tr>
        <w:trPr>
          <w:trHeight w:val="23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Notes receivable</w:t>
            </w:r>
          </w:p>
        </w:tc>
        <w:tc>
          <w:tcPr>
            <w:tcW w:w="180" w:type="dxa"/>
            <w:vAlign w:val="bottom"/>
            <w:shd w:val="clear" w:color="auto" w:fill="CFF0FC"/>
          </w:tcPr>
          <w:p>
            <w:pPr>
              <w:spacing w:after="0"/>
              <w:rPr>
                <w:sz w:val="20"/>
                <w:szCs w:val="20"/>
                <w:color w:val="auto"/>
              </w:rPr>
            </w:pPr>
          </w:p>
        </w:tc>
        <w:tc>
          <w:tcPr>
            <w:tcW w:w="18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32,038</w:t>
            </w:r>
          </w:p>
        </w:tc>
        <w:tc>
          <w:tcPr>
            <w:tcW w:w="222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2,109</w:t>
            </w:r>
          </w:p>
        </w:tc>
      </w:tr>
      <w:tr>
        <w:trPr>
          <w:trHeight w:val="230"/>
        </w:trPr>
        <w:tc>
          <w:tcPr>
            <w:tcW w:w="474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Other receivables</w:t>
            </w:r>
            <w:r>
              <w:rPr>
                <w:rFonts w:ascii="Times New Roman" w:cs="Times New Roman" w:eastAsia="Times New Roman" w:hAnsi="Times New Roman"/>
                <w:sz w:val="21"/>
                <w:szCs w:val="21"/>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28,870</w:t>
            </w:r>
          </w:p>
        </w:tc>
        <w:tc>
          <w:tcPr>
            <w:tcW w:w="180" w:type="dxa"/>
            <w:vAlign w:val="bottom"/>
          </w:tcPr>
          <w:p>
            <w:pPr>
              <w:spacing w:after="0"/>
              <w:rPr>
                <w:sz w:val="19"/>
                <w:szCs w:val="19"/>
                <w:color w:val="auto"/>
              </w:rPr>
            </w:pPr>
          </w:p>
        </w:tc>
        <w:tc>
          <w:tcPr>
            <w:tcW w:w="2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30,649</w:t>
            </w:r>
          </w:p>
        </w:tc>
      </w:tr>
      <w:tr>
        <w:trPr>
          <w:trHeight w:val="257"/>
        </w:trPr>
        <w:tc>
          <w:tcPr>
            <w:tcW w:w="4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tenant and other receivables</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8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240,114</w:t>
            </w:r>
          </w:p>
        </w:tc>
        <w:tc>
          <w:tcPr>
            <w:tcW w:w="180" w:type="dxa"/>
            <w:vAlign w:val="bottom"/>
            <w:tcBorders>
              <w:bottom w:val="single" w:sz="8" w:color="CFF0FC"/>
            </w:tcBorders>
            <w:shd w:val="clear" w:color="auto" w:fill="CFF0FC"/>
          </w:tcPr>
          <w:p>
            <w:pPr>
              <w:spacing w:after="0"/>
              <w:rPr>
                <w:sz w:val="22"/>
                <w:szCs w:val="22"/>
                <w:color w:val="auto"/>
              </w:rPr>
            </w:pPr>
          </w:p>
        </w:tc>
        <w:tc>
          <w:tcPr>
            <w:tcW w:w="20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206,162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5006340</wp:posOffset>
            </wp:positionH>
            <wp:positionV relativeFrom="paragraph">
              <wp:posOffset>-25400</wp:posOffset>
            </wp:positionV>
            <wp:extent cx="1111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5006340</wp:posOffset>
            </wp:positionH>
            <wp:positionV relativeFrom="paragraph">
              <wp:posOffset>-7620</wp:posOffset>
            </wp:positionV>
            <wp:extent cx="1111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2" w:lineRule="exact"/>
        <w:rPr>
          <w:sz w:val="20"/>
          <w:szCs w:val="20"/>
          <w:color w:val="auto"/>
        </w:rPr>
      </w:pPr>
    </w:p>
    <w:p>
      <w:pPr>
        <w:ind w:left="819" w:hanging="265"/>
        <w:spacing w:after="0" w:line="226" w:lineRule="auto"/>
        <w:tabs>
          <w:tab w:leader="none" w:pos="819"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Other receivables include construction receivables, insurance receivables, and amounts due from real estate partnerships for Management, transaction, and other fee income.</w:t>
      </w:r>
    </w:p>
    <w:p>
      <w:pPr>
        <w:spacing w:after="0" w:line="151" w:lineRule="exact"/>
        <w:rPr>
          <w:sz w:val="20"/>
          <w:szCs w:val="20"/>
          <w:color w:val="auto"/>
        </w:rPr>
      </w:pPr>
    </w:p>
    <w:p>
      <w:pPr>
        <w:ind w:left="359" w:right="26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issued a note receivable in the amount of $29.8 million at an interest rate of 6.9% maturing in January 2027, secured by a grocery-anchored shopping center.</w:t>
      </w:r>
    </w:p>
    <w:p>
      <w:pPr>
        <w:spacing w:after="0" w:line="175" w:lineRule="exact"/>
        <w:rPr>
          <w:sz w:val="20"/>
          <w:szCs w:val="20"/>
          <w:color w:val="auto"/>
        </w:rPr>
      </w:pPr>
    </w:p>
    <w:p>
      <w:pPr>
        <w:ind w:left="339" w:hanging="339"/>
        <w:spacing w:after="0"/>
        <w:tabs>
          <w:tab w:leader="none" w:pos="33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Measurements</w:t>
      </w:r>
    </w:p>
    <w:p>
      <w:pPr>
        <w:spacing w:after="0" w:line="239"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(a) Disclosure of Fair Value of Financial Instruments</w:t>
      </w:r>
    </w:p>
    <w:p>
      <w:pPr>
        <w:spacing w:after="0" w:line="171" w:lineRule="exact"/>
        <w:rPr>
          <w:sz w:val="20"/>
          <w:szCs w:val="20"/>
          <w:color w:val="auto"/>
        </w:rPr>
      </w:pPr>
    </w:p>
    <w:p>
      <w:pPr>
        <w:ind w:left="359" w:right="620"/>
        <w:spacing w:after="0" w:line="282" w:lineRule="auto"/>
        <w:rPr>
          <w:sz w:val="20"/>
          <w:szCs w:val="20"/>
          <w:color w:val="auto"/>
        </w:rPr>
      </w:pPr>
      <w:r>
        <w:rPr>
          <w:rFonts w:ascii="Times New Roman" w:cs="Times New Roman" w:eastAsia="Times New Roman" w:hAnsi="Times New Roman"/>
          <w:sz w:val="18"/>
          <w:szCs w:val="18"/>
          <w:color w:val="auto"/>
        </w:rPr>
        <w:t>All financial instruments of the Company are reflected in the accompanying Consolidated Balance Sheets at amounts which, in management's estimation, reasonably approximate their fair values, except those instruments listed below:</w:t>
      </w:r>
    </w:p>
    <w:p>
      <w:pPr>
        <w:spacing w:after="0" w:line="164" w:lineRule="exact"/>
        <w:rPr>
          <w:sz w:val="20"/>
          <w:szCs w:val="20"/>
          <w:color w:val="auto"/>
        </w:rPr>
      </w:pPr>
    </w:p>
    <w:tbl>
      <w:tblPr>
        <w:tblLayout w:type="fixed"/>
        <w:tblInd w:w="399" w:type="dxa"/>
        <w:tblCellMar>
          <w:top w:w="0" w:type="dxa"/>
          <w:left w:w="0" w:type="dxa"/>
          <w:bottom w:w="0" w:type="dxa"/>
          <w:right w:w="0" w:type="dxa"/>
        </w:tblCellMar>
      </w:tblPr>
      <w:tr>
        <w:trPr>
          <w:trHeight w:val="225"/>
        </w:trPr>
        <w:tc>
          <w:tcPr>
            <w:tcW w:w="3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340" w:type="dxa"/>
            <w:vAlign w:val="bottom"/>
            <w:tcBorders>
              <w:bottom w:val="single" w:sz="8" w:color="auto"/>
            </w:tcBorders>
            <w:gridSpan w:val="3"/>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0"/>
        </w:trPr>
        <w:tc>
          <w:tcPr>
            <w:tcW w:w="3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3"/>
          </w:tcPr>
          <w:p>
            <w:pPr>
              <w:jc w:val="center"/>
              <w:ind w:right="132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2"/>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60" w:type="dxa"/>
            <w:vAlign w:val="bottom"/>
          </w:tcPr>
          <w:p>
            <w:pPr>
              <w:spacing w:after="0"/>
              <w:rPr>
                <w:sz w:val="20"/>
                <w:szCs w:val="20"/>
                <w:color w:val="auto"/>
              </w:rPr>
            </w:pPr>
          </w:p>
        </w:tc>
        <w:tc>
          <w:tcPr>
            <w:tcW w:w="2280" w:type="dxa"/>
            <w:vAlign w:val="bottom"/>
            <w:gridSpan w:val="3"/>
          </w:tcPr>
          <w:p>
            <w:pPr>
              <w:jc w:val="center"/>
              <w:ind w:right="1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60" w:type="dxa"/>
            <w:vAlign w:val="bottom"/>
          </w:tcPr>
          <w:p>
            <w:pPr>
              <w:spacing w:after="0"/>
              <w:rPr>
                <w:sz w:val="20"/>
                <w:szCs w:val="20"/>
                <w:color w:val="auto"/>
              </w:rPr>
            </w:pPr>
          </w:p>
        </w:tc>
        <w:tc>
          <w:tcPr>
            <w:tcW w:w="16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20"/>
                <w:szCs w:val="20"/>
                <w:color w:val="auto"/>
              </w:rPr>
            </w:pPr>
          </w:p>
        </w:tc>
        <w:tc>
          <w:tcPr>
            <w:tcW w:w="1580" w:type="dxa"/>
            <w:vAlign w:val="bottom"/>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23"/>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Financial assets:</w:t>
            </w:r>
          </w:p>
        </w:tc>
        <w:tc>
          <w:tcPr>
            <w:tcW w:w="26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r>
      <w:tr>
        <w:trPr>
          <w:trHeight w:val="220"/>
        </w:trPr>
        <w:tc>
          <w:tcPr>
            <w:tcW w:w="3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Notes receivable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32,038</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32,413</w:t>
            </w:r>
          </w:p>
        </w:tc>
        <w:tc>
          <w:tcPr>
            <w:tcW w:w="17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2,109</w:t>
            </w:r>
          </w:p>
        </w:tc>
        <w:tc>
          <w:tcPr>
            <w:tcW w:w="17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2,109</w:t>
            </w:r>
          </w:p>
        </w:tc>
      </w:tr>
      <w:tr>
        <w:trPr>
          <w:trHeight w:val="23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Financial liabilities:</w:t>
            </w:r>
          </w:p>
        </w:tc>
        <w:tc>
          <w:tcPr>
            <w:tcW w:w="26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r>
      <w:tr>
        <w:trPr>
          <w:trHeight w:val="220"/>
        </w:trPr>
        <w:tc>
          <w:tcPr>
            <w:tcW w:w="3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Notes payable, net</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4,365,007</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4,267,554</w:t>
            </w:r>
          </w:p>
        </w:tc>
        <w:tc>
          <w:tcPr>
            <w:tcW w:w="17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4,001,949</w:t>
            </w:r>
          </w:p>
        </w:tc>
        <w:tc>
          <w:tcPr>
            <w:tcW w:w="174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3,763,152</w:t>
            </w:r>
          </w:p>
        </w:tc>
      </w:tr>
      <w:tr>
        <w:trPr>
          <w:trHeight w:val="239"/>
        </w:trPr>
        <w:tc>
          <w:tcPr>
            <w:tcW w:w="3120" w:type="dxa"/>
            <w:vAlign w:val="bottom"/>
            <w:shd w:val="clear" w:color="auto" w:fill="CFF0FC"/>
          </w:tcPr>
          <w:p>
            <w:pPr>
              <w:ind w:left="180"/>
              <w:spacing w:after="0" w:line="239" w:lineRule="exact"/>
              <w:rPr>
                <w:sz w:val="20"/>
                <w:szCs w:val="20"/>
                <w:color w:val="auto"/>
              </w:rPr>
            </w:pPr>
            <w:r>
              <w:rPr>
                <w:rFonts w:ascii="Times New Roman" w:cs="Times New Roman" w:eastAsia="Times New Roman" w:hAnsi="Times New Roman"/>
                <w:sz w:val="16"/>
                <w:szCs w:val="16"/>
                <w:color w:val="auto"/>
              </w:rPr>
              <w:t>Unsecured credit facilities</w:t>
            </w:r>
            <w:r>
              <w:rPr>
                <w:rFonts w:ascii="Times New Roman" w:cs="Times New Roman" w:eastAsia="Times New Roman" w:hAnsi="Times New Roman"/>
                <w:sz w:val="21"/>
                <w:szCs w:val="21"/>
                <w:color w:val="auto"/>
                <w:vertAlign w:val="superscript"/>
              </w:rPr>
              <w:t>(1)</w:t>
            </w:r>
          </w:p>
        </w:tc>
        <w:tc>
          <w:tcPr>
            <w:tcW w:w="260" w:type="dxa"/>
            <w:vAlign w:val="bottom"/>
            <w:shd w:val="clear" w:color="auto" w:fill="CFF0FC"/>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30,000</w:t>
            </w:r>
          </w:p>
        </w:tc>
        <w:tc>
          <w:tcPr>
            <w:tcW w:w="5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30,000</w:t>
            </w:r>
          </w:p>
        </w:tc>
        <w:tc>
          <w:tcPr>
            <w:tcW w:w="17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152,000</w:t>
            </w:r>
          </w:p>
        </w:tc>
        <w:tc>
          <w:tcPr>
            <w:tcW w:w="174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152,000</w:t>
            </w:r>
          </w:p>
        </w:tc>
      </w:tr>
    </w:tbl>
    <w:p>
      <w:pPr>
        <w:spacing w:after="0" w:line="52" w:lineRule="exact"/>
        <w:rPr>
          <w:sz w:val="20"/>
          <w:szCs w:val="20"/>
          <w:color w:val="auto"/>
        </w:rPr>
      </w:pPr>
    </w:p>
    <w:p>
      <w:pPr>
        <w:ind w:left="819" w:hanging="265"/>
        <w:spacing w:after="0"/>
        <w:tabs>
          <w:tab w:leader="none" w:pos="819"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carrying amounts approximated its fair values due to the variable nature of the terms.</w:t>
      </w:r>
    </w:p>
    <w:p>
      <w:pPr>
        <w:spacing w:after="0" w:line="150" w:lineRule="exact"/>
        <w:rPr>
          <w:sz w:val="20"/>
          <w:szCs w:val="20"/>
          <w:color w:val="auto"/>
        </w:rPr>
      </w:pPr>
    </w:p>
    <w:p>
      <w:pPr>
        <w:ind w:left="359" w:right="40"/>
        <w:spacing w:after="0" w:line="258" w:lineRule="auto"/>
        <w:rPr>
          <w:sz w:val="20"/>
          <w:szCs w:val="20"/>
          <w:color w:val="auto"/>
        </w:rPr>
      </w:pPr>
      <w:r>
        <w:rPr>
          <w:rFonts w:ascii="Times New Roman" w:cs="Times New Roman" w:eastAsia="Times New Roman" w:hAnsi="Times New Roman"/>
          <w:sz w:val="18"/>
          <w:szCs w:val="18"/>
          <w:color w:val="auto"/>
        </w:rPr>
        <w:t>The above fair values represent management's estimate of the amounts that would be received from selling those assets or that would be paid to transfer those liabilities in an orderly transaction between market participants as of September 30, 2024, and December 31, 2023, respectively. These fair value measurements maximize the use of observable inputs which are classified within Level 2 of the fair value hierarchy. However, in situations where there is little, if any, market activity for the asset or liability at the measurement date, the fair value measurement reflects the Company's own judgments about the assumptions that market participants would use in pricing the asset or liability.</w:t>
      </w:r>
    </w:p>
    <w:p>
      <w:pPr>
        <w:spacing w:after="0" w:line="129" w:lineRule="exact"/>
        <w:rPr>
          <w:sz w:val="20"/>
          <w:szCs w:val="20"/>
          <w:color w:val="auto"/>
        </w:rPr>
      </w:pPr>
    </w:p>
    <w:p>
      <w:pPr>
        <w:ind w:left="359" w:right="140"/>
        <w:spacing w:after="0" w:line="258" w:lineRule="auto"/>
        <w:rPr>
          <w:sz w:val="20"/>
          <w:szCs w:val="20"/>
          <w:color w:val="auto"/>
        </w:rPr>
      </w:pPr>
      <w:r>
        <w:rPr>
          <w:rFonts w:ascii="Times New Roman" w:cs="Times New Roman" w:eastAsia="Times New Roman" w:hAnsi="Times New Roman"/>
          <w:sz w:val="18"/>
          <w:szCs w:val="18"/>
          <w:color w:val="auto"/>
        </w:rPr>
        <w:t>The Company develops its judgments based on the best information available at the measurement date, including expected cash flows, appropriate risk-adjusted discount rates, and available observable and unobservable inputs. Service providers involved in fair value measurements are evaluated for competency and qualifications on an ongoing basis. As considerable judgment is often necessary to estimate the fair value of these financial instruments, the fair values presented above are not necessarily indicative of amounts that will be realized upon disposition of the financial instruments.</w:t>
      </w:r>
    </w:p>
    <w:p>
      <w:pPr>
        <w:spacing w:after="0" w:line="129"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(b) Recurring Fair Value</w:t>
      </w:r>
    </w:p>
    <w:p>
      <w:pPr>
        <w:spacing w:after="0" w:line="171" w:lineRule="exact"/>
        <w:rPr>
          <w:sz w:val="20"/>
          <w:szCs w:val="20"/>
          <w:color w:val="auto"/>
        </w:rPr>
      </w:pPr>
    </w:p>
    <w:p>
      <w:pPr>
        <w:ind w:left="359"/>
        <w:spacing w:after="0"/>
        <w:rPr>
          <w:sz w:val="20"/>
          <w:szCs w:val="20"/>
          <w:color w:val="auto"/>
        </w:rPr>
      </w:pPr>
      <w:r>
        <w:rPr>
          <w:rFonts w:ascii="Times New Roman" w:cs="Times New Roman" w:eastAsia="Times New Roman" w:hAnsi="Times New Roman"/>
          <w:sz w:val="18"/>
          <w:szCs w:val="18"/>
          <w:color w:val="auto"/>
        </w:rPr>
        <w:t>The following financial instruments are measured at fair value on a recurring basis:</w:t>
      </w:r>
    </w:p>
    <w:p>
      <w:pPr>
        <w:spacing w:after="0" w:line="171" w:lineRule="exact"/>
        <w:rPr>
          <w:sz w:val="20"/>
          <w:szCs w:val="20"/>
          <w:color w:val="auto"/>
        </w:rPr>
      </w:pPr>
    </w:p>
    <w:p>
      <w:pPr>
        <w:ind w:left="739"/>
        <w:spacing w:after="0"/>
        <w:rPr>
          <w:sz w:val="20"/>
          <w:szCs w:val="20"/>
          <w:color w:val="auto"/>
        </w:rPr>
      </w:pPr>
      <w:r>
        <w:rPr>
          <w:rFonts w:ascii="Times New Roman" w:cs="Times New Roman" w:eastAsia="Times New Roman" w:hAnsi="Times New Roman"/>
          <w:sz w:val="18"/>
          <w:szCs w:val="18"/>
          <w:u w:val="single" w:color="auto"/>
          <w:color w:val="auto"/>
        </w:rPr>
        <w:t>Securities</w:t>
      </w:r>
    </w:p>
    <w:p>
      <w:pPr>
        <w:spacing w:after="0" w:line="171" w:lineRule="exact"/>
        <w:rPr>
          <w:sz w:val="20"/>
          <w:szCs w:val="20"/>
          <w:color w:val="auto"/>
        </w:rPr>
      </w:pPr>
    </w:p>
    <w:p>
      <w:pPr>
        <w:ind w:left="739"/>
        <w:spacing w:after="0" w:line="256" w:lineRule="auto"/>
        <w:rPr>
          <w:sz w:val="20"/>
          <w:szCs w:val="20"/>
          <w:color w:val="auto"/>
        </w:rPr>
      </w:pPr>
      <w:r>
        <w:rPr>
          <w:rFonts w:ascii="Times New Roman" w:cs="Times New Roman" w:eastAsia="Times New Roman" w:hAnsi="Times New Roman"/>
          <w:sz w:val="18"/>
          <w:szCs w:val="18"/>
          <w:color w:val="auto"/>
        </w:rPr>
        <w:t>The Company has investments in marketable securities that are included within Other assets on the accompanying Consolidated Balance Sheets. The fair value of the securities was determined using quoted prices in active markets, which are considered Level 1 inputs of the fair value hierarchy. Changes in the value of securities are recorded within Net investment (income) loss in the accompanying Consolidated Statements of Operations, and include unrealized gains of $1.4 million and unrealized losses of $1.0 million during the three months ended September 30, 2024 and 2023, respectively, and unrealized gains of $4.5 million and $2.4 million during the nine months ended September 30, 2024 and 2023, respectively.</w:t>
      </w:r>
    </w:p>
    <w:p>
      <w:pPr>
        <w:sectPr>
          <w:pgSz w:w="11900" w:h="16838" w:orient="portrait"/>
          <w:cols w:equalWidth="0" w:num="1">
            <w:col w:w="11199"/>
          </w:cols>
          <w:pgMar w:left="341" w:top="765" w:right="359" w:bottom="1440" w:gutter="0" w:footer="0" w:header="0"/>
        </w:sectPr>
      </w:pPr>
    </w:p>
    <w:p>
      <w:pPr>
        <w:spacing w:after="0" w:line="187"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484505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9"/>
          </w:cols>
          <w:pgMar w:left="341" w:top="765" w:right="359" w:bottom="1440" w:gutter="0" w:footer="0" w:header="0"/>
          <w:type w:val="continuous"/>
        </w:sectPr>
      </w:pPr>
    </w:p>
    <w:bookmarkStart w:id="26" w:name="page27"/>
    <w:bookmarkEnd w:id="26"/>
    <w:p>
      <w:pPr>
        <w:jc w:val="cente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2024</w:t>
      </w:r>
    </w:p>
    <w:p>
      <w:pPr>
        <w:spacing w:after="0" w:line="36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Available-for-Sale Debt Securities</w:t>
      </w:r>
    </w:p>
    <w:p>
      <w:pPr>
        <w:spacing w:after="0" w:line="171" w:lineRule="exact"/>
        <w:rPr>
          <w:sz w:val="20"/>
          <w:szCs w:val="20"/>
          <w:color w:val="auto"/>
        </w:rPr>
      </w:pPr>
    </w:p>
    <w:p>
      <w:pPr>
        <w:ind w:left="380" w:right="20"/>
        <w:spacing w:after="0" w:line="261" w:lineRule="auto"/>
        <w:rPr>
          <w:sz w:val="20"/>
          <w:szCs w:val="20"/>
          <w:color w:val="auto"/>
        </w:rPr>
      </w:pPr>
      <w:r>
        <w:rPr>
          <w:rFonts w:ascii="Times New Roman" w:cs="Times New Roman" w:eastAsia="Times New Roman" w:hAnsi="Times New Roman"/>
          <w:sz w:val="18"/>
          <w:szCs w:val="18"/>
          <w:color w:val="auto"/>
        </w:rPr>
        <w:t>Available-for-sale debt securities consist of investments in corporate bonds, and are recorded at fair value using either recent trade prices for the identical debt instrument or comparable instruments by issuers of similar industry sector, issuer rating, and size, to estimate fair value, which are considered Level 2 inputs of the fair value hierarchy. Unrealized gains or losses on these debt securities are recognized through Other comprehensive income.</w:t>
      </w:r>
    </w:p>
    <w:p>
      <w:pPr>
        <w:spacing w:after="0" w:line="1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Interest Rate Derivatives</w:t>
      </w:r>
    </w:p>
    <w:p>
      <w:pPr>
        <w:spacing w:after="0" w:line="171" w:lineRule="exact"/>
        <w:rPr>
          <w:sz w:val="20"/>
          <w:szCs w:val="20"/>
          <w:color w:val="auto"/>
        </w:rPr>
      </w:pPr>
    </w:p>
    <w:p>
      <w:pPr>
        <w:ind w:left="380"/>
        <w:spacing w:after="0" w:line="258" w:lineRule="auto"/>
        <w:rPr>
          <w:sz w:val="20"/>
          <w:szCs w:val="20"/>
          <w:color w:val="auto"/>
        </w:rPr>
      </w:pPr>
      <w:r>
        <w:rPr>
          <w:rFonts w:ascii="Times New Roman" w:cs="Times New Roman" w:eastAsia="Times New Roman" w:hAnsi="Times New Roman"/>
          <w:sz w:val="18"/>
          <w:szCs w:val="18"/>
          <w:color w:val="auto"/>
        </w:rPr>
        <w:t>The fair value of the Company's interest rate derivatives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Company incorporates credit valuation adjustments to appropriately reflect both its own nonperformance risk and the respective counterparty's nonperformance risk in the fair value measurements.</w:t>
      </w:r>
    </w:p>
    <w:p>
      <w:pPr>
        <w:spacing w:after="0" w:line="129" w:lineRule="exact"/>
        <w:rPr>
          <w:sz w:val="20"/>
          <w:szCs w:val="20"/>
          <w:color w:val="auto"/>
        </w:rPr>
      </w:pPr>
    </w:p>
    <w:p>
      <w:pPr>
        <w:ind w:left="380" w:right="40"/>
        <w:spacing w:after="0" w:line="256" w:lineRule="auto"/>
        <w:rPr>
          <w:sz w:val="20"/>
          <w:szCs w:val="20"/>
          <w:color w:val="auto"/>
        </w:rPr>
      </w:pPr>
      <w:r>
        <w:rPr>
          <w:rFonts w:ascii="Times New Roman" w:cs="Times New Roman" w:eastAsia="Times New Roman" w:hAnsi="Times New Roman"/>
          <w:sz w:val="18"/>
          <w:szCs w:val="18"/>
          <w:color w:val="auto"/>
        </w:rPr>
        <w:t>Although the Company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the Company and its counterparties. The Company has assessed the significance of the impact of the credit valuation adjustments on the overall valuation of its derivative positions and has determined that the credit valuation adjustments are not significant to the overall valuation of its interest rate swaps. As a result, the Company determined that its interest rate swaps valuation in its entirety is classified in Level 2 of the fair value hierarchy.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placement in the fair value hierarchy of assets and liabilities that are measured at fair value on a recurring basis: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Measurements as of September 30, 2024</w:t>
            </w: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r>
      <w:tr>
        <w:trPr>
          <w:trHeight w:val="200"/>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Quoted Prices in Active</w:t>
            </w: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Markets for Identical</w:t>
            </w:r>
          </w:p>
        </w:tc>
        <w:tc>
          <w:tcPr>
            <w:tcW w:w="160" w:type="dxa"/>
            <w:vAlign w:val="bottom"/>
          </w:tcPr>
          <w:p>
            <w:pPr>
              <w:spacing w:after="0"/>
              <w:rPr>
                <w:sz w:val="17"/>
                <w:szCs w:val="17"/>
                <w:color w:val="auto"/>
              </w:rPr>
            </w:pPr>
          </w:p>
        </w:tc>
        <w:tc>
          <w:tcPr>
            <w:tcW w:w="18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40" w:type="dxa"/>
            <w:vAlign w:val="bottom"/>
          </w:tcPr>
          <w:p>
            <w:pPr>
              <w:spacing w:after="0"/>
              <w:rPr>
                <w:sz w:val="17"/>
                <w:szCs w:val="17"/>
                <w:color w:val="auto"/>
              </w:rPr>
            </w:pPr>
          </w:p>
        </w:tc>
        <w:tc>
          <w:tcPr>
            <w:tcW w:w="18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12"/>
        </w:trPr>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18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140" w:type="dxa"/>
            <w:vAlign w:val="bottom"/>
          </w:tcPr>
          <w:p>
            <w:pPr>
              <w:spacing w:after="0"/>
              <w:rPr>
                <w:sz w:val="18"/>
                <w:szCs w:val="18"/>
                <w:color w:val="auto"/>
              </w:rPr>
            </w:pPr>
          </w:p>
        </w:tc>
        <w:tc>
          <w:tcPr>
            <w:tcW w:w="18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Unobservable Inputs</w:t>
            </w:r>
          </w:p>
        </w:tc>
      </w:tr>
      <w:tr>
        <w:trPr>
          <w:trHeight w:val="249"/>
        </w:trPr>
        <w:tc>
          <w:tcPr>
            <w:tcW w:w="3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60" w:type="dxa"/>
            <w:vAlign w:val="bottom"/>
          </w:tcPr>
          <w:p>
            <w:pPr>
              <w:spacing w:after="0"/>
              <w:rPr>
                <w:sz w:val="21"/>
                <w:szCs w:val="21"/>
                <w:color w:val="auto"/>
              </w:rPr>
            </w:pPr>
          </w:p>
        </w:tc>
        <w:tc>
          <w:tcPr>
            <w:tcW w:w="18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60" w:type="dxa"/>
            <w:vAlign w:val="bottom"/>
          </w:tcPr>
          <w:p>
            <w:pPr>
              <w:spacing w:after="0"/>
              <w:rPr>
                <w:sz w:val="21"/>
                <w:szCs w:val="21"/>
                <w:color w:val="auto"/>
              </w:rPr>
            </w:pPr>
          </w:p>
        </w:tc>
        <w:tc>
          <w:tcPr>
            <w:tcW w:w="18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Pr>
          <w:p>
            <w:pPr>
              <w:spacing w:after="0"/>
              <w:rPr>
                <w:sz w:val="21"/>
                <w:szCs w:val="21"/>
                <w:color w:val="auto"/>
              </w:rPr>
            </w:pPr>
          </w:p>
        </w:tc>
        <w:tc>
          <w:tcPr>
            <w:tcW w:w="18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169"/>
        </w:trPr>
        <w:tc>
          <w:tcPr>
            <w:tcW w:w="3000" w:type="dxa"/>
            <w:vAlign w:val="bottom"/>
            <w:gridSpan w:val="3"/>
            <w:shd w:val="clear" w:color="auto" w:fill="CFF0FC"/>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r>
      <w:tr>
        <w:trPr>
          <w:trHeight w:val="34"/>
        </w:trPr>
        <w:tc>
          <w:tcPr>
            <w:tcW w:w="480" w:type="dxa"/>
            <w:vAlign w:val="bottom"/>
            <w:tcBorders>
              <w:top w:val="single" w:sz="8" w:color="auto"/>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226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8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r>
      <w:tr>
        <w:trPr>
          <w:trHeight w:val="220"/>
        </w:trPr>
        <w:tc>
          <w:tcPr>
            <w:tcW w:w="3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37,913</w:t>
            </w:r>
          </w:p>
        </w:tc>
        <w:tc>
          <w:tcPr>
            <w:tcW w:w="20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37,913</w:t>
            </w:r>
          </w:p>
        </w:tc>
        <w:tc>
          <w:tcPr>
            <w:tcW w:w="160" w:type="dxa"/>
            <w:vAlign w:val="bottom"/>
          </w:tcPr>
          <w:p>
            <w:pPr>
              <w:spacing w:after="0"/>
              <w:rPr>
                <w:sz w:val="19"/>
                <w:szCs w:val="19"/>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82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0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Available-for-sale debt securities</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13,778</w:t>
            </w:r>
          </w:p>
        </w:tc>
        <w:tc>
          <w:tcPr>
            <w:tcW w:w="160" w:type="dxa"/>
            <w:vAlign w:val="bottom"/>
            <w:shd w:val="clear" w:color="auto" w:fill="CFF0FC"/>
          </w:tcPr>
          <w:p>
            <w:pPr>
              <w:spacing w:after="0"/>
              <w:rPr>
                <w:sz w:val="20"/>
                <w:szCs w:val="20"/>
                <w:color w:val="auto"/>
              </w:rPr>
            </w:pPr>
          </w:p>
        </w:tc>
        <w:tc>
          <w:tcPr>
            <w:tcW w:w="1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13,778</w:t>
            </w:r>
          </w:p>
        </w:tc>
        <w:tc>
          <w:tcPr>
            <w:tcW w:w="140" w:type="dxa"/>
            <w:vAlign w:val="bottom"/>
            <w:shd w:val="clear" w:color="auto" w:fill="CFF0FC"/>
          </w:tcPr>
          <w:p>
            <w:pPr>
              <w:spacing w:after="0"/>
              <w:rPr>
                <w:sz w:val="20"/>
                <w:szCs w:val="20"/>
                <w:color w:val="auto"/>
              </w:rPr>
            </w:pPr>
          </w:p>
        </w:tc>
        <w:tc>
          <w:tcPr>
            <w:tcW w:w="182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rate derivatives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9,511</w:t>
            </w:r>
          </w:p>
        </w:tc>
        <w:tc>
          <w:tcPr>
            <w:tcW w:w="160" w:type="dxa"/>
            <w:vAlign w:val="bottom"/>
          </w:tcPr>
          <w:p>
            <w:pPr>
              <w:spacing w:after="0"/>
              <w:rPr>
                <w:sz w:val="19"/>
                <w:szCs w:val="19"/>
                <w:color w:val="auto"/>
              </w:rPr>
            </w:pPr>
          </w:p>
        </w:tc>
        <w:tc>
          <w:tcPr>
            <w:tcW w:w="1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9,511</w:t>
            </w:r>
          </w:p>
        </w:tc>
        <w:tc>
          <w:tcPr>
            <w:tcW w:w="140" w:type="dxa"/>
            <w:vAlign w:val="bottom"/>
          </w:tcPr>
          <w:p>
            <w:pPr>
              <w:spacing w:after="0"/>
              <w:rPr>
                <w:sz w:val="19"/>
                <w:szCs w:val="19"/>
                <w:color w:val="auto"/>
              </w:rPr>
            </w:pPr>
          </w:p>
        </w:tc>
        <w:tc>
          <w:tcPr>
            <w:tcW w:w="18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6"/>
                <w:szCs w:val="16"/>
                <w:color w:val="auto"/>
              </w:rPr>
              <w:t>—</w:t>
            </w:r>
          </w:p>
        </w:tc>
      </w:tr>
      <w:tr>
        <w:trPr>
          <w:trHeight w:val="263"/>
        </w:trPr>
        <w:tc>
          <w:tcPr>
            <w:tcW w:w="30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61,202</w:t>
            </w:r>
          </w:p>
        </w:tc>
        <w:tc>
          <w:tcPr>
            <w:tcW w:w="20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37,913</w:t>
            </w:r>
          </w:p>
        </w:tc>
        <w:tc>
          <w:tcPr>
            <w:tcW w:w="1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23,289</w:t>
            </w:r>
          </w:p>
        </w:tc>
        <w:tc>
          <w:tcPr>
            <w:tcW w:w="140" w:type="dxa"/>
            <w:vAlign w:val="bottom"/>
            <w:shd w:val="clear" w:color="auto" w:fill="CFF0FC"/>
          </w:tcPr>
          <w:p>
            <w:pPr>
              <w:spacing w:after="0"/>
              <w:rPr>
                <w:sz w:val="22"/>
                <w:szCs w:val="22"/>
                <w:color w:val="auto"/>
              </w:rPr>
            </w:pPr>
          </w:p>
        </w:tc>
        <w:tc>
          <w:tcPr>
            <w:tcW w:w="182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6"/>
                <w:szCs w:val="16"/>
                <w:color w:val="auto"/>
              </w:rPr>
              <w:t>—</w:t>
            </w:r>
          </w:p>
        </w:tc>
      </w:tr>
      <w:tr>
        <w:trPr>
          <w:trHeight w:val="163"/>
        </w:trPr>
        <w:tc>
          <w:tcPr>
            <w:tcW w:w="3000" w:type="dxa"/>
            <w:vAlign w:val="bottom"/>
            <w:tcBorders>
              <w:top w:val="single" w:sz="8" w:color="CFF0FC"/>
            </w:tcBorders>
            <w:gridSpan w:val="3"/>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88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r>
      <w:tr>
        <w:trPr>
          <w:trHeight w:val="34"/>
        </w:trPr>
        <w:tc>
          <w:tcPr>
            <w:tcW w:w="4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0"/>
        </w:trPr>
        <w:tc>
          <w:tcPr>
            <w:tcW w:w="30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derivatives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(1,994 )</w:t>
            </w: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(1,994 )</w:t>
            </w: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6"/>
                <w:szCs w:val="16"/>
                <w:color w:val="auto"/>
              </w:rPr>
              <w:t>—</w:t>
            </w:r>
          </w:p>
        </w:tc>
      </w:tr>
      <w:tr>
        <w:trPr>
          <w:trHeight w:val="425"/>
        </w:trPr>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Fair Value Measurements as of December 31, 2023</w:t>
            </w: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200"/>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Quoted Prices in Active</w:t>
            </w: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Markets for Identical</w:t>
            </w:r>
          </w:p>
        </w:tc>
        <w:tc>
          <w:tcPr>
            <w:tcW w:w="160" w:type="dxa"/>
            <w:vAlign w:val="bottom"/>
          </w:tcPr>
          <w:p>
            <w:pPr>
              <w:spacing w:after="0"/>
              <w:rPr>
                <w:sz w:val="17"/>
                <w:szCs w:val="17"/>
                <w:color w:val="auto"/>
              </w:rPr>
            </w:pPr>
          </w:p>
        </w:tc>
        <w:tc>
          <w:tcPr>
            <w:tcW w:w="18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40" w:type="dxa"/>
            <w:vAlign w:val="bottom"/>
          </w:tcPr>
          <w:p>
            <w:pPr>
              <w:spacing w:after="0"/>
              <w:rPr>
                <w:sz w:val="17"/>
                <w:szCs w:val="17"/>
                <w:color w:val="auto"/>
              </w:rPr>
            </w:pPr>
          </w:p>
        </w:tc>
        <w:tc>
          <w:tcPr>
            <w:tcW w:w="18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Significant</w:t>
            </w:r>
          </w:p>
        </w:tc>
      </w:tr>
      <w:tr>
        <w:trPr>
          <w:trHeight w:val="212"/>
        </w:trPr>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8"/>
                <w:szCs w:val="18"/>
                <w:color w:val="auto"/>
              </w:rPr>
            </w:pPr>
          </w:p>
        </w:tc>
        <w:tc>
          <w:tcPr>
            <w:tcW w:w="18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Observable Inputs</w:t>
            </w:r>
          </w:p>
        </w:tc>
        <w:tc>
          <w:tcPr>
            <w:tcW w:w="140" w:type="dxa"/>
            <w:vAlign w:val="bottom"/>
          </w:tcPr>
          <w:p>
            <w:pPr>
              <w:spacing w:after="0"/>
              <w:rPr>
                <w:sz w:val="18"/>
                <w:szCs w:val="18"/>
                <w:color w:val="auto"/>
              </w:rPr>
            </w:pPr>
          </w:p>
        </w:tc>
        <w:tc>
          <w:tcPr>
            <w:tcW w:w="18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Unobservable Inputs</w:t>
            </w:r>
          </w:p>
        </w:tc>
      </w:tr>
      <w:tr>
        <w:trPr>
          <w:trHeight w:val="249"/>
        </w:trPr>
        <w:tc>
          <w:tcPr>
            <w:tcW w:w="30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2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60" w:type="dxa"/>
            <w:vAlign w:val="bottom"/>
          </w:tcPr>
          <w:p>
            <w:pPr>
              <w:spacing w:after="0"/>
              <w:rPr>
                <w:sz w:val="21"/>
                <w:szCs w:val="21"/>
                <w:color w:val="auto"/>
              </w:rPr>
            </w:pPr>
          </w:p>
        </w:tc>
        <w:tc>
          <w:tcPr>
            <w:tcW w:w="18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60" w:type="dxa"/>
            <w:vAlign w:val="bottom"/>
          </w:tcPr>
          <w:p>
            <w:pPr>
              <w:spacing w:after="0"/>
              <w:rPr>
                <w:sz w:val="21"/>
                <w:szCs w:val="21"/>
                <w:color w:val="auto"/>
              </w:rPr>
            </w:pPr>
          </w:p>
        </w:tc>
        <w:tc>
          <w:tcPr>
            <w:tcW w:w="18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Pr>
          <w:p>
            <w:pPr>
              <w:spacing w:after="0"/>
              <w:rPr>
                <w:sz w:val="21"/>
                <w:szCs w:val="21"/>
                <w:color w:val="auto"/>
              </w:rPr>
            </w:pPr>
          </w:p>
        </w:tc>
        <w:tc>
          <w:tcPr>
            <w:tcW w:w="18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(Level 3)</w:t>
            </w:r>
          </w:p>
        </w:tc>
      </w:tr>
      <w:tr>
        <w:trPr>
          <w:trHeight w:val="169"/>
        </w:trPr>
        <w:tc>
          <w:tcPr>
            <w:tcW w:w="3000" w:type="dxa"/>
            <w:vAlign w:val="bottom"/>
            <w:gridSpan w:val="3"/>
            <w:shd w:val="clear" w:color="auto" w:fill="CFF0FC"/>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20" w:type="dxa"/>
            <w:vAlign w:val="bottom"/>
            <w:shd w:val="clear" w:color="auto" w:fill="CFF0FC"/>
          </w:tcPr>
          <w:p>
            <w:pPr>
              <w:spacing w:after="0"/>
              <w:rPr>
                <w:sz w:val="14"/>
                <w:szCs w:val="14"/>
                <w:color w:val="auto"/>
              </w:rPr>
            </w:pPr>
          </w:p>
        </w:tc>
      </w:tr>
      <w:tr>
        <w:trPr>
          <w:trHeight w:val="34"/>
        </w:trPr>
        <w:tc>
          <w:tcPr>
            <w:tcW w:w="480" w:type="dxa"/>
            <w:vAlign w:val="bottom"/>
            <w:tcBorders>
              <w:top w:val="single" w:sz="8" w:color="auto"/>
            </w:tcBorders>
            <w:shd w:val="clear" w:color="auto" w:fill="CFF0FC"/>
          </w:tcPr>
          <w:p>
            <w:pPr>
              <w:spacing w:after="0"/>
              <w:rPr>
                <w:sz w:val="2"/>
                <w:szCs w:val="2"/>
                <w:color w:val="auto"/>
              </w:rPr>
            </w:pPr>
          </w:p>
        </w:tc>
        <w:tc>
          <w:tcPr>
            <w:tcW w:w="260" w:type="dxa"/>
            <w:vAlign w:val="bottom"/>
            <w:tcBorders>
              <w:top w:val="single" w:sz="8" w:color="CFF0FC"/>
            </w:tcBorders>
            <w:shd w:val="clear" w:color="auto" w:fill="CFF0FC"/>
          </w:tcPr>
          <w:p>
            <w:pPr>
              <w:spacing w:after="0"/>
              <w:rPr>
                <w:sz w:val="2"/>
                <w:szCs w:val="2"/>
                <w:color w:val="auto"/>
              </w:rPr>
            </w:pPr>
          </w:p>
        </w:tc>
        <w:tc>
          <w:tcPr>
            <w:tcW w:w="2260" w:type="dxa"/>
            <w:vAlign w:val="bottom"/>
            <w:tcBorders>
              <w:top w:val="single" w:sz="8" w:color="CFF0FC"/>
            </w:tcBorders>
            <w:shd w:val="clear" w:color="auto" w:fill="CFF0FC"/>
          </w:tcPr>
          <w:p>
            <w:pPr>
              <w:spacing w:after="0"/>
              <w:rPr>
                <w:sz w:val="2"/>
                <w:szCs w:val="2"/>
                <w:color w:val="auto"/>
              </w:rPr>
            </w:pPr>
          </w:p>
        </w:tc>
        <w:tc>
          <w:tcPr>
            <w:tcW w:w="240" w:type="dxa"/>
            <w:vAlign w:val="bottom"/>
            <w:tcBorders>
              <w:top w:val="single" w:sz="8" w:color="CFF0FC"/>
            </w:tcBorders>
            <w:shd w:val="clear" w:color="auto" w:fill="CFF0FC"/>
          </w:tcPr>
          <w:p>
            <w:pPr>
              <w:spacing w:after="0"/>
              <w:rPr>
                <w:sz w:val="2"/>
                <w:szCs w:val="2"/>
                <w:color w:val="auto"/>
              </w:rPr>
            </w:pPr>
          </w:p>
        </w:tc>
        <w:tc>
          <w:tcPr>
            <w:tcW w:w="120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880" w:type="dxa"/>
            <w:vAlign w:val="bottom"/>
            <w:tcBorders>
              <w:top w:val="single" w:sz="8" w:color="CFF0FC"/>
            </w:tcBorders>
            <w:shd w:val="clear" w:color="auto" w:fill="CFF0FC"/>
          </w:tcPr>
          <w:p>
            <w:pPr>
              <w:spacing w:after="0"/>
              <w:rPr>
                <w:sz w:val="2"/>
                <w:szCs w:val="2"/>
                <w:color w:val="auto"/>
              </w:rPr>
            </w:pPr>
          </w:p>
        </w:tc>
        <w:tc>
          <w:tcPr>
            <w:tcW w:w="16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820" w:type="dxa"/>
            <w:vAlign w:val="bottom"/>
            <w:tcBorders>
              <w:top w:val="single" w:sz="8" w:color="CFF0FC"/>
            </w:tcBorders>
            <w:shd w:val="clear" w:color="auto" w:fill="CFF0FC"/>
          </w:tcPr>
          <w:p>
            <w:pPr>
              <w:spacing w:after="0"/>
              <w:rPr>
                <w:sz w:val="2"/>
                <w:szCs w:val="2"/>
                <w:color w:val="auto"/>
              </w:rPr>
            </w:pPr>
          </w:p>
        </w:tc>
      </w:tr>
      <w:tr>
        <w:trPr>
          <w:trHeight w:val="220"/>
        </w:trPr>
        <w:tc>
          <w:tcPr>
            <w:tcW w:w="3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37,039</w:t>
            </w:r>
          </w:p>
        </w:tc>
        <w:tc>
          <w:tcPr>
            <w:tcW w:w="20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37,039</w:t>
            </w:r>
          </w:p>
        </w:tc>
        <w:tc>
          <w:tcPr>
            <w:tcW w:w="160" w:type="dxa"/>
            <w:vAlign w:val="bottom"/>
          </w:tcPr>
          <w:p>
            <w:pPr>
              <w:spacing w:after="0"/>
              <w:rPr>
                <w:sz w:val="19"/>
                <w:szCs w:val="19"/>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820" w:type="dxa"/>
            <w:vAlign w:val="bottom"/>
          </w:tcPr>
          <w:p>
            <w:pPr>
              <w:ind w:left="156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0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Available-for-sale debt securities</w:t>
            </w:r>
          </w:p>
        </w:tc>
        <w:tc>
          <w:tcPr>
            <w:tcW w:w="2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14,953</w:t>
            </w:r>
          </w:p>
        </w:tc>
        <w:tc>
          <w:tcPr>
            <w:tcW w:w="160" w:type="dxa"/>
            <w:vAlign w:val="bottom"/>
            <w:shd w:val="clear" w:color="auto" w:fill="CFF0FC"/>
          </w:tcPr>
          <w:p>
            <w:pPr>
              <w:spacing w:after="0"/>
              <w:rPr>
                <w:sz w:val="20"/>
                <w:szCs w:val="20"/>
                <w:color w:val="auto"/>
              </w:rPr>
            </w:pPr>
          </w:p>
        </w:tc>
        <w:tc>
          <w:tcPr>
            <w:tcW w:w="1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14,953</w:t>
            </w:r>
          </w:p>
        </w:tc>
        <w:tc>
          <w:tcPr>
            <w:tcW w:w="140" w:type="dxa"/>
            <w:vAlign w:val="bottom"/>
            <w:shd w:val="clear" w:color="auto" w:fill="CFF0FC"/>
          </w:tcPr>
          <w:p>
            <w:pPr>
              <w:spacing w:after="0"/>
              <w:rPr>
                <w:sz w:val="20"/>
                <w:szCs w:val="20"/>
                <w:color w:val="auto"/>
              </w:rPr>
            </w:pPr>
          </w:p>
        </w:tc>
        <w:tc>
          <w:tcPr>
            <w:tcW w:w="182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0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Interest rate derivatives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14,213</w:t>
            </w:r>
          </w:p>
        </w:tc>
        <w:tc>
          <w:tcPr>
            <w:tcW w:w="160" w:type="dxa"/>
            <w:vAlign w:val="bottom"/>
          </w:tcPr>
          <w:p>
            <w:pPr>
              <w:spacing w:after="0"/>
              <w:rPr>
                <w:sz w:val="19"/>
                <w:szCs w:val="19"/>
                <w:color w:val="auto"/>
              </w:rPr>
            </w:pPr>
          </w:p>
        </w:tc>
        <w:tc>
          <w:tcPr>
            <w:tcW w:w="1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8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14,213</w:t>
            </w:r>
          </w:p>
        </w:tc>
        <w:tc>
          <w:tcPr>
            <w:tcW w:w="140" w:type="dxa"/>
            <w:vAlign w:val="bottom"/>
          </w:tcPr>
          <w:p>
            <w:pPr>
              <w:spacing w:after="0"/>
              <w:rPr>
                <w:sz w:val="19"/>
                <w:szCs w:val="19"/>
                <w:color w:val="auto"/>
              </w:rPr>
            </w:pPr>
          </w:p>
        </w:tc>
        <w:tc>
          <w:tcPr>
            <w:tcW w:w="182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6"/>
                <w:szCs w:val="16"/>
                <w:color w:val="auto"/>
              </w:rPr>
              <w:t>—</w:t>
            </w:r>
          </w:p>
        </w:tc>
      </w:tr>
      <w:tr>
        <w:trPr>
          <w:trHeight w:val="263"/>
        </w:trPr>
        <w:tc>
          <w:tcPr>
            <w:tcW w:w="3000" w:type="dxa"/>
            <w:vAlign w:val="bottom"/>
            <w:gridSpan w:val="3"/>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66,205</w:t>
            </w:r>
          </w:p>
        </w:tc>
        <w:tc>
          <w:tcPr>
            <w:tcW w:w="20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37,039</w:t>
            </w:r>
          </w:p>
        </w:tc>
        <w:tc>
          <w:tcPr>
            <w:tcW w:w="19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29,166</w:t>
            </w:r>
          </w:p>
        </w:tc>
        <w:tc>
          <w:tcPr>
            <w:tcW w:w="140" w:type="dxa"/>
            <w:vAlign w:val="bottom"/>
            <w:shd w:val="clear" w:color="auto" w:fill="CFF0FC"/>
          </w:tcPr>
          <w:p>
            <w:pPr>
              <w:spacing w:after="0"/>
              <w:rPr>
                <w:sz w:val="22"/>
                <w:szCs w:val="22"/>
                <w:color w:val="auto"/>
              </w:rPr>
            </w:pPr>
          </w:p>
        </w:tc>
        <w:tc>
          <w:tcPr>
            <w:tcW w:w="182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6"/>
                <w:szCs w:val="16"/>
                <w:color w:val="auto"/>
              </w:rPr>
              <w:t>—</w:t>
            </w:r>
          </w:p>
        </w:tc>
      </w:tr>
      <w:tr>
        <w:trPr>
          <w:trHeight w:val="163"/>
        </w:trPr>
        <w:tc>
          <w:tcPr>
            <w:tcW w:w="3000" w:type="dxa"/>
            <w:vAlign w:val="bottom"/>
            <w:tcBorders>
              <w:top w:val="single" w:sz="8" w:color="CFF0FC"/>
            </w:tcBorders>
            <w:gridSpan w:val="3"/>
          </w:tcPr>
          <w:p>
            <w:pPr>
              <w:spacing w:after="0" w:line="162"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880" w:type="dxa"/>
            <w:vAlign w:val="bottom"/>
            <w:tcBorders>
              <w:top w:val="single" w:sz="8" w:color="auto"/>
            </w:tcBorders>
          </w:tcPr>
          <w:p>
            <w:pPr>
              <w:spacing w:after="0"/>
              <w:rPr>
                <w:sz w:val="14"/>
                <w:szCs w:val="14"/>
                <w:color w:val="auto"/>
              </w:rPr>
            </w:pPr>
          </w:p>
        </w:tc>
        <w:tc>
          <w:tcPr>
            <w:tcW w:w="160" w:type="dxa"/>
            <w:vAlign w:val="bottom"/>
            <w:tcBorders>
              <w:top w:val="single" w:sz="8" w:color="CFF0FC"/>
            </w:tcBorders>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r>
      <w:tr>
        <w:trPr>
          <w:trHeight w:val="34"/>
        </w:trPr>
        <w:tc>
          <w:tcPr>
            <w:tcW w:w="48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30"/>
        </w:trPr>
        <w:tc>
          <w:tcPr>
            <w:tcW w:w="30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rate derivatives</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(1,335 )</w:t>
            </w:r>
          </w:p>
        </w:tc>
        <w:tc>
          <w:tcPr>
            <w:tcW w:w="160" w:type="dxa"/>
            <w:vAlign w:val="bottom"/>
            <w:shd w:val="clear" w:color="auto" w:fill="CFF0FC"/>
          </w:tcPr>
          <w:p>
            <w:pPr>
              <w:spacing w:after="0"/>
              <w:rPr>
                <w:sz w:val="19"/>
                <w:szCs w:val="19"/>
                <w:color w:val="auto"/>
              </w:rPr>
            </w:pPr>
          </w:p>
        </w:tc>
        <w:tc>
          <w:tcPr>
            <w:tcW w:w="18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(1,335 )</w:t>
            </w:r>
          </w:p>
        </w:tc>
        <w:tc>
          <w:tcPr>
            <w:tcW w:w="140" w:type="dxa"/>
            <w:vAlign w:val="bottom"/>
            <w:shd w:val="clear" w:color="auto" w:fill="CFF0FC"/>
          </w:tcPr>
          <w:p>
            <w:pPr>
              <w:spacing w:after="0"/>
              <w:rPr>
                <w:sz w:val="19"/>
                <w:szCs w:val="19"/>
                <w:color w:val="auto"/>
              </w:rPr>
            </w:pPr>
          </w:p>
        </w:tc>
        <w:tc>
          <w:tcPr>
            <w:tcW w:w="1820" w:type="dxa"/>
            <w:vAlign w:val="bottom"/>
            <w:shd w:val="clear" w:color="auto" w:fill="CFF0FC"/>
          </w:tcPr>
          <w:p>
            <w:pPr>
              <w:ind w:left="1560"/>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2849880</wp:posOffset>
            </wp:positionH>
            <wp:positionV relativeFrom="paragraph">
              <wp:posOffset>-2211070</wp:posOffset>
            </wp:positionV>
            <wp:extent cx="10287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2849880</wp:posOffset>
            </wp:positionH>
            <wp:positionV relativeFrom="paragraph">
              <wp:posOffset>-2193925</wp:posOffset>
            </wp:positionV>
            <wp:extent cx="10287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-2211070</wp:posOffset>
            </wp:positionV>
            <wp:extent cx="10287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-2193925</wp:posOffset>
            </wp:positionV>
            <wp:extent cx="10287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-2211070</wp:posOffset>
            </wp:positionV>
            <wp:extent cx="9461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-2193925</wp:posOffset>
            </wp:positionV>
            <wp:extent cx="9461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2849880</wp:posOffset>
            </wp:positionH>
            <wp:positionV relativeFrom="paragraph">
              <wp:posOffset>-316865</wp:posOffset>
            </wp:positionV>
            <wp:extent cx="1028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2849880</wp:posOffset>
            </wp:positionH>
            <wp:positionV relativeFrom="paragraph">
              <wp:posOffset>-299720</wp:posOffset>
            </wp:positionV>
            <wp:extent cx="10287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-316865</wp:posOffset>
            </wp:positionV>
            <wp:extent cx="10287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-299720</wp:posOffset>
            </wp:positionV>
            <wp:extent cx="10287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-316865</wp:posOffset>
            </wp:positionV>
            <wp:extent cx="9461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-299720</wp:posOffset>
            </wp:positionV>
            <wp:extent cx="9461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700" w:top="765" w:right="399" w:bottom="1440" w:gutter="0" w:footer="0" w:header="0"/>
        </w:sectPr>
      </w:pPr>
    </w:p>
    <w:bookmarkStart w:id="27" w:name="page28"/>
    <w:bookmarkEnd w:id="27"/>
    <w:p>
      <w:pPr>
        <w:jc w:val="center"/>
        <w:ind w:left="360" w:right="2660"/>
        <w:spacing w:after="0" w:line="26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2024</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0" w:hanging="339"/>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and Capital</w:t>
      </w:r>
    </w:p>
    <w:p>
      <w:pPr>
        <w:spacing w:after="0" w:line="1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Preferred Stock of the Parent Company</w:t>
      </w:r>
    </w:p>
    <w:p>
      <w:pPr>
        <w:spacing w:after="0" w:line="1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Terms and conditions of the preferred stock outstanding are summarized as follows:</w:t>
      </w:r>
    </w:p>
    <w:p>
      <w:pPr>
        <w:spacing w:after="0" w:line="187" w:lineRule="exact"/>
        <w:rPr>
          <w:sz w:val="20"/>
          <w:szCs w:val="20"/>
          <w:color w:val="auto"/>
        </w:rPr>
      </w:pPr>
    </w:p>
    <w:tbl>
      <w:tblPr>
        <w:tblLayout w:type="fixed"/>
        <w:tblInd w:w="400" w:type="dxa"/>
        <w:tblCellMar>
          <w:top w:w="0" w:type="dxa"/>
          <w:left w:w="0" w:type="dxa"/>
          <w:bottom w:w="0" w:type="dxa"/>
          <w:right w:w="0" w:type="dxa"/>
        </w:tblCellMar>
      </w:tblPr>
      <w:tr>
        <w:trPr>
          <w:trHeight w:val="225"/>
        </w:trPr>
        <w:tc>
          <w:tcPr>
            <w:tcW w:w="170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10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Preferred Stock Outstanding as of September 30, 2024 and December 31, 2023</w:t>
            </w:r>
          </w:p>
        </w:tc>
      </w:tr>
      <w:tr>
        <w:trPr>
          <w:trHeight w:val="200"/>
        </w:trPr>
        <w:tc>
          <w:tcPr>
            <w:tcW w:w="17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Shares Issued and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25"/>
        </w:trPr>
        <w:tc>
          <w:tcPr>
            <w:tcW w:w="170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 Issuance</w:t>
            </w: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Liquidation Preference</w:t>
            </w:r>
          </w:p>
        </w:tc>
        <w:tc>
          <w:tcPr>
            <w:tcW w:w="100" w:type="dxa"/>
            <w:vAlign w:val="bottom"/>
          </w:tcPr>
          <w:p>
            <w:pPr>
              <w:spacing w:after="0"/>
              <w:rPr>
                <w:sz w:val="19"/>
                <w:szCs w:val="19"/>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Distribution Rate</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Callable By Company</w:t>
            </w:r>
          </w:p>
        </w:tc>
      </w:tr>
      <w:tr>
        <w:trPr>
          <w:trHeight w:val="230"/>
        </w:trPr>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Series A</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8/18/2023</w:t>
            </w:r>
          </w:p>
        </w:tc>
        <w:tc>
          <w:tcPr>
            <w:tcW w:w="17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4,600,000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115,000,000</w:t>
            </w:r>
          </w:p>
        </w:tc>
        <w:tc>
          <w:tcPr>
            <w:tcW w:w="15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6.250%</w:t>
            </w: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On demand</w:t>
            </w:r>
          </w:p>
        </w:tc>
      </w:tr>
      <w:tr>
        <w:trPr>
          <w:trHeight w:val="226"/>
        </w:trPr>
        <w:tc>
          <w:tcPr>
            <w:tcW w:w="1700" w:type="dxa"/>
            <w:vAlign w:val="bottom"/>
          </w:tcPr>
          <w:p>
            <w:pPr>
              <w:spacing w:after="0"/>
              <w:rPr>
                <w:sz w:val="20"/>
                <w:szCs w:val="20"/>
                <w:color w:val="auto"/>
              </w:rPr>
            </w:pPr>
            <w:r>
              <w:rPr>
                <w:rFonts w:ascii="Times New Roman" w:cs="Times New Roman" w:eastAsia="Times New Roman" w:hAnsi="Times New Roman"/>
                <w:sz w:val="16"/>
                <w:szCs w:val="16"/>
                <w:color w:val="auto"/>
              </w:rPr>
              <w:t>Series B</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8/18/2023</w:t>
            </w: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4,400,000</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110,000,000</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5.875%</w:t>
            </w:r>
          </w:p>
        </w:tc>
        <w:tc>
          <w:tcPr>
            <w:tcW w:w="10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On or after 10/1/2024</w:t>
            </w:r>
          </w:p>
        </w:tc>
      </w:tr>
      <w:tr>
        <w:trPr>
          <w:trHeight w:val="260"/>
        </w:trPr>
        <w:tc>
          <w:tcPr>
            <w:tcW w:w="1700" w:type="dxa"/>
            <w:vAlign w:val="bottom"/>
            <w:tcBorders>
              <w:bottom w:val="single" w:sz="8" w:color="CFF0FC"/>
            </w:tcBorders>
            <w:shd w:val="clear" w:color="auto" w:fill="CFF0FC"/>
          </w:tcPr>
          <w:p>
            <w:pPr>
              <w:spacing w:after="0"/>
              <w:rPr>
                <w:sz w:val="22"/>
                <w:szCs w:val="22"/>
                <w:color w:val="auto"/>
              </w:rPr>
            </w:pPr>
          </w:p>
        </w:tc>
        <w:tc>
          <w:tcPr>
            <w:tcW w:w="15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6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9,000,000</w:t>
            </w:r>
          </w:p>
        </w:tc>
        <w:tc>
          <w:tcPr>
            <w:tcW w:w="12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225,000,000</w:t>
            </w:r>
          </w:p>
        </w:tc>
        <w:tc>
          <w:tcPr>
            <w:tcW w:w="10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8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3395345</wp:posOffset>
            </wp:positionH>
            <wp:positionV relativeFrom="paragraph">
              <wp:posOffset>-24765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3395345</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-24765</wp:posOffset>
            </wp:positionV>
            <wp:extent cx="6032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4664075</wp:posOffset>
            </wp:positionH>
            <wp:positionV relativeFrom="paragraph">
              <wp:posOffset>-7620</wp:posOffset>
            </wp:positionV>
            <wp:extent cx="603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2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At the Market ("ATM") Program</w:t>
      </w:r>
    </w:p>
    <w:p>
      <w:pPr>
        <w:spacing w:after="0" w:line="173" w:lineRule="exact"/>
        <w:rPr>
          <w:sz w:val="20"/>
          <w:szCs w:val="20"/>
          <w:color w:val="auto"/>
        </w:rPr>
      </w:pPr>
    </w:p>
    <w:p>
      <w:pPr>
        <w:jc w:val="both"/>
        <w:ind w:left="360"/>
        <w:spacing w:after="0" w:line="261" w:lineRule="auto"/>
        <w:rPr>
          <w:sz w:val="20"/>
          <w:szCs w:val="20"/>
          <w:color w:val="auto"/>
        </w:rPr>
      </w:pPr>
      <w:r>
        <w:rPr>
          <w:rFonts w:ascii="Times New Roman" w:cs="Times New Roman" w:eastAsia="Times New Roman" w:hAnsi="Times New Roman"/>
          <w:sz w:val="18"/>
          <w:szCs w:val="18"/>
          <w:color w:val="auto"/>
        </w:rPr>
        <w:t>Under the Parent Company's ATM Program, as authorized by the Board, the Parent Company may sell up to $500 million of common stock at prices determined by the market at the time of sale. The timing of sales, if any, will be dependent on market conditions and other factors. No sales occurred under the ATM Program during both the nine months ended September 30, 2024 and 2023. As of September 30, 2024, $500 million of common stock remained available for issuance under this ATM Program.</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173" w:lineRule="exact"/>
        <w:rPr>
          <w:sz w:val="20"/>
          <w:szCs w:val="20"/>
          <w:color w:val="auto"/>
        </w:rPr>
      </w:pPr>
    </w:p>
    <w:p>
      <w:pPr>
        <w:ind w:left="360" w:right="80"/>
        <w:spacing w:after="0" w:line="257" w:lineRule="auto"/>
        <w:rPr>
          <w:sz w:val="20"/>
          <w:szCs w:val="20"/>
          <w:color w:val="auto"/>
        </w:rPr>
      </w:pPr>
      <w:r>
        <w:rPr>
          <w:rFonts w:ascii="Times New Roman" w:cs="Times New Roman" w:eastAsia="Times New Roman" w:hAnsi="Times New Roman"/>
          <w:sz w:val="18"/>
          <w:szCs w:val="18"/>
          <w:color w:val="auto"/>
        </w:rPr>
        <w:t>On February 8, 2023, the Board authorized a common stock repurchase program under which the Company may purchase up to a maximum of $250 million of its outstanding common stock through open market transactions, and/or in privately negotiated transactions (referred to as the "Repurchase Program"). The timing and price of stock repurchases, if any, are dependent upon market conditions and other factors. The stock repurchased, if not retired, is be treated as treasury stock. The Board's authorization for the Repurchase Program was to expire on February 7, 2025, unless modified, extended or earlier terminated by the Board in its discretion. During the nine months ended September 30, 2024, the Company executed multiple trades, repurchasing 3.3 million common shares under the Repurchase Program for a total of $200 million at a weighted average price of $60.48 per share. These shares were repurchased through open market transactions in accordance with applicable federal securities laws, including Rule 10b-18 of the Exchange Act of 1934 (the "Exchange Act"). All repurchased shares were retired on their respective settlement dates.</w:t>
      </w:r>
    </w:p>
    <w:p>
      <w:pPr>
        <w:spacing w:after="0" w:line="130" w:lineRule="exact"/>
        <w:rPr>
          <w:sz w:val="20"/>
          <w:szCs w:val="20"/>
          <w:color w:val="auto"/>
        </w:rPr>
      </w:pPr>
    </w:p>
    <w:p>
      <w:pPr>
        <w:ind w:left="360" w:right="2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2023, the Company executed multiple trades, repurchasing 349,519 common shares under the Repurchase Program for a total of $20.0 million at a weighted average price of $57.22 per share. These shares were repurchased through open market transactions in accordance with applicable federal securities laws, including Rule 10b-18 of the Exchange Act. All repurchased shares were retired on their respective settlement dates.</w:t>
      </w:r>
    </w:p>
    <w:p>
      <w:pPr>
        <w:spacing w:after="0" w:line="126" w:lineRule="exact"/>
        <w:rPr>
          <w:sz w:val="20"/>
          <w:szCs w:val="20"/>
          <w:color w:val="auto"/>
        </w:rPr>
      </w:pPr>
    </w:p>
    <w:p>
      <w:pPr>
        <w:ind w:left="360" w:right="20"/>
        <w:spacing w:after="0" w:line="256" w:lineRule="auto"/>
        <w:rPr>
          <w:sz w:val="20"/>
          <w:szCs w:val="20"/>
          <w:color w:val="auto"/>
        </w:rPr>
      </w:pPr>
      <w:r>
        <w:rPr>
          <w:rFonts w:ascii="Times New Roman" w:cs="Times New Roman" w:eastAsia="Times New Roman" w:hAnsi="Times New Roman"/>
          <w:sz w:val="18"/>
          <w:szCs w:val="18"/>
          <w:color w:val="auto"/>
        </w:rPr>
        <w:t>On July 31, 2024, the Board authorized a new common stock repurchase program under which the Company may purchase up to $250 million of shares of its outstanding common stock (the "New Repurchase Program"). The New Repurchase Program replaces and supercedes, in all respects, the Repurchase Program. Under the New Repurchase Program, the Company may repurchase shares through open market transactions in accordance with applicable federal securities laws, including Rule 10b-18 of the Exchange Act. The Board's authorization for the New Repurchase Program expires on June 30, 2026, unless modified, extended or earlier terminated by the Board in its discretion. Any common stock repurchased, if not retired, will be treated as treasury stock. At September 30, 2024, $250.0 million remained available under the New Repurchase Program.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28" w:name="page29"/>
    <w:bookmarkEnd w:id="28"/>
    <w:p>
      <w:pPr>
        <w:jc w:val="center"/>
        <w:ind w:left="560" w:right="2460"/>
        <w:spacing w:after="0" w:line="26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2024</w:t>
      </w:r>
    </w:p>
    <w:p>
      <w:pPr>
        <w:spacing w:after="0" w:line="3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Preferred Units of the Operating Partnership</w:t>
      </w:r>
    </w:p>
    <w:p>
      <w:pPr>
        <w:spacing w:after="0" w:line="171" w:lineRule="exact"/>
        <w:rPr>
          <w:sz w:val="20"/>
          <w:szCs w:val="20"/>
          <w:color w:val="auto"/>
        </w:rPr>
      </w:pPr>
    </w:p>
    <w:p>
      <w:pPr>
        <w:ind w:left="360" w:right="220"/>
        <w:spacing w:after="0" w:line="282" w:lineRule="auto"/>
        <w:rPr>
          <w:sz w:val="20"/>
          <w:szCs w:val="20"/>
          <w:color w:val="auto"/>
        </w:rPr>
      </w:pPr>
      <w:r>
        <w:rPr>
          <w:rFonts w:ascii="Times New Roman" w:cs="Times New Roman" w:eastAsia="Times New Roman" w:hAnsi="Times New Roman"/>
          <w:sz w:val="18"/>
          <w:szCs w:val="18"/>
          <w:color w:val="auto"/>
        </w:rPr>
        <w:t>The number of Series A Preferred Units and Series B Preferred Units, respectively, issued by the Operating Partnership is equal to the number of Series A Preferred Stock and Series B Preferred Stock, respectively, issued by the Parent Company.</w:t>
      </w:r>
    </w:p>
    <w:p>
      <w:pPr>
        <w:spacing w:after="0" w:line="1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u w:val="single" w:color="auto"/>
          <w:color w:val="auto"/>
        </w:rPr>
        <w:t>Common Units of the Operating Partnership</w:t>
      </w:r>
    </w:p>
    <w:p>
      <w:pPr>
        <w:spacing w:after="0" w:line="171" w:lineRule="exact"/>
        <w:rPr>
          <w:sz w:val="20"/>
          <w:szCs w:val="20"/>
          <w:color w:val="auto"/>
        </w:rPr>
      </w:pPr>
    </w:p>
    <w:p>
      <w:pPr>
        <w:jc w:val="both"/>
        <w:ind w:left="360" w:right="60"/>
        <w:spacing w:after="0" w:line="258" w:lineRule="auto"/>
        <w:rPr>
          <w:sz w:val="20"/>
          <w:szCs w:val="20"/>
          <w:color w:val="auto"/>
        </w:rPr>
      </w:pPr>
      <w:r>
        <w:rPr>
          <w:rFonts w:ascii="Times New Roman" w:cs="Times New Roman" w:eastAsia="Times New Roman" w:hAnsi="Times New Roman"/>
          <w:sz w:val="18"/>
          <w:szCs w:val="18"/>
          <w:color w:val="auto"/>
        </w:rPr>
        <w:t>Common Units are issued, or redeemed and retired, for each share of the Parent Company stock issued or redeemed, or retired, as described above. During the nine months ended September 30, 2024, 10,795 Partnership Units were converted to Parent Company common stock. During the nine months ended September 30, 2023 the Operating Partnership issued 338,704 exchangeable operating partnership units, valued at $20.0 million, as partial purchase price consideration for a development property. In addition, 3,340 unrelated Partnership Units were converted to Parent Company common stock during the same period in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Stock-Based Compensation</w:t>
      </w:r>
    </w:p>
    <w:p>
      <w:pPr>
        <w:spacing w:after="0" w:line="185" w:lineRule="exact"/>
        <w:rPr>
          <w:sz w:val="20"/>
          <w:szCs w:val="20"/>
          <w:color w:val="auto"/>
        </w:rPr>
      </w:pPr>
    </w:p>
    <w:p>
      <w:pPr>
        <w:ind w:left="36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the Company granted 350,391 shares of restricted stock with a weighted-average grant-date fair value of $60.35 per share. During the nine months ended September 30, 2023, the Company granted 301,099 shares of restricted stock with a weighted-average grant-date fair value of $68.29 per share. The Company records stock-based compensation expense within General and administrative expenses in the accompanying Consolidated Statements of Operations, and recognizes forfeitures as they occur.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Earnings per Share and Unit</w:t>
      </w:r>
    </w:p>
    <w:p>
      <w:pPr>
        <w:spacing w:after="0" w:line="18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Parent Company Earnings per Share</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summarizes the calculation of basic and diluted earnings per share:</w:t>
      </w:r>
    </w:p>
    <w:p>
      <w:pPr>
        <w:spacing w:after="0" w:line="228"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2540" w:type="dxa"/>
            <w:vAlign w:val="bottom"/>
            <w:gridSpan w:val="5"/>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5"/>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25"/>
        </w:trPr>
        <w:tc>
          <w:tcPr>
            <w:tcW w:w="5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139"/>
              <w:spacing w:after="0"/>
              <w:rPr>
                <w:sz w:val="20"/>
                <w:szCs w:val="20"/>
                <w:color w:val="auto"/>
              </w:rPr>
            </w:pPr>
            <w:r>
              <w:rPr>
                <w:rFonts w:ascii="Times New Roman" w:cs="Times New Roman" w:eastAsia="Times New Roman" w:hAnsi="Times New Roman"/>
                <w:sz w:val="16"/>
                <w:szCs w:val="16"/>
                <w:b w:val="1"/>
                <w:bCs w:val="1"/>
                <w:color w:val="auto"/>
              </w:rPr>
              <w:t>30,</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 except per share data)</w:t>
            </w:r>
          </w:p>
        </w:tc>
        <w:tc>
          <w:tcPr>
            <w:tcW w:w="240" w:type="dxa"/>
            <w:vAlign w:val="bottom"/>
          </w:tcPr>
          <w:p>
            <w:pPr>
              <w:spacing w:after="0"/>
              <w:rPr>
                <w:sz w:val="19"/>
                <w:szCs w:val="19"/>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60" w:type="dxa"/>
            <w:vAlign w:val="bottom"/>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r>
      <w:tr>
        <w:trPr>
          <w:trHeight w:val="223"/>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attributable to common shareholders - basic</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98,056</w:t>
            </w:r>
          </w:p>
        </w:tc>
        <w:tc>
          <w:tcPr>
            <w:tcW w:w="14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89,076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273,139</w:t>
            </w:r>
          </w:p>
        </w:tc>
      </w:tr>
      <w:tr>
        <w:trPr>
          <w:trHeight w:val="20"/>
        </w:trPr>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5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income attributable to common shareholders - diluted</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98,056</w:t>
            </w:r>
          </w:p>
        </w:tc>
        <w:tc>
          <w:tcPr>
            <w:tcW w:w="146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89,076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303,672</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273,139</w:t>
            </w:r>
          </w:p>
        </w:tc>
      </w:tr>
      <w:tr>
        <w:trPr>
          <w:trHeight w:val="208"/>
        </w:trPr>
        <w:tc>
          <w:tcPr>
            <w:tcW w:w="5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72"/>
        </w:trPr>
        <w:tc>
          <w:tcPr>
            <w:tcW w:w="55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Weighted average common shares outstanding for basic EPS</w:t>
            </w:r>
          </w:p>
        </w:tc>
        <w:tc>
          <w:tcPr>
            <w:tcW w:w="240" w:type="dxa"/>
            <w:vAlign w:val="bottom"/>
            <w:tcBorders>
              <w:bottom w:val="single" w:sz="8" w:color="auto"/>
            </w:tcBorders>
            <w:shd w:val="clear" w:color="auto" w:fill="CFF0FC"/>
          </w:tcPr>
          <w:p>
            <w:pPr>
              <w:spacing w:after="0"/>
              <w:rPr>
                <w:sz w:val="23"/>
                <w:szCs w:val="2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181,498</w:t>
            </w:r>
          </w:p>
        </w:tc>
        <w:tc>
          <w:tcPr>
            <w:tcW w:w="100" w:type="dxa"/>
            <w:vAlign w:val="bottom"/>
            <w:tcBorders>
              <w:bottom w:val="single" w:sz="8" w:color="auto"/>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177,344</w:t>
            </w:r>
          </w:p>
        </w:tc>
        <w:tc>
          <w:tcPr>
            <w:tcW w:w="1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183,281</w:t>
            </w:r>
          </w:p>
        </w:tc>
        <w:tc>
          <w:tcPr>
            <w:tcW w:w="100" w:type="dxa"/>
            <w:vAlign w:val="bottom"/>
            <w:tcBorders>
              <w:bottom w:val="single" w:sz="8" w:color="auto"/>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auto"/>
            </w:tcBorders>
            <w:shd w:val="clear" w:color="auto" w:fill="CFF0FC"/>
          </w:tcPr>
          <w:p>
            <w:pPr>
              <w:spacing w:after="0"/>
              <w:rPr>
                <w:sz w:val="23"/>
                <w:szCs w:val="23"/>
                <w:color w:val="auto"/>
              </w:rPr>
            </w:pP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173,212</w:t>
            </w:r>
          </w:p>
        </w:tc>
      </w:tr>
      <w:tr>
        <w:trPr>
          <w:trHeight w:val="217"/>
        </w:trPr>
        <w:tc>
          <w:tcPr>
            <w:tcW w:w="5500" w:type="dxa"/>
            <w:vAlign w:val="bottom"/>
          </w:tcPr>
          <w:p>
            <w:pPr>
              <w:ind w:left="180"/>
              <w:spacing w:after="0" w:line="217" w:lineRule="exact"/>
              <w:rPr>
                <w:sz w:val="20"/>
                <w:szCs w:val="20"/>
                <w:color w:val="auto"/>
              </w:rPr>
            </w:pPr>
            <w:r>
              <w:rPr>
                <w:rFonts w:ascii="Times New Roman" w:cs="Times New Roman" w:eastAsia="Times New Roman" w:hAnsi="Times New Roman"/>
                <w:sz w:val="16"/>
                <w:szCs w:val="16"/>
                <w:color w:val="auto"/>
              </w:rPr>
              <w:t xml:space="preserve">Weighted average common shares outstanding for diluted EPS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181,772</w:t>
            </w:r>
          </w:p>
        </w:tc>
        <w:tc>
          <w:tcPr>
            <w:tcW w:w="14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178,231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173,711</w:t>
            </w:r>
          </w:p>
        </w:tc>
      </w:tr>
      <w:tr>
        <w:trPr>
          <w:trHeight w:val="20"/>
        </w:trPr>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income per common share – basic</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46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4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r>
      <w:tr>
        <w:trPr>
          <w:trHeight w:val="212"/>
        </w:trPr>
        <w:tc>
          <w:tcPr>
            <w:tcW w:w="5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per common share – diluted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4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0.50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-794385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-777240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-794385</wp:posOffset>
            </wp:positionV>
            <wp:extent cx="1028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-777240</wp:posOffset>
            </wp:positionV>
            <wp:extent cx="10287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-794385</wp:posOffset>
            </wp:positionV>
            <wp:extent cx="9461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-777240</wp:posOffset>
            </wp:positionV>
            <wp:extent cx="9461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-476885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-459740</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-476885</wp:posOffset>
            </wp:positionV>
            <wp:extent cx="10287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-459740</wp:posOffset>
            </wp:positionV>
            <wp:extent cx="10287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-476885</wp:posOffset>
            </wp:positionV>
            <wp:extent cx="9461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-459740</wp:posOffset>
            </wp:positionV>
            <wp:extent cx="9461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49" w:lineRule="exact"/>
        <w:rPr>
          <w:sz w:val="20"/>
          <w:szCs w:val="20"/>
          <w:color w:val="auto"/>
        </w:rPr>
      </w:pPr>
    </w:p>
    <w:p>
      <w:pPr>
        <w:ind w:left="280"/>
        <w:spacing w:after="0"/>
        <w:tabs>
          <w:tab w:leader="none" w:pos="520" w:val="left"/>
        </w:tabs>
        <w:rPr>
          <w:sz w:val="20"/>
          <w:szCs w:val="20"/>
          <w:color w:val="auto"/>
        </w:rPr>
      </w:pPr>
      <w:r>
        <w:rPr>
          <w:rFonts w:ascii="Times New Roman" w:cs="Times New Roman" w:eastAsia="Times New Roman" w:hAnsi="Times New Roman"/>
          <w:sz w:val="22"/>
          <w:szCs w:val="22"/>
          <w:color w:val="auto"/>
          <w:vertAlign w:val="superscript"/>
        </w:rPr>
        <w:t>(1)</w:t>
      </w:r>
      <w:r>
        <w:rPr>
          <w:sz w:val="20"/>
          <w:szCs w:val="20"/>
          <w:color w:val="auto"/>
        </w:rPr>
        <w:tab/>
      </w:r>
      <w:r>
        <w:rPr>
          <w:rFonts w:ascii="Times New Roman" w:cs="Times New Roman" w:eastAsia="Times New Roman" w:hAnsi="Times New Roman"/>
          <w:sz w:val="16"/>
          <w:szCs w:val="16"/>
          <w:color w:val="auto"/>
        </w:rPr>
        <w:t>Includes the dilutive impact of unvested restricted stock.</w:t>
      </w:r>
    </w:p>
    <w:p>
      <w:pPr>
        <w:spacing w:after="0" w:line="150" w:lineRule="exact"/>
        <w:rPr>
          <w:sz w:val="20"/>
          <w:szCs w:val="20"/>
          <w:color w:val="auto"/>
        </w:rPr>
      </w:pPr>
    </w:p>
    <w:p>
      <w:pPr>
        <w:ind w:left="360" w:right="20"/>
        <w:spacing w:after="0" w:line="261" w:lineRule="auto"/>
        <w:rPr>
          <w:sz w:val="20"/>
          <w:szCs w:val="20"/>
          <w:color w:val="auto"/>
        </w:rPr>
      </w:pPr>
      <w:r>
        <w:rPr>
          <w:rFonts w:ascii="Times New Roman" w:cs="Times New Roman" w:eastAsia="Times New Roman" w:hAnsi="Times New Roman"/>
          <w:sz w:val="18"/>
          <w:szCs w:val="18"/>
          <w:color w:val="auto"/>
        </w:rPr>
        <w:t>The effect of the assumed conversion of the EOP units and certain other convertible units had an anti-dilutive effect upon the calculation of net income to the common shareholders per share. Accordingly, the impact of such assumed conversions has not been included in the determination of diluted net income per share calculations. Weighted average EOP units outstanding were 1,099,516 and 1,080,101 for the three months ended September 30, 2024 and 2023, and 1,100,039 and 909,527 for the nine months ended September 30, 2024 and 2023, respectively.</w:t>
      </w:r>
    </w:p>
    <w:p>
      <w:pPr>
        <w:spacing w:after="0" w:line="1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765" w:right="559" w:bottom="1440" w:gutter="0" w:footer="0" w:header="0"/>
        </w:sectPr>
      </w:pPr>
    </w:p>
    <w:bookmarkStart w:id="29" w:name="page30"/>
    <w:bookmarkEnd w:id="29"/>
    <w:p>
      <w:pPr>
        <w:jc w:val="center"/>
        <w:ind w:left="360" w:right="2660"/>
        <w:spacing w:after="0" w:line="268" w:lineRule="auto"/>
        <w:rPr>
          <w:sz w:val="20"/>
          <w:szCs w:val="20"/>
          <w:color w:val="auto"/>
        </w:rPr>
      </w:pPr>
      <w:r>
        <w:rPr>
          <w:rFonts w:ascii="Times New Roman" w:cs="Times New Roman" w:eastAsia="Times New Roman" w:hAnsi="Times New Roman"/>
          <w:sz w:val="18"/>
          <w:szCs w:val="18"/>
          <w:b w:val="1"/>
          <w:bCs w:val="1"/>
          <w:color w:val="auto"/>
        </w:rPr>
        <w:t>REGENCY CENTERS CORPORATION AND REGENCY CENTERS, L.P. Notes to Unaudited Consolidated Financial Statements September 30, 2024</w:t>
      </w:r>
    </w:p>
    <w:p>
      <w:pPr>
        <w:spacing w:after="0" w:line="3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Operating Partnership Earnings per Unit</w:t>
      </w:r>
    </w:p>
    <w:p>
      <w:pPr>
        <w:spacing w:after="0" w:line="17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summarizes the calculation of basic and diluted earnings per unit ("EPU"):</w:t>
      </w:r>
    </w:p>
    <w:p>
      <w:pPr>
        <w:spacing w:after="0" w:line="228"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5500" w:type="dxa"/>
            <w:vAlign w:val="bottom"/>
          </w:tcPr>
          <w:p>
            <w:pPr>
              <w:spacing w:after="0"/>
              <w:rPr>
                <w:sz w:val="17"/>
                <w:szCs w:val="17"/>
                <w:color w:val="auto"/>
              </w:rPr>
            </w:pPr>
          </w:p>
        </w:tc>
        <w:tc>
          <w:tcPr>
            <w:tcW w:w="2540" w:type="dxa"/>
            <w:vAlign w:val="bottom"/>
            <w:gridSpan w:val="5"/>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60" w:type="dxa"/>
            <w:vAlign w:val="bottom"/>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25"/>
        </w:trPr>
        <w:tc>
          <w:tcPr>
            <w:tcW w:w="5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1139"/>
              <w:spacing w:after="0"/>
              <w:rPr>
                <w:sz w:val="20"/>
                <w:szCs w:val="20"/>
                <w:color w:val="auto"/>
              </w:rPr>
            </w:pPr>
            <w:r>
              <w:rPr>
                <w:rFonts w:ascii="Times New Roman" w:cs="Times New Roman" w:eastAsia="Times New Roman" w:hAnsi="Times New Roman"/>
                <w:sz w:val="16"/>
                <w:szCs w:val="16"/>
                <w:b w:val="1"/>
                <w:bCs w:val="1"/>
                <w:color w:val="auto"/>
              </w:rPr>
              <w:t>30,</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w w:val="99"/>
              </w:rPr>
              <w:t>30,</w:t>
            </w:r>
          </w:p>
        </w:tc>
      </w:tr>
      <w:tr>
        <w:trPr>
          <w:trHeight w:val="230"/>
        </w:trPr>
        <w:tc>
          <w:tcPr>
            <w:tcW w:w="55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 except per unit data)</w:t>
            </w:r>
          </w:p>
        </w:tc>
        <w:tc>
          <w:tcPr>
            <w:tcW w:w="240" w:type="dxa"/>
            <w:vAlign w:val="bottom"/>
          </w:tcPr>
          <w:p>
            <w:pPr>
              <w:spacing w:after="0"/>
              <w:rPr>
                <w:sz w:val="19"/>
                <w:szCs w:val="19"/>
                <w:color w:val="auto"/>
              </w:rPr>
            </w:pPr>
          </w:p>
        </w:tc>
        <w:tc>
          <w:tcPr>
            <w:tcW w:w="8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60" w:type="dxa"/>
            <w:vAlign w:val="bottom"/>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0" w:type="dxa"/>
            <w:vAlign w:val="bottom"/>
            <w:gridSpan w:val="3"/>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3"/>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r>
      <w:tr>
        <w:trPr>
          <w:trHeight w:val="223"/>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attributable to common unit holders - basic</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98,649</w:t>
            </w:r>
          </w:p>
        </w:tc>
        <w:tc>
          <w:tcPr>
            <w:tcW w:w="14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89,596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305,508</w:t>
            </w:r>
          </w:p>
        </w:tc>
        <w:tc>
          <w:tcPr>
            <w:tcW w:w="140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274,629</w:t>
            </w:r>
          </w:p>
        </w:tc>
      </w:tr>
      <w:tr>
        <w:trPr>
          <w:trHeight w:val="20"/>
        </w:trPr>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50"/>
        </w:trPr>
        <w:tc>
          <w:tcPr>
            <w:tcW w:w="55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income attributable to common unit holders - diluted</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98,649</w:t>
            </w:r>
          </w:p>
        </w:tc>
        <w:tc>
          <w:tcPr>
            <w:tcW w:w="146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89,596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305,508</w:t>
            </w:r>
          </w:p>
        </w:tc>
        <w:tc>
          <w:tcPr>
            <w:tcW w:w="140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274,629</w:t>
            </w:r>
          </w:p>
        </w:tc>
      </w:tr>
      <w:tr>
        <w:trPr>
          <w:trHeight w:val="208"/>
        </w:trPr>
        <w:tc>
          <w:tcPr>
            <w:tcW w:w="5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72"/>
        </w:trPr>
        <w:tc>
          <w:tcPr>
            <w:tcW w:w="55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Weighted average common units outstanding for basic EPU</w:t>
            </w:r>
          </w:p>
        </w:tc>
        <w:tc>
          <w:tcPr>
            <w:tcW w:w="240" w:type="dxa"/>
            <w:vAlign w:val="bottom"/>
            <w:tcBorders>
              <w:bottom w:val="single" w:sz="8" w:color="auto"/>
            </w:tcBorders>
            <w:shd w:val="clear" w:color="auto" w:fill="CFF0FC"/>
          </w:tcPr>
          <w:p>
            <w:pPr>
              <w:spacing w:after="0"/>
              <w:rPr>
                <w:sz w:val="23"/>
                <w:szCs w:val="23"/>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182,597</w:t>
            </w:r>
          </w:p>
        </w:tc>
        <w:tc>
          <w:tcPr>
            <w:tcW w:w="100" w:type="dxa"/>
            <w:vAlign w:val="bottom"/>
            <w:tcBorders>
              <w:bottom w:val="single" w:sz="8" w:color="auto"/>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178,424</w:t>
            </w:r>
          </w:p>
        </w:tc>
        <w:tc>
          <w:tcPr>
            <w:tcW w:w="1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spacing w:after="0"/>
              <w:rPr>
                <w:sz w:val="23"/>
                <w:szCs w:val="23"/>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184,381</w:t>
            </w:r>
          </w:p>
        </w:tc>
        <w:tc>
          <w:tcPr>
            <w:tcW w:w="100" w:type="dxa"/>
            <w:vAlign w:val="bottom"/>
            <w:tcBorders>
              <w:bottom w:val="single" w:sz="8" w:color="auto"/>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174,121</w:t>
            </w:r>
          </w:p>
        </w:tc>
      </w:tr>
      <w:tr>
        <w:trPr>
          <w:trHeight w:val="217"/>
        </w:trPr>
        <w:tc>
          <w:tcPr>
            <w:tcW w:w="5500" w:type="dxa"/>
            <w:vAlign w:val="bottom"/>
          </w:tcPr>
          <w:p>
            <w:pPr>
              <w:ind w:left="180"/>
              <w:spacing w:after="0" w:line="217" w:lineRule="exact"/>
              <w:rPr>
                <w:sz w:val="20"/>
                <w:szCs w:val="20"/>
                <w:color w:val="auto"/>
              </w:rPr>
            </w:pPr>
            <w:r>
              <w:rPr>
                <w:rFonts w:ascii="Times New Roman" w:cs="Times New Roman" w:eastAsia="Times New Roman" w:hAnsi="Times New Roman"/>
                <w:sz w:val="16"/>
                <w:szCs w:val="16"/>
                <w:color w:val="auto"/>
              </w:rPr>
              <w:t xml:space="preserve">Weighted average common units outstanding for diluted EPU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182,872</w:t>
            </w:r>
          </w:p>
        </w:tc>
        <w:tc>
          <w:tcPr>
            <w:tcW w:w="14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179,311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184,548</w:t>
            </w:r>
          </w:p>
        </w:tc>
        <w:tc>
          <w:tcPr>
            <w:tcW w:w="140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174,621</w:t>
            </w:r>
          </w:p>
        </w:tc>
      </w:tr>
      <w:tr>
        <w:trPr>
          <w:trHeight w:val="20"/>
        </w:trPr>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Net income per common unit – basic</w:t>
            </w: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46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0.50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40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w:t>
            </w:r>
          </w:p>
        </w:tc>
      </w:tr>
      <w:tr>
        <w:trPr>
          <w:trHeight w:val="212"/>
        </w:trPr>
        <w:tc>
          <w:tcPr>
            <w:tcW w:w="5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per common unit – diluted</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46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0.50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40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1.57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4424045</wp:posOffset>
            </wp:positionH>
            <wp:positionV relativeFrom="paragraph">
              <wp:posOffset>-794385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-777240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-794385</wp:posOffset>
            </wp:positionV>
            <wp:extent cx="10287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-777240</wp:posOffset>
            </wp:positionV>
            <wp:extent cx="1028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-794385</wp:posOffset>
            </wp:positionV>
            <wp:extent cx="603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-777240</wp:posOffset>
            </wp:positionV>
            <wp:extent cx="6032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-476885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4424045</wp:posOffset>
            </wp:positionH>
            <wp:positionV relativeFrom="paragraph">
              <wp:posOffset>-459740</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-476885</wp:posOffset>
            </wp:positionV>
            <wp:extent cx="10287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5281295</wp:posOffset>
            </wp:positionH>
            <wp:positionV relativeFrom="paragraph">
              <wp:posOffset>-459740</wp:posOffset>
            </wp:positionV>
            <wp:extent cx="10287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-476885</wp:posOffset>
            </wp:positionV>
            <wp:extent cx="6032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6121400</wp:posOffset>
            </wp:positionH>
            <wp:positionV relativeFrom="paragraph">
              <wp:posOffset>-459740</wp:posOffset>
            </wp:positionV>
            <wp:extent cx="6032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49" w:lineRule="exact"/>
        <w:rPr>
          <w:sz w:val="20"/>
          <w:szCs w:val="20"/>
          <w:color w:val="auto"/>
        </w:rPr>
      </w:pPr>
    </w:p>
    <w:p>
      <w:pPr>
        <w:ind w:left="280"/>
        <w:spacing w:after="0"/>
        <w:tabs>
          <w:tab w:leader="none" w:pos="520" w:val="left"/>
        </w:tabs>
        <w:rPr>
          <w:sz w:val="20"/>
          <w:szCs w:val="20"/>
          <w:color w:val="auto"/>
        </w:rPr>
      </w:pPr>
      <w:r>
        <w:rPr>
          <w:rFonts w:ascii="Times New Roman" w:cs="Times New Roman" w:eastAsia="Times New Roman" w:hAnsi="Times New Roman"/>
          <w:sz w:val="22"/>
          <w:szCs w:val="22"/>
          <w:color w:val="auto"/>
          <w:vertAlign w:val="superscript"/>
        </w:rPr>
        <w:t>(1)</w:t>
      </w:r>
      <w:r>
        <w:rPr>
          <w:sz w:val="20"/>
          <w:szCs w:val="20"/>
          <w:color w:val="auto"/>
        </w:rPr>
        <w:tab/>
      </w:r>
      <w:r>
        <w:rPr>
          <w:rFonts w:ascii="Times New Roman" w:cs="Times New Roman" w:eastAsia="Times New Roman" w:hAnsi="Times New Roman"/>
          <w:sz w:val="16"/>
          <w:szCs w:val="16"/>
          <w:color w:val="auto"/>
        </w:rPr>
        <w:t>Includes the dilutive impact of unvested restricted stock.</w:t>
      </w:r>
    </w:p>
    <w:p>
      <w:pPr>
        <w:spacing w:after="0" w:line="150" w:lineRule="exact"/>
        <w:rPr>
          <w:sz w:val="20"/>
          <w:szCs w:val="20"/>
          <w:color w:val="auto"/>
        </w:rPr>
      </w:pPr>
    </w:p>
    <w:p>
      <w:pPr>
        <w:ind w:left="360"/>
        <w:spacing w:after="0" w:line="266" w:lineRule="auto"/>
        <w:rPr>
          <w:sz w:val="20"/>
          <w:szCs w:val="20"/>
          <w:color w:val="auto"/>
        </w:rPr>
      </w:pPr>
      <w:r>
        <w:rPr>
          <w:rFonts w:ascii="Times New Roman" w:cs="Times New Roman" w:eastAsia="Times New Roman" w:hAnsi="Times New Roman"/>
          <w:sz w:val="18"/>
          <w:szCs w:val="18"/>
          <w:color w:val="212529"/>
        </w:rPr>
        <w:t>The effect of the assumed conversion of certain other convertible units had an anti-dilutive effect upon the calculation of net income to the common unit holders per share. Accordingly, the impact of such assumed conversions has not been included in the determination of diluted net income per unit calculations.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Commitments and Contingencies</w:t>
      </w:r>
    </w:p>
    <w:p>
      <w:pPr>
        <w:spacing w:after="0" w:line="2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73" w:lineRule="exact"/>
        <w:rPr>
          <w:sz w:val="20"/>
          <w:szCs w:val="20"/>
          <w:color w:val="auto"/>
        </w:rPr>
      </w:pPr>
    </w:p>
    <w:p>
      <w:pPr>
        <w:ind w:left="360" w:right="20"/>
        <w:spacing w:after="0" w:line="261" w:lineRule="auto"/>
        <w:rPr>
          <w:sz w:val="20"/>
          <w:szCs w:val="20"/>
          <w:color w:val="auto"/>
        </w:rPr>
      </w:pPr>
      <w:r>
        <w:rPr>
          <w:rFonts w:ascii="Times New Roman" w:cs="Times New Roman" w:eastAsia="Times New Roman" w:hAnsi="Times New Roman"/>
          <w:sz w:val="18"/>
          <w:szCs w:val="18"/>
          <w:color w:val="auto"/>
        </w:rPr>
        <w:t xml:space="preserve">The Company is a party to litigation and other disputes that arise in the ordinary course of business. While the outcome of any particular lawsuit or dispute cannot be predicted with certainty, in the opinion of management, the Company's currently pending litigation and disputes are not expected to have a material adverse effect on the Company's consolidated financial position, results of operations, or liquidity </w:t>
      </w:r>
      <w:r>
        <w:rPr>
          <w:rFonts w:ascii="Times New Roman" w:cs="Times New Roman" w:eastAsia="Times New Roman" w:hAnsi="Times New Roman"/>
          <w:sz w:val="18"/>
          <w:szCs w:val="18"/>
          <w:color w:val="212529"/>
        </w:rPr>
        <w:t>of the Company taken as a whole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of </w:t>
      </w:r>
      <w:r>
        <w:rPr>
          <w:rFonts w:ascii="Times New Roman" w:cs="Times New Roman" w:eastAsia="Times New Roman" w:hAnsi="Times New Roman"/>
          <w:sz w:val="18"/>
          <w:szCs w:val="18"/>
          <w:color w:val="000000"/>
        </w:rPr>
        <w:t>September 30, 2024.</w:t>
      </w:r>
    </w:p>
    <w:p>
      <w:pPr>
        <w:spacing w:after="0" w:line="12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Environmental</w:t>
      </w:r>
    </w:p>
    <w:p>
      <w:pPr>
        <w:spacing w:after="0" w:line="173" w:lineRule="exact"/>
        <w:rPr>
          <w:sz w:val="20"/>
          <w:szCs w:val="20"/>
          <w:color w:val="auto"/>
        </w:rPr>
      </w:pPr>
    </w:p>
    <w:p>
      <w:pPr>
        <w:ind w:left="360"/>
        <w:spacing w:after="0" w:line="254" w:lineRule="auto"/>
        <w:rPr>
          <w:sz w:val="20"/>
          <w:szCs w:val="20"/>
          <w:color w:val="auto"/>
        </w:rPr>
      </w:pPr>
      <w:r>
        <w:rPr>
          <w:rFonts w:ascii="Times New Roman" w:cs="Times New Roman" w:eastAsia="Times New Roman" w:hAnsi="Times New Roman"/>
          <w:sz w:val="18"/>
          <w:szCs w:val="18"/>
          <w:color w:val="auto"/>
        </w:rPr>
        <w:t>The Company is subject to numerous environmental laws and regulations. With respect to applicability to the Company, these pertain primarily to chemicals historically used by certain current and former dry cleaning tenants, the existence of asbestos in older shopping centers, underground petroleum storage tanks and other historic land uses. The Company believes that the ultimate disposition of currently known environmental matters will not have a material effect on its financial position, liquidity, or operations. The Company can give no assurance that existing environmental studies with respect to its shopping centers have revealed all potential environmental contamination; that its estimate of liabilities will not change as more information becomes available; that any previous owner, occupant or tenant did not create any material environmental condition not known to the Company; that the current environmental condition of the shopping centers will not be affected by tenants and occupants, by the condition of nearby properties, or by unrelated third parties; and that changes in applicable environmental laws and regulations or their interpretation will not result in additional environmental liability to the Company.</w:t>
      </w:r>
    </w:p>
    <w:p>
      <w:pPr>
        <w:spacing w:after="0" w:line="130" w:lineRule="exact"/>
        <w:rPr>
          <w:sz w:val="20"/>
          <w:szCs w:val="20"/>
          <w:color w:val="auto"/>
        </w:rPr>
      </w:pPr>
    </w:p>
    <w:p>
      <w:pPr>
        <w:ind w:left="360" w:right="40"/>
        <w:spacing w:after="0" w:line="289" w:lineRule="auto"/>
        <w:rPr>
          <w:sz w:val="20"/>
          <w:szCs w:val="20"/>
          <w:color w:val="auto"/>
        </w:rPr>
      </w:pPr>
      <w:r>
        <w:rPr>
          <w:rFonts w:ascii="Times New Roman" w:cs="Times New Roman" w:eastAsia="Times New Roman" w:hAnsi="Times New Roman"/>
          <w:sz w:val="18"/>
          <w:szCs w:val="18"/>
          <w:color w:val="auto"/>
        </w:rPr>
        <w:t xml:space="preserve">The Company had accrued liabilities of $18.4 million and $16.5 million for environmental remediation, which are </w:t>
      </w:r>
      <w:r>
        <w:rPr>
          <w:rFonts w:ascii="Times New Roman" w:cs="Times New Roman" w:eastAsia="Times New Roman" w:hAnsi="Times New Roman"/>
          <w:sz w:val="19"/>
          <w:szCs w:val="19"/>
          <w:color w:val="auto"/>
        </w:rPr>
        <w:t>i</w:t>
      </w:r>
      <w:r>
        <w:rPr>
          <w:rFonts w:ascii="Times New Roman" w:cs="Times New Roman" w:eastAsia="Times New Roman" w:hAnsi="Times New Roman"/>
          <w:sz w:val="18"/>
          <w:szCs w:val="18"/>
          <w:color w:val="auto"/>
        </w:rPr>
        <w:t>ncluded in Accounts payable, and other liabilities on the Company’s Consolidated Balance Sheets as of September 30, 2024 and December 31, 2023, respectively.</w:t>
      </w:r>
    </w:p>
    <w:p>
      <w:pPr>
        <w:spacing w:after="0" w:line="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173" w:lineRule="exact"/>
        <w:rPr>
          <w:sz w:val="20"/>
          <w:szCs w:val="20"/>
          <w:color w:val="auto"/>
        </w:rPr>
      </w:pPr>
    </w:p>
    <w:p>
      <w:pPr>
        <w:ind w:left="360" w:right="60"/>
        <w:spacing w:after="0" w:line="261" w:lineRule="auto"/>
        <w:rPr>
          <w:sz w:val="20"/>
          <w:szCs w:val="20"/>
          <w:color w:val="auto"/>
        </w:rPr>
      </w:pPr>
      <w:r>
        <w:rPr>
          <w:rFonts w:ascii="Times New Roman" w:cs="Times New Roman" w:eastAsia="Times New Roman" w:hAnsi="Times New Roman"/>
          <w:sz w:val="18"/>
          <w:szCs w:val="18"/>
          <w:color w:val="auto"/>
        </w:rPr>
        <w:t>The Company has the right to issue letters of credit under the Line up to an aggregate amount not to exceed $50.0 million, which reduces the credit availability under the Line. These letters of credit are primarily issued as collateral on behalf of its captive insurance subsidiary and to facilitate the construction of development projects. The Company had $10.9 million and $8.5 million in letters of credit outstanding as of September 30, 2024 and December 31, 2023,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765" w:right="359" w:bottom="1440" w:gutter="0" w:footer="0" w:header="0"/>
        </w:sectPr>
      </w:pPr>
    </w:p>
    <w:bookmarkStart w:id="30" w:name="page31"/>
    <w:bookmarkEnd w:id="30"/>
    <w:p>
      <w:pPr>
        <w:ind w:right="380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b w:val="1"/>
          <w:bCs w:val="1"/>
          <w:u w:val="single" w:color="auto"/>
          <w:color w:val="auto"/>
        </w:rPr>
        <w:t>Forward-Looking Statements</w:t>
      </w:r>
    </w:p>
    <w:p>
      <w:pPr>
        <w:spacing w:after="0" w:line="1"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7"/>
          <w:szCs w:val="17"/>
          <w:color w:val="404040"/>
        </w:rPr>
        <w:t>Certain statements in this document regarding anticipated financial, business, legal or other outcomes including business and market conditions, outlook and other similar statements relating to Regency's future events, developments, or financial or operational performance or results, are "forward-looking statements" made pursuant to the safe harbor provisions of the Private Securities Litigation Reform Act of 1995 and other federal securities laws. These forward-looking statements are identified by the use of words such as "may," "will," "could," "should," "would," "expect," "estimate," "believe," "intend," "forecast," "project," "plan," "anticipate," "guidance," and other similar language. However, the absence of these or similar words or expressions does not mean a statement is not forward-looking. While we believe these forward-looking statements are reasonable when made, forward-looking statements are not guarantees of future performance or events and undue reliance should not be placed on these statements. Although we believe the expectations reflected in any forward-looking statements are based on reasonable assumptions, we can give no assurance these expectations will be attained, and it is possible actual results may differ materially from those indicated by these forward-looking statements due to a variety of risks and uncertainties.</w:t>
      </w:r>
    </w:p>
    <w:p>
      <w:pPr>
        <w:spacing w:after="0" w:line="11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404040"/>
        </w:rPr>
        <w:t>Our operations are subject to a number of risks and uncertainties including, but not limited to, risk factors described in our Securities and Exchange Commission ("SEC") filings, which include our Annual Report on Form 10-K for the year ended December 31, 2023 ("2023 Form 10-K") under Item 1A. "Risk Factors" and in Part II, Item 1A. "Risk Factors" in this Report. When considering an investment in our securities, you should carefully read and consider these risks, together with all other information in our most recent 2023 Form 10-K, subsequent Quarterly Reports on Form 10-Q, and our other filings with and submissions to the SEC. If any of the events described in the risk factors actually occur, our business, financial condition or operating results, as well as the market price of our securities, could be materially adversely affected. Forward-looking statements are only as of the date they are made, and Regency undertakes no duty to update its forward-looking statements, whether as a result of new information, future events or developments or otherwise, except as and to the extent required by law.</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Measures</w:t>
      </w:r>
    </w:p>
    <w:p>
      <w:pPr>
        <w:spacing w:after="0" w:line="175"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addition to the required Generally Accepted Accounting Principles ("GAAP") presentations, we use and report certain non-GAAP measures as we believe these measures improve the understanding of our operational results. We believe these non-GAAP measures provide useful information to our Board of Directors, management and investors regarding certain trends relating to our financial condition and results of operations. Our management uses these non-GAAP measures to compare our performance to that of prior periods for trend analyses, purposes of determining management incentive compensation and budgeting, forecasting and planning purposes. We continually evaluate the usefulness, relevance, limitations, and calculation of our reported non-GAAP measures to determine how best to provide relevant information to the public, and thus such reported measures could change.</w:t>
      </w:r>
    </w:p>
    <w:p>
      <w:pPr>
        <w:spacing w:after="0" w:line="13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do not consider non-GAAP measures an alternative to financial measures determined in accordance with GAAP, rather they supplement GAAP measures by providing additional information we believe to be useful to our shareholders. The principal limitation of these non-GAAP measures is that they may exclude significant expense and income items that are required by GAAP to be recognized in our Consolidated Financial Statements. In addition, they reflect the exercise of management's judgment about which expense and income items are excluded or included in determining these non-GAAP measures. In order to compensate for these limitations, reconciliations of the non-GAAP measures we use to their most directly comparable GAAP measures are provided. Non-GAAP measures should not be relied upon in evaluating the financial condition, results of operations, or future prospects of the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Defined Terms</w:t>
      </w:r>
    </w:p>
    <w:p>
      <w:pPr>
        <w:spacing w:after="0" w:line="175"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18"/>
          <w:szCs w:val="18"/>
          <w:color w:val="auto"/>
        </w:rPr>
        <w:t>The following terms, as defined, are commonly used by management and the investing public to understand and evaluate our operational results, and are included in this document:</w:t>
      </w:r>
    </w:p>
    <w:p>
      <w:pPr>
        <w:spacing w:after="0" w:line="1" w:lineRule="exact"/>
        <w:rPr>
          <w:sz w:val="20"/>
          <w:szCs w:val="20"/>
          <w:color w:val="auto"/>
        </w:rPr>
      </w:pPr>
    </w:p>
    <w:p>
      <w:pPr>
        <w:ind w:left="760" w:right="140" w:hanging="378"/>
        <w:spacing w:after="0" w:line="267"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Adjusted Funds From Operations ("AFFO") </w:t>
      </w:r>
      <w:r>
        <w:rPr>
          <w:rFonts w:ascii="Times New Roman" w:cs="Times New Roman" w:eastAsia="Times New Roman" w:hAnsi="Times New Roman"/>
          <w:sz w:val="18"/>
          <w:szCs w:val="18"/>
          <w:color w:val="auto"/>
        </w:rPr>
        <w:t>is an additional performance measure we use that reflects cash available to fund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needs and distribution to shareholders. AFFO is calculated by adjusting Core Operating Earnings ("COE") for (i) capital expenditures necessary to maintain and lease our portfolio of properties, (ii) debt cost and derivative adjustments and (iii) stock-based compensation.</w:t>
      </w:r>
    </w:p>
    <w:p>
      <w:pPr>
        <w:spacing w:after="0" w:line="11" w:lineRule="exact"/>
        <w:rPr>
          <w:rFonts w:ascii="Times New Roman" w:cs="Times New Roman" w:eastAsia="Times New Roman" w:hAnsi="Times New Roman"/>
          <w:sz w:val="18"/>
          <w:szCs w:val="18"/>
          <w:color w:val="auto"/>
        </w:rPr>
      </w:pPr>
    </w:p>
    <w:p>
      <w:pPr>
        <w:ind w:left="760" w:hanging="378"/>
        <w:spacing w:after="0" w:line="257"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Core Operating Earnings </w:t>
      </w:r>
      <w:r>
        <w:rPr>
          <w:rFonts w:ascii="Times New Roman" w:cs="Times New Roman" w:eastAsia="Times New Roman" w:hAnsi="Times New Roman"/>
          <w:sz w:val="18"/>
          <w:szCs w:val="18"/>
          <w:color w:val="auto"/>
        </w:rPr>
        <w:t>is an additional performance measure we use because the computation of National Association of Real Estate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Trusts Funds from Operations ("</w:t>
      </w:r>
      <w:r>
        <w:rPr>
          <w:rFonts w:ascii="Times New Roman" w:cs="Times New Roman" w:eastAsia="Times New Roman" w:hAnsi="Times New Roman"/>
          <w:sz w:val="18"/>
          <w:szCs w:val="18"/>
          <w:i w:val="1"/>
          <w:iCs w:val="1"/>
          <w:color w:val="auto"/>
        </w:rPr>
        <w:t>Nareit FFO</w:t>
      </w:r>
      <w:r>
        <w:rPr>
          <w:rFonts w:ascii="Times New Roman" w:cs="Times New Roman" w:eastAsia="Times New Roman" w:hAnsi="Times New Roman"/>
          <w:sz w:val="18"/>
          <w:szCs w:val="18"/>
          <w:color w:val="auto"/>
        </w:rPr>
        <w:t>") includes certain non-comparable items that affect our period-over-period performance. Core Operating Earnings excludes from Nareit FFO: (i) transaction related income or expenses, (ii) gains or losses from the early extinguishment of debt, (iii) certain non-cash components of earnings derived from straight-line rents, above and below market rent amortization, and debt and derivative mark-to-market amortization, and (iv) other amounts as they occur. We provide reconciliations of both Net Income Attributable to Common Shareholders to Nareit FFO and Nareit FFO to Core Operating Earnings.</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31" w:name="page32"/>
    <w:bookmarkEnd w:id="31"/>
    <w:p>
      <w:pPr>
        <w:ind w:left="380" w:right="160" w:hanging="378"/>
        <w:spacing w:after="0" w:line="267"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Development Completion </w:t>
      </w:r>
      <w:r>
        <w:rPr>
          <w:rFonts w:ascii="Times New Roman" w:cs="Times New Roman" w:eastAsia="Times New Roman" w:hAnsi="Times New Roman"/>
          <w:sz w:val="18"/>
          <w:szCs w:val="18"/>
          <w:color w:val="auto"/>
        </w:rPr>
        <w:t>is a Property in Development that is deemed complete upon the earlier of: (i) 90% of total estimated net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have been incurred and percent leased equals or exceeds 95%, or (ii) the property features at least two years of anchor operations. Once deemed complete, the property is termed a Retail Operating Property.</w:t>
      </w:r>
    </w:p>
    <w:p>
      <w:pPr>
        <w:spacing w:after="0" w:line="11" w:lineRule="exact"/>
        <w:rPr>
          <w:rFonts w:ascii="Times New Roman" w:cs="Times New Roman" w:eastAsia="Times New Roman" w:hAnsi="Times New Roman"/>
          <w:sz w:val="18"/>
          <w:szCs w:val="18"/>
          <w:color w:val="auto"/>
        </w:rPr>
      </w:pPr>
    </w:p>
    <w:p>
      <w:pPr>
        <w:ind w:left="380" w:right="100" w:hanging="378"/>
        <w:spacing w:after="0" w:line="261"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Nareit Funds from Operations ("Nareit FFO") </w:t>
      </w:r>
      <w:r>
        <w:rPr>
          <w:rFonts w:ascii="Times New Roman" w:cs="Times New Roman" w:eastAsia="Times New Roman" w:hAnsi="Times New Roman"/>
          <w:sz w:val="18"/>
          <w:szCs w:val="18"/>
          <w:color w:val="auto"/>
        </w:rPr>
        <w:t>is a commonly used measure of REIT performance, which Nareit defines as net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computed in accordance with GAAP, excluding gains on sales and impairments of real estate, net of tax, plus depreciation and amortization, and after adjustments for unconsolidated partnerships and joint ventures. We compute Nareit FFO for all periods presented in accordance with Nareit's definition.</w:t>
      </w:r>
    </w:p>
    <w:p>
      <w:pPr>
        <w:spacing w:after="0" w:line="19" w:lineRule="exact"/>
        <w:rPr>
          <w:rFonts w:ascii="Times New Roman" w:cs="Times New Roman" w:eastAsia="Times New Roman" w:hAnsi="Times New Roman"/>
          <w:sz w:val="18"/>
          <w:szCs w:val="18"/>
          <w:color w:val="auto"/>
        </w:rPr>
      </w:pPr>
    </w:p>
    <w:p>
      <w:pPr>
        <w:ind w:left="38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use different depreciable lives and methods, and real estate values historically fluctuate with market conditions. Since Nareit FFO excludes depreciation and amortization and gains on sale and impairments of real estate, it provides a performance measure that, when compared year over year, reflects the impact on operations from trends in percent leased, rental rates, operating costs, acquisition and development activities, and financing costs. This provides a perspective of our financial performance not immediately apparent from net income determined in accordance with GAAP. Thus, Nareit FFO is a supplemental non-GAAP financial measure of our operating performance, which does not represent cash generated from operating activities in accordance with GAAP; and, therefore, should not be considered a substitute measure of cash flows from operations. We provide a reconciliation of Net Income Attributable to Common Shareholders to Nareit FFO.</w:t>
      </w:r>
    </w:p>
    <w:p>
      <w:pPr>
        <w:spacing w:after="0" w:line="24" w:lineRule="exact"/>
        <w:rPr>
          <w:rFonts w:ascii="Times New Roman" w:cs="Times New Roman" w:eastAsia="Times New Roman" w:hAnsi="Times New Roman"/>
          <w:sz w:val="18"/>
          <w:szCs w:val="18"/>
          <w:color w:val="auto"/>
        </w:rPr>
      </w:pPr>
    </w:p>
    <w:p>
      <w:pPr>
        <w:ind w:left="380" w:hanging="378"/>
        <w:spacing w:after="0" w:line="261"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Operating Income ("NOI") </w:t>
      </w:r>
      <w:r>
        <w:rPr>
          <w:rFonts w:ascii="Times New Roman" w:cs="Times New Roman" w:eastAsia="Times New Roman" w:hAnsi="Times New Roman"/>
          <w:sz w:val="18"/>
          <w:szCs w:val="18"/>
          <w:color w:val="auto"/>
        </w:rPr>
        <w:t>is the sum of base rent, percentage rent, recoveries from tenants, other lease income, and other property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operating and maintenance expenses, real estate taxes, ground rent, and uncollectible lease income. NOI excludes straight-line rental income and expense, above and below market rent and ground rent amortization, tenant lease inducement amortization, and other fees. We also provide disclosure of NOI excluding termination fees, which excludes both termination fee income and expenses.</w:t>
      </w:r>
    </w:p>
    <w:p>
      <w:pPr>
        <w:spacing w:after="0" w:line="17" w:lineRule="exact"/>
        <w:rPr>
          <w:rFonts w:ascii="Times New Roman" w:cs="Times New Roman" w:eastAsia="Times New Roman" w:hAnsi="Times New Roman"/>
          <w:sz w:val="18"/>
          <w:szCs w:val="18"/>
          <w:color w:val="auto"/>
        </w:rPr>
      </w:pPr>
    </w:p>
    <w:p>
      <w:pPr>
        <w:ind w:left="380" w:right="100" w:hanging="378"/>
        <w:spacing w:after="0" w:line="267"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Non-Same Property</w:t>
      </w:r>
      <w:r>
        <w:rPr>
          <w:rFonts w:ascii="Times New Roman" w:cs="Times New Roman" w:eastAsia="Times New Roman" w:hAnsi="Times New Roman"/>
          <w:sz w:val="18"/>
          <w:szCs w:val="18"/>
          <w:color w:val="auto"/>
        </w:rPr>
        <w:t xml:space="preserve"> is any property, during either calendar year period being compared, that was acquired, sold, a Property in Development, a Development Completion, or a property under, or being positioned for, significant redevelopment that distorts comparability between periods. Non-retail properties and corporate activities, including the captive insurance program, are part of Non-Same Property.</w:t>
      </w:r>
    </w:p>
    <w:p>
      <w:pPr>
        <w:spacing w:after="0" w:line="11" w:lineRule="exact"/>
        <w:rPr>
          <w:rFonts w:ascii="Times New Roman" w:cs="Times New Roman" w:eastAsia="Times New Roman" w:hAnsi="Times New Roman"/>
          <w:sz w:val="18"/>
          <w:szCs w:val="18"/>
          <w:color w:val="auto"/>
        </w:rPr>
      </w:pPr>
    </w:p>
    <w:p>
      <w:pPr>
        <w:ind w:left="380" w:right="940" w:hanging="378"/>
        <w:spacing w:after="0" w:line="282" w:lineRule="auto"/>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Pro-rata </w:t>
      </w:r>
      <w:r>
        <w:rPr>
          <w:rFonts w:ascii="Times New Roman" w:cs="Times New Roman" w:eastAsia="Times New Roman" w:hAnsi="Times New Roman"/>
          <w:sz w:val="18"/>
          <w:szCs w:val="18"/>
          <w:color w:val="auto"/>
        </w:rPr>
        <w:t>information includes 100% of our consolidated properties plus our economic share (based on our ownership interest)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unconsolidated real estate investment partnerships.</w:t>
      </w:r>
    </w:p>
    <w:p>
      <w:pPr>
        <w:spacing w:after="0" w:line="1" w:lineRule="exact"/>
        <w:rPr>
          <w:rFonts w:ascii="Times New Roman" w:cs="Times New Roman" w:eastAsia="Times New Roman" w:hAnsi="Times New Roman"/>
          <w:sz w:val="18"/>
          <w:szCs w:val="18"/>
          <w:color w:val="auto"/>
        </w:rPr>
      </w:pPr>
    </w:p>
    <w:p>
      <w:pPr>
        <w:ind w:left="380" w:right="1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Pro-rata financial information because we believe it assists investors and analysts in estimating our economic interest in our consolidated and unconsolidated partnerships, when read in conjunction with our reported results under GAAP. We believe presenting our Pro-rata share of assets, liabilities, operating results, and other metrics, along with certain other non-GAAP measures, makes comparisons of our operating results to those of other REITs more meaningful. The Pro-rata information provided is not, nor is it intended to be, presented in accordance with GAAP. The Pro-rata supplemental details of assets and liabilities and supplemental details of operations reflect our proportionate economic ownership of the assets, liabilities, and operating results of the properties in our portfolio.</w:t>
      </w:r>
    </w:p>
    <w:p>
      <w:pPr>
        <w:spacing w:after="0" w:line="25" w:lineRule="exact"/>
        <w:rPr>
          <w:rFonts w:ascii="Times New Roman" w:cs="Times New Roman" w:eastAsia="Times New Roman" w:hAnsi="Times New Roman"/>
          <w:sz w:val="18"/>
          <w:szCs w:val="18"/>
          <w:color w:val="auto"/>
        </w:rPr>
      </w:pPr>
    </w:p>
    <w:p>
      <w:pPr>
        <w:ind w:left="3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Pro-rata information is prepared on a basis consistent with the comparable consolidated amounts and is intended to more accurately reflect our proportionate economic interest in the assets, liabilities, and operating results of properties in our portfolio. We do not control the unconsolidated real estate partnerships, and the Pro-rata presentations of the assets and liabilities, and revenues and expenses do not represent our legal claim to such items. The partners are entitled to profit or loss allocations and distributions of cash flows according to the operating agreements, which generally provide for such allocations according to their invested capital. Our share of invested capital establishes the ownership interests we use to prepare our Pro-rata share.</w:t>
      </w:r>
    </w:p>
    <w:p>
      <w:pPr>
        <w:spacing w:after="0" w:line="25"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presentation of Pro-rata information has limitations which include, but are not limited to, the following:</w:t>
      </w:r>
    </w:p>
    <w:p>
      <w:pPr>
        <w:spacing w:after="0" w:line="63" w:lineRule="exact"/>
        <w:rPr>
          <w:sz w:val="20"/>
          <w:szCs w:val="20"/>
          <w:color w:val="auto"/>
        </w:rPr>
      </w:pPr>
    </w:p>
    <w:p>
      <w:pPr>
        <w:ind w:left="1120" w:right="620" w:hanging="369"/>
        <w:spacing w:after="0" w:line="266" w:lineRule="auto"/>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on the individual line items were derived by applying our overall economic ownership interest percentage determined when applying the equity method of accounting and do not necessarily represent our legal claim to the assets and liabilities, or the revenues and expenses; and</w:t>
      </w:r>
    </w:p>
    <w:p>
      <w:pPr>
        <w:spacing w:after="0" w:line="13" w:lineRule="exact"/>
        <w:rPr>
          <w:rFonts w:ascii="Times New Roman" w:cs="Times New Roman" w:eastAsia="Times New Roman" w:hAnsi="Times New Roman"/>
          <w:sz w:val="18"/>
          <w:szCs w:val="18"/>
          <w:color w:val="auto"/>
        </w:rPr>
      </w:pPr>
    </w:p>
    <w:p>
      <w:pPr>
        <w:ind w:left="1120" w:hanging="369"/>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our industry may calculate their Pro-rata interest differently, limiting the comparability of Pro-rata information.</w:t>
      </w:r>
    </w:p>
    <w:p>
      <w:pPr>
        <w:spacing w:after="0" w:line="63" w:lineRule="exact"/>
        <w:rPr>
          <w:sz w:val="20"/>
          <w:szCs w:val="20"/>
          <w:color w:val="auto"/>
        </w:rPr>
      </w:pPr>
    </w:p>
    <w:p>
      <w:pPr>
        <w:ind w:left="380" w:right="40"/>
        <w:spacing w:after="0" w:line="266" w:lineRule="auto"/>
        <w:rPr>
          <w:sz w:val="20"/>
          <w:szCs w:val="20"/>
          <w:color w:val="auto"/>
        </w:rPr>
      </w:pPr>
      <w:r>
        <w:rPr>
          <w:rFonts w:ascii="Times New Roman" w:cs="Times New Roman" w:eastAsia="Times New Roman" w:hAnsi="Times New Roman"/>
          <w:sz w:val="18"/>
          <w:szCs w:val="18"/>
          <w:color w:val="auto"/>
        </w:rPr>
        <w:t>Because of these limitations, the Pro-rata financial information should not be considered independently or as a substitute for our financial statements as reported under GAAP. We compensate for these limitations by relying primarily on our GAAP financial statements, using the Pro-rata information as a supplement.</w:t>
      </w:r>
    </w:p>
    <w:p>
      <w:pPr>
        <w:spacing w:after="0" w:line="12" w:lineRule="exact"/>
        <w:rPr>
          <w:sz w:val="20"/>
          <w:szCs w:val="20"/>
          <w:color w:val="auto"/>
        </w:rPr>
      </w:pPr>
    </w:p>
    <w:p>
      <w:pPr>
        <w:ind w:left="380" w:hanging="378"/>
        <w:spacing w:after="0"/>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Property In Development </w:t>
      </w:r>
      <w:r>
        <w:rPr>
          <w:rFonts w:ascii="Times New Roman" w:cs="Times New Roman" w:eastAsia="Times New Roman" w:hAnsi="Times New Roman"/>
          <w:sz w:val="18"/>
          <w:szCs w:val="18"/>
          <w:color w:val="auto"/>
        </w:rPr>
        <w:t>includes properties in various stages of ground-up development.</w:t>
      </w:r>
    </w:p>
    <w:p>
      <w:pPr>
        <w:spacing w:after="0" w:line="63" w:lineRule="exact"/>
        <w:rPr>
          <w:rFonts w:ascii="Times New Roman" w:cs="Times New Roman" w:eastAsia="Times New Roman" w:hAnsi="Times New Roman"/>
          <w:sz w:val="18"/>
          <w:szCs w:val="18"/>
          <w:color w:val="auto"/>
        </w:rPr>
      </w:pPr>
    </w:p>
    <w:p>
      <w:pPr>
        <w:ind w:left="380" w:right="120" w:hanging="378"/>
        <w:spacing w:after="0" w:line="281"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Property In Redevelopment </w:t>
      </w:r>
      <w:r>
        <w:rPr>
          <w:rFonts w:ascii="Times New Roman" w:cs="Times New Roman" w:eastAsia="Times New Roman" w:hAnsi="Times New Roman"/>
          <w:sz w:val="18"/>
          <w:szCs w:val="18"/>
          <w:color w:val="auto"/>
        </w:rPr>
        <w:t>includes Retail Operating Properties under redevelopment or being positioned for redevelopment. Unless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indicated, a Property in Redevelopment is included in the Same Property pool.</w:t>
      </w:r>
    </w:p>
    <w:p>
      <w:pPr>
        <w:spacing w:after="0" w:line="1" w:lineRule="exact"/>
        <w:rPr>
          <w:rFonts w:ascii="Times New Roman" w:cs="Times New Roman" w:eastAsia="Times New Roman" w:hAnsi="Times New Roman"/>
          <w:sz w:val="18"/>
          <w:szCs w:val="18"/>
          <w:color w:val="auto"/>
        </w:rPr>
      </w:pPr>
    </w:p>
    <w:p>
      <w:pPr>
        <w:jc w:val="both"/>
        <w:ind w:left="380" w:right="100" w:hanging="378"/>
        <w:spacing w:after="0" w:line="267" w:lineRule="auto"/>
        <w:tabs>
          <w:tab w:leader="none" w:pos="3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Redevelopment Completion </w:t>
      </w:r>
      <w:r>
        <w:rPr>
          <w:rFonts w:ascii="Times New Roman" w:cs="Times New Roman" w:eastAsia="Times New Roman" w:hAnsi="Times New Roman"/>
          <w:sz w:val="18"/>
          <w:szCs w:val="18"/>
          <w:color w:val="auto"/>
        </w:rPr>
        <w:t>is a Property in Redevelopment that is deemed complete upon the earlier of: (i) 90% of total estimated project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been incurred and percent leased equals or exceeds 95% for the Company owned GLA related to the project, or (ii) the property features at least two years of anchor operations, if applicable.</w:t>
      </w:r>
    </w:p>
    <w:p>
      <w:pPr>
        <w:spacing w:after="0" w:line="17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064" w:right="339" w:bottom="1440" w:gutter="0" w:footer="0" w:header="0"/>
        </w:sectPr>
      </w:pPr>
    </w:p>
    <w:bookmarkStart w:id="32" w:name="page33"/>
    <w:bookmarkEnd w:id="32"/>
    <w:p>
      <w:pPr>
        <w:ind w:left="760" w:right="160" w:hanging="378"/>
        <w:spacing w:after="0" w:line="281"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 Operating Property </w:t>
      </w:r>
      <w:r>
        <w:rPr>
          <w:rFonts w:ascii="Times New Roman" w:cs="Times New Roman" w:eastAsia="Times New Roman" w:hAnsi="Times New Roman"/>
          <w:sz w:val="18"/>
          <w:szCs w:val="18"/>
          <w:color w:val="auto"/>
        </w:rPr>
        <w:t>is any retail property not termed a Property in Development. A retail property is any property where the majority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income is generated from retail uses.</w:t>
      </w:r>
    </w:p>
    <w:p>
      <w:pPr>
        <w:spacing w:after="0" w:line="1" w:lineRule="exact"/>
        <w:rPr>
          <w:rFonts w:ascii="Times New Roman" w:cs="Times New Roman" w:eastAsia="Times New Roman" w:hAnsi="Times New Roman"/>
          <w:sz w:val="18"/>
          <w:szCs w:val="18"/>
          <w:color w:val="auto"/>
        </w:rPr>
      </w:pPr>
    </w:p>
    <w:p>
      <w:pPr>
        <w:ind w:left="760" w:right="160" w:hanging="378"/>
        <w:spacing w:after="0" w:line="267" w:lineRule="auto"/>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Same Property </w:t>
      </w:r>
      <w:r>
        <w:rPr>
          <w:rFonts w:ascii="Times New Roman" w:cs="Times New Roman" w:eastAsia="Times New Roman" w:hAnsi="Times New Roman"/>
          <w:sz w:val="18"/>
          <w:szCs w:val="18"/>
          <w:color w:val="auto"/>
        </w:rPr>
        <w:t>is a Retail Operating Property that was owned and operated for the entirety of both calendar year periods being compared.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excludes Properties in Development, prior year Development Completions, and Non-Same Properties. Properties in Redevelopment are included unless otherwise indicated.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 of Our Strategy</w:t>
      </w:r>
    </w:p>
    <w:p>
      <w:pPr>
        <w:spacing w:after="0" w:line="1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Regency Centers Corporation began operations as a publicly-traded REIT in 1993. All of our operating, investing, and financing activities are performed through our Operating Partnership, Regency Centers, L.P. and its wholly-owned subsidiaries, and through our real estate partnerships. As of September 30, 2024, the Parent Company owned approximately 99.4% of the outstanding Common Units and 100% of the Preferred Units of the Operating Partnership.</w:t>
      </w:r>
    </w:p>
    <w:p>
      <w:pPr>
        <w:spacing w:after="0" w:line="12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 xml:space="preserve">We are a preeminent national owner, operator, and developer of neighborhood and community shopping centers predominantly located in suburban trade areas with compelling demographics. As of September 30, 2024, we had full or partial ownership interests in 483 retail properties. Our properties are high-quality neighborhood and community shopping centers primarily anchored by market leading grocers and principally located in suburban markets within the country's most desirable metro areas, and contain approximately 57.2 million square feet ("SF") of gross leasable area ("GLA"). </w:t>
      </w:r>
      <w:r>
        <w:rPr>
          <w:rFonts w:ascii="Times New Roman" w:cs="Times New Roman" w:eastAsia="Times New Roman" w:hAnsi="Times New Roman"/>
          <w:sz w:val="18"/>
          <w:szCs w:val="18"/>
          <w:color w:val="212529"/>
        </w:rPr>
        <w:t>Our mission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to create thriving environments for retailers and service providers to connect with surrounding neighborhoods and communities. Our vision is to elevate quality of life as an integral thread in the fabric of our communities. Our portfolio includes thriving properties merchandised with highly productive grocers, restaurants, service providers, and best-in-class retailers that connect with their neighborhoods, communities, and customers.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Our values:</w:t>
      </w:r>
    </w:p>
    <w:p>
      <w:pPr>
        <w:spacing w:after="0" w:line="63" w:lineRule="exact"/>
        <w:rPr>
          <w:sz w:val="20"/>
          <w:szCs w:val="20"/>
          <w:color w:val="auto"/>
        </w:rPr>
      </w:pPr>
    </w:p>
    <w:p>
      <w:pPr>
        <w:ind w:left="760" w:right="220" w:hanging="378"/>
        <w:spacing w:after="0" w:line="281" w:lineRule="auto"/>
        <w:tabs>
          <w:tab w:leader="none" w:pos="760" w:val="left"/>
        </w:tabs>
        <w:numPr>
          <w:ilvl w:val="0"/>
          <w:numId w:val="2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are our people: Our people are our greatest asset, and we believe that a talented team from diverse backgrounds and experiences makes us better.</w:t>
      </w:r>
    </w:p>
    <w:p>
      <w:pPr>
        <w:spacing w:after="0" w:line="1" w:lineRule="exact"/>
        <w:rPr>
          <w:rFonts w:ascii="Times New Roman" w:cs="Times New Roman" w:eastAsia="Times New Roman" w:hAnsi="Times New Roman"/>
          <w:sz w:val="18"/>
          <w:szCs w:val="18"/>
          <w:color w:val="212529"/>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do what is right: We act with unwavering standards of honesty and integrity.</w:t>
      </w:r>
    </w:p>
    <w:p>
      <w:pPr>
        <w:spacing w:after="0" w:line="63" w:lineRule="exact"/>
        <w:rPr>
          <w:rFonts w:ascii="Times New Roman" w:cs="Times New Roman" w:eastAsia="Times New Roman" w:hAnsi="Times New Roman"/>
          <w:sz w:val="18"/>
          <w:szCs w:val="18"/>
          <w:color w:val="212529"/>
        </w:rPr>
      </w:pPr>
    </w:p>
    <w:p>
      <w:pPr>
        <w:ind w:left="760" w:right="240" w:hanging="378"/>
        <w:spacing w:after="0" w:line="281" w:lineRule="auto"/>
        <w:tabs>
          <w:tab w:leader="none" w:pos="760" w:val="left"/>
        </w:tabs>
        <w:numPr>
          <w:ilvl w:val="0"/>
          <w:numId w:val="2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connect with our communities: We promote philanthropic ideas and strive for the betterment of our neighborhoods by giving our time and financial support.</w:t>
      </w:r>
    </w:p>
    <w:p>
      <w:pPr>
        <w:spacing w:after="0" w:line="1" w:lineRule="exact"/>
        <w:rPr>
          <w:rFonts w:ascii="Times New Roman" w:cs="Times New Roman" w:eastAsia="Times New Roman" w:hAnsi="Times New Roman"/>
          <w:sz w:val="18"/>
          <w:szCs w:val="18"/>
          <w:color w:val="212529"/>
        </w:rPr>
      </w:pPr>
    </w:p>
    <w:p>
      <w:pPr>
        <w:ind w:left="760" w:right="460" w:hanging="378"/>
        <w:spacing w:after="0" w:line="281" w:lineRule="auto"/>
        <w:tabs>
          <w:tab w:leader="none" w:pos="760" w:val="left"/>
        </w:tabs>
        <w:numPr>
          <w:ilvl w:val="0"/>
          <w:numId w:val="2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are responsible: Our duty is to balance purpose and profit, being good stewards of capital and the environment for the benefit of all our stakeholders.</w:t>
      </w:r>
    </w:p>
    <w:p>
      <w:pPr>
        <w:spacing w:after="0" w:line="1" w:lineRule="exact"/>
        <w:rPr>
          <w:rFonts w:ascii="Times New Roman" w:cs="Times New Roman" w:eastAsia="Times New Roman" w:hAnsi="Times New Roman"/>
          <w:sz w:val="18"/>
          <w:szCs w:val="18"/>
          <w:color w:val="212529"/>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strive for excellence: When we are passionate about what we do, it is reflected in our performance.</w:t>
      </w:r>
    </w:p>
    <w:p>
      <w:pPr>
        <w:spacing w:after="0" w:line="63" w:lineRule="exact"/>
        <w:rPr>
          <w:rFonts w:ascii="Times New Roman" w:cs="Times New Roman" w:eastAsia="Times New Roman" w:hAnsi="Times New Roman"/>
          <w:sz w:val="18"/>
          <w:szCs w:val="18"/>
          <w:color w:val="212529"/>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We are better together: When we listen to each other and our customers, we will succeed together.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Our goals are to:</w:t>
      </w:r>
    </w:p>
    <w:p>
      <w:pPr>
        <w:spacing w:after="0" w:line="63" w:lineRule="exact"/>
        <w:rPr>
          <w:sz w:val="20"/>
          <w:szCs w:val="20"/>
          <w:color w:val="auto"/>
        </w:rPr>
      </w:pPr>
    </w:p>
    <w:p>
      <w:pPr>
        <w:ind w:left="760" w:right="80" w:hanging="378"/>
        <w:spacing w:after="0" w:line="261" w:lineRule="auto"/>
        <w:tabs>
          <w:tab w:leader="none" w:pos="760" w:val="left"/>
        </w:tabs>
        <w:numPr>
          <w:ilvl w:val="0"/>
          <w:numId w:val="25"/>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Own and manage a portfolio of high-quality neighborhood and community shopping centers anchored primarily by market leading grocers and principally located in suburban trade areas in the most desirable metro areas in the United States. We believe that this strategy will result in highly desirable and attractive centers with best-in-class retailers. These centers should command higher rental and occupancy rates resulting in excellent prospects to grow NOI;</w:t>
      </w:r>
    </w:p>
    <w:p>
      <w:pPr>
        <w:spacing w:after="0" w:line="17" w:lineRule="exact"/>
        <w:rPr>
          <w:rFonts w:ascii="Times New Roman" w:cs="Times New Roman" w:eastAsia="Times New Roman" w:hAnsi="Times New Roman"/>
          <w:sz w:val="18"/>
          <w:szCs w:val="18"/>
          <w:color w:val="212529"/>
        </w:rPr>
      </w:pPr>
    </w:p>
    <w:p>
      <w:pPr>
        <w:ind w:left="760" w:right="46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shareholder value by increasing earnings and dividends per share that generate total returns at or near the top of our shopping center peers;</w:t>
      </w:r>
    </w:p>
    <w:p>
      <w:pPr>
        <w:spacing w:after="0" w:line="1" w:lineRule="exact"/>
        <w:rPr>
          <w:rFonts w:ascii="Times New Roman" w:cs="Times New Roman" w:eastAsia="Times New Roman" w:hAnsi="Times New Roman"/>
          <w:sz w:val="18"/>
          <w:szCs w:val="18"/>
          <w:color w:val="auto"/>
        </w:rPr>
      </w:pPr>
    </w:p>
    <w:p>
      <w:pPr>
        <w:ind w:left="760" w:right="36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industry leading, disciplined development and redevelopment platform to create exceptional retail centers that deliver favorable returns;</w:t>
      </w:r>
    </w:p>
    <w:p>
      <w:pPr>
        <w:spacing w:after="0" w:line="1" w:lineRule="exact"/>
        <w:rPr>
          <w:rFonts w:ascii="Times New Roman" w:cs="Times New Roman" w:eastAsia="Times New Roman" w:hAnsi="Times New Roman"/>
          <w:sz w:val="18"/>
          <w:szCs w:val="18"/>
          <w:color w:val="auto"/>
        </w:rPr>
      </w:pPr>
    </w:p>
    <w:p>
      <w:pPr>
        <w:ind w:left="760" w:right="8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our business activities with a conservative capital structure, including a strong balance sheet with sufficient liquidity to meet our capital needs together with a carefully constructed debt maturity profile;</w:t>
      </w:r>
    </w:p>
    <w:p>
      <w:pPr>
        <w:spacing w:after="0" w:line="1" w:lineRule="exact"/>
        <w:rPr>
          <w:rFonts w:ascii="Times New Roman" w:cs="Times New Roman" w:eastAsia="Times New Roman" w:hAnsi="Times New Roman"/>
          <w:sz w:val="18"/>
          <w:szCs w:val="18"/>
          <w:color w:val="auto"/>
        </w:rPr>
      </w:pPr>
    </w:p>
    <w:p>
      <w:pPr>
        <w:ind w:left="760" w:right="48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leading environmental, social, and governance ("ESG") practices through our Corporate Responsibility program to support and enhance our business goals and objectives; and</w:t>
      </w:r>
    </w:p>
    <w:p>
      <w:pPr>
        <w:spacing w:after="0" w:line="1" w:lineRule="exact"/>
        <w:rPr>
          <w:rFonts w:ascii="Times New Roman" w:cs="Times New Roman" w:eastAsia="Times New Roman" w:hAnsi="Times New Roman"/>
          <w:sz w:val="18"/>
          <w:szCs w:val="18"/>
          <w:color w:val="auto"/>
        </w:rPr>
      </w:pPr>
    </w:p>
    <w:p>
      <w:pPr>
        <w:ind w:left="760" w:right="64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and retain an exceptional and diverse team that is guided by our strong values, while fostering an environment of innovation and continuous improvement.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Executing on our Strategy</w:t>
      </w:r>
    </w:p>
    <w:p>
      <w:pPr>
        <w:spacing w:after="0" w:line="1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we had Net income attributable to common shareholders of $303.7 million as compared to $273.1 million during the nine months ended September 30, 2023.</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4"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During the nine months ended September 30, 2024:</w:t>
      </w:r>
    </w:p>
    <w:p>
      <w:pPr>
        <w:spacing w:after="0" w:line="63" w:lineRule="exact"/>
        <w:rPr>
          <w:sz w:val="20"/>
          <w:szCs w:val="20"/>
          <w:color w:val="auto"/>
        </w:rPr>
      </w:pPr>
    </w:p>
    <w:p>
      <w:pPr>
        <w:jc w:val="both"/>
        <w:ind w:left="760" w:right="8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Pro-rata same property NOI, excluding termination fees, grew 2.9%, as compared to the nine months ended September 30, 2023, primarily attributable to improvements in base rent from increases in year over year occupancy rates, contractual rent steps in existing leases, and positive rent spreads on comparable new and renewal leases.</w:t>
      </w:r>
    </w:p>
    <w:p>
      <w:pPr>
        <w:spacing w:after="0" w:line="13" w:lineRule="exact"/>
        <w:rPr>
          <w:rFonts w:ascii="Times New Roman" w:cs="Times New Roman" w:eastAsia="Times New Roman" w:hAnsi="Times New Roman"/>
          <w:sz w:val="18"/>
          <w:szCs w:val="18"/>
          <w:color w:val="auto"/>
        </w:rPr>
      </w:pPr>
    </w:p>
    <w:p>
      <w:pPr>
        <w:ind w:left="760" w:right="80" w:hanging="378"/>
        <w:spacing w:after="0" w:line="276" w:lineRule="auto"/>
        <w:tabs>
          <w:tab w:leader="none" w:pos="7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executed 1,503 new and renewal leasing transactions representing 6.3 million Pro-rata SF with positive rent spreads of 9.0% during the nine months ended September 30, 2024, compared to 1,310 leasing transactions representing 4.8 million Pro-rata SF with positive rent spreads of</w:t>
      </w:r>
    </w:p>
    <w:p>
      <w:pPr>
        <w:ind w:left="760" w:right="1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9.2% during the nine months ended September 30, 2023. Rent spreads are calculated on all executed leasing transactions for comparable Retail Operating Property spaces, including spaces vacant greater than 12 months.</w:t>
      </w:r>
    </w:p>
    <w:p>
      <w:pPr>
        <w:spacing w:after="0" w:line="19" w:lineRule="exact"/>
        <w:rPr>
          <w:rFonts w:ascii="Times New Roman" w:cs="Times New Roman" w:eastAsia="Times New Roman" w:hAnsi="Times New Roman"/>
          <w:sz w:val="17"/>
          <w:szCs w:val="17"/>
          <w:color w:val="auto"/>
        </w:rPr>
      </w:pPr>
    </w:p>
    <w:p>
      <w:pPr>
        <w:ind w:left="760" w:right="16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September 30, 2024, December 31, 2023, and September 30, 2023 our total property portfolio was 95.6%, 95.1%, and 94.6% leased, respectively. At September 30, 2024, December 31, 2023, and September 30, 2023 our same property portfolio was 96.1%, 95.7%, and 95.3% leased, respectively.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continued our development and redevelopment of high quality shopping centers:</w:t>
      </w:r>
    </w:p>
    <w:p>
      <w:pPr>
        <w:spacing w:after="0" w:line="63" w:lineRule="exact"/>
        <w:rPr>
          <w:sz w:val="20"/>
          <w:szCs w:val="20"/>
          <w:color w:val="auto"/>
        </w:rPr>
      </w:pPr>
    </w:p>
    <w:p>
      <w:pPr>
        <w:ind w:left="760" w:hanging="378"/>
        <w:spacing w:after="0" w:line="281"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Pro-rata project costs of our current in process development and redevelopment projects totaled $618.3 million at September 30, 2024, compared to $468.1 million at December 31, 2023.</w:t>
      </w:r>
    </w:p>
    <w:p>
      <w:pPr>
        <w:spacing w:after="0" w:line="1"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redevelopment projects completed during 2024 represented $31.3 million of estimated net project costs, with an average stabilized yield of 7.6%.</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maintained liquidity and financial flexibility to cost effectively fund investment opportunities and debt maturities:</w:t>
      </w:r>
    </w:p>
    <w:p>
      <w:pPr>
        <w:spacing w:after="0" w:line="117"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a credit rating upgrade to A3 with a stable outlook from Moody's Investors Service.</w:t>
      </w:r>
    </w:p>
    <w:p>
      <w:pPr>
        <w:spacing w:after="0" w:line="63" w:lineRule="exact"/>
        <w:rPr>
          <w:rFonts w:ascii="Times New Roman" w:cs="Times New Roman" w:eastAsia="Times New Roman" w:hAnsi="Times New Roman"/>
          <w:sz w:val="18"/>
          <w:szCs w:val="18"/>
          <w:color w:val="auto"/>
        </w:rPr>
      </w:pPr>
    </w:p>
    <w:p>
      <w:pPr>
        <w:ind w:left="760" w:right="180" w:hanging="378"/>
        <w:spacing w:after="0" w:line="26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8, 2024, we priced a public offering of $400 million of senior unsecured notes due in 2034, with a coupon of 5.25% . We used a portion of the net proceeds to reduce the outstanding balance on the Line and invested the remaining net proceeds in certificates of deposit and short-term U.S. Treasury mutual funds until required for general corporate purposes including the repayment of outstanding debt, as further described below.</w:t>
      </w:r>
    </w:p>
    <w:p>
      <w:pPr>
        <w:spacing w:after="0" w:line="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17, 2024, we repaid $250 million of maturing senior unsecured notes.</w:t>
      </w:r>
    </w:p>
    <w:p>
      <w:pPr>
        <w:spacing w:after="0" w:line="63" w:lineRule="exact"/>
        <w:rPr>
          <w:rFonts w:ascii="Times New Roman" w:cs="Times New Roman" w:eastAsia="Times New Roman" w:hAnsi="Times New Roman"/>
          <w:sz w:val="18"/>
          <w:szCs w:val="18"/>
          <w:color w:val="auto"/>
        </w:rPr>
      </w:pPr>
    </w:p>
    <w:p>
      <w:pPr>
        <w:ind w:left="760" w:right="60" w:hanging="378"/>
        <w:spacing w:after="0" w:line="28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12, 2024, we priced a public offering of $325 million of senior unsecured notes due in 2035, with a coupon of 5.1%. We used the net proceeds from this offering to reduce the outstanding balance on the Line.</w:t>
      </w:r>
    </w:p>
    <w:p>
      <w:pPr>
        <w:spacing w:after="0" w:line="1" w:lineRule="exact"/>
        <w:rPr>
          <w:rFonts w:ascii="Times New Roman" w:cs="Times New Roman" w:eastAsia="Times New Roman" w:hAnsi="Times New Roman"/>
          <w:sz w:val="18"/>
          <w:szCs w:val="18"/>
          <w:color w:val="auto"/>
        </w:rPr>
      </w:pPr>
    </w:p>
    <w:p>
      <w:pPr>
        <w:ind w:left="760" w:right="540" w:hanging="378"/>
        <w:spacing w:after="0" w:line="281"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$103.5 million of secured loans maturing during the next 12 months, including Regency's pro-rata share of maturities within our unconsolidated real estate partnerships, which we intend to refinance or pay-off as they mature.</w:t>
      </w:r>
    </w:p>
    <w:p>
      <w:pPr>
        <w:spacing w:after="0" w:line="1" w:lineRule="exact"/>
        <w:rPr>
          <w:rFonts w:ascii="Times New Roman" w:cs="Times New Roman" w:eastAsia="Times New Roman" w:hAnsi="Times New Roman"/>
          <w:sz w:val="18"/>
          <w:szCs w:val="18"/>
          <w:color w:val="auto"/>
        </w:rPr>
      </w:pPr>
    </w:p>
    <w:p>
      <w:pPr>
        <w:ind w:left="760" w:right="40" w:hanging="378"/>
        <w:spacing w:after="0" w:line="312" w:lineRule="auto"/>
        <w:tabs>
          <w:tab w:leader="none" w:pos="7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September 30, 2024, we had $1.46 billion available on the Line, which expires on March 23, 2028 unless we exercise the available options to extend the maturity for two additional six-month periods, in which case the term will be extended in accordance with any such option exercise.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Property Portfolio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general information related to the consolidated properties in our portfolio:</w:t>
      </w:r>
    </w:p>
    <w:p>
      <w:pPr>
        <w:spacing w:after="0" w:line="187" w:lineRule="exact"/>
        <w:rPr>
          <w:sz w:val="20"/>
          <w:szCs w:val="20"/>
          <w:color w:val="auto"/>
        </w:rPr>
      </w:pPr>
    </w:p>
    <w:tbl>
      <w:tblPr>
        <w:tblLayout w:type="fixed"/>
        <w:tblInd w:w="1700" w:type="dxa"/>
        <w:tblCellMar>
          <w:top w:w="0" w:type="dxa"/>
          <w:left w:w="0" w:type="dxa"/>
          <w:bottom w:w="0" w:type="dxa"/>
          <w:right w:w="0" w:type="dxa"/>
        </w:tblCellMar>
      </w:tblPr>
      <w:tr>
        <w:trPr>
          <w:trHeight w:val="23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(GLA in thousands)</w:t>
            </w:r>
          </w:p>
        </w:tc>
        <w:tc>
          <w:tcPr>
            <w:tcW w:w="20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9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Number of Properties</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240" w:type="dxa"/>
            <w:vAlign w:val="bottom"/>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GLA</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43,946</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 Leased – Operating and Development</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95.5 %</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94.9 %</w:t>
            </w:r>
          </w:p>
        </w:tc>
      </w:tr>
      <w:tr>
        <w:trPr>
          <w:trHeight w:val="239"/>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 Leased – Operating</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95.8 %</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95.4 %</w:t>
            </w:r>
          </w:p>
        </w:tc>
      </w:tr>
      <w:tr>
        <w:trPr>
          <w:trHeight w:val="212"/>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annual effective rent per square foot</w:t>
            </w:r>
          </w:p>
        </w:tc>
        <w:tc>
          <w:tcPr>
            <w:tcW w:w="1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("PSF"), net of tenant concessions.</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$25.41</w:t>
            </w: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$24.67</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-565150</wp:posOffset>
            </wp:positionV>
            <wp:extent cx="4989195" cy="14605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general information related to the unconsolidated properties owned in real estate investment partnerships in our portfolio:</w:t>
      </w:r>
    </w:p>
    <w:p>
      <w:pPr>
        <w:spacing w:after="0" w:line="187" w:lineRule="exact"/>
        <w:rPr>
          <w:sz w:val="20"/>
          <w:szCs w:val="20"/>
          <w:color w:val="auto"/>
        </w:rPr>
      </w:pPr>
    </w:p>
    <w:tbl>
      <w:tblPr>
        <w:tblLayout w:type="fixed"/>
        <w:tblInd w:w="1700" w:type="dxa"/>
        <w:tblCellMar>
          <w:top w:w="0" w:type="dxa"/>
          <w:left w:w="0" w:type="dxa"/>
          <w:bottom w:w="0" w:type="dxa"/>
          <w:right w:w="0" w:type="dxa"/>
        </w:tblCellMar>
      </w:tblPr>
      <w:tr>
        <w:trPr>
          <w:trHeight w:val="232"/>
        </w:trPr>
        <w:tc>
          <w:tcPr>
            <w:tcW w:w="4000" w:type="dxa"/>
            <w:vAlign w:val="bottom"/>
          </w:tcPr>
          <w:p>
            <w:pPr>
              <w:spacing w:after="0"/>
              <w:rPr>
                <w:sz w:val="20"/>
                <w:szCs w:val="20"/>
                <w:color w:val="auto"/>
              </w:rPr>
            </w:pPr>
            <w:r>
              <w:rPr>
                <w:rFonts w:ascii="Times New Roman" w:cs="Times New Roman" w:eastAsia="Times New Roman" w:hAnsi="Times New Roman"/>
                <w:sz w:val="14"/>
                <w:szCs w:val="14"/>
                <w:color w:val="auto"/>
              </w:rPr>
              <w:t>(GLA in thousands)</w:t>
            </w:r>
          </w:p>
        </w:tc>
        <w:tc>
          <w:tcPr>
            <w:tcW w:w="20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92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Number of Properties</w:t>
            </w:r>
          </w:p>
        </w:tc>
        <w:tc>
          <w:tcPr>
            <w:tcW w:w="17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40" w:type="dxa"/>
            <w:vAlign w:val="bottom"/>
            <w:shd w:val="clear" w:color="auto" w:fill="CFF0FC"/>
          </w:tcPr>
          <w:p>
            <w:pPr>
              <w:spacing w:after="0"/>
              <w:rPr>
                <w:sz w:val="19"/>
                <w:szCs w:val="19"/>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GLA</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13,226</w:t>
            </w:r>
          </w:p>
        </w:tc>
        <w:tc>
          <w:tcPr>
            <w:tcW w:w="2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 Leased – Operating and Development</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96.6 %</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96.6 %</w:t>
            </w:r>
          </w:p>
        </w:tc>
      </w:tr>
      <w:tr>
        <w:trPr>
          <w:trHeight w:val="239"/>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 Leased –Operating</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96.6 %</w:t>
            </w: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96.6 %</w:t>
            </w:r>
          </w:p>
        </w:tc>
      </w:tr>
      <w:tr>
        <w:trPr>
          <w:trHeight w:val="212"/>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 average annual effective rent PSF, net of tenant</w:t>
            </w:r>
          </w:p>
        </w:tc>
        <w:tc>
          <w:tcPr>
            <w:tcW w:w="1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concessions</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$24.47</w:t>
            </w:r>
          </w:p>
        </w:tc>
        <w:tc>
          <w:tcPr>
            <w:tcW w:w="24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$24.04</w:t>
            </w:r>
          </w:p>
        </w:tc>
        <w:tc>
          <w:tcPr>
            <w:tcW w:w="80" w:type="dxa"/>
            <w:vAlign w:val="bottom"/>
            <w:shd w:val="clear" w:color="auto" w:fill="CFF0FC"/>
          </w:tcPr>
          <w:p>
            <w:pPr>
              <w:spacing w:after="0"/>
              <w:rPr>
                <w:sz w:val="19"/>
                <w:szCs w:val="19"/>
                <w:color w:val="auto"/>
              </w:rPr>
            </w:pP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-565150</wp:posOffset>
            </wp:positionV>
            <wp:extent cx="4989195" cy="14605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989195" cy="146050"/>
                    </a:xfrm>
                    <a:prstGeom prst="rect">
                      <a:avLst/>
                    </a:prstGeom>
                    <a:noFill/>
                  </pic:spPr>
                </pic:pic>
              </a:graphicData>
            </a:graphic>
          </wp:anchor>
        </w:drawing>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4" w:right="3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color w:val="auto"/>
        </w:rPr>
        <w:t>The following table summarizes Pro-rata occupancy rates of our combined consolidated and unconsolidated shopping center portfolio:</w:t>
      </w:r>
    </w:p>
    <w:p>
      <w:pPr>
        <w:spacing w:after="0" w:line="187"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4000" w:type="dxa"/>
            <w:vAlign w:val="bottom"/>
          </w:tcPr>
          <w:p>
            <w:pPr>
              <w:spacing w:after="0"/>
              <w:rPr>
                <w:sz w:val="19"/>
                <w:szCs w:val="19"/>
                <w:color w:val="auto"/>
              </w:rPr>
            </w:pPr>
          </w:p>
        </w:tc>
        <w:tc>
          <w:tcPr>
            <w:tcW w:w="1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60" w:type="dxa"/>
            <w:vAlign w:val="bottom"/>
          </w:tcPr>
          <w:p>
            <w:pPr>
              <w:spacing w:after="0"/>
              <w:rPr>
                <w:sz w:val="19"/>
                <w:szCs w:val="19"/>
                <w:color w:val="auto"/>
              </w:rPr>
            </w:pPr>
          </w:p>
        </w:tc>
        <w:tc>
          <w:tcPr>
            <w:tcW w:w="1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80" w:type="dxa"/>
            <w:vAlign w:val="bottom"/>
          </w:tcPr>
          <w:p>
            <w:pPr>
              <w:spacing w:after="0"/>
              <w:rPr>
                <w:sz w:val="19"/>
                <w:szCs w:val="19"/>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6"/>
                <w:szCs w:val="16"/>
                <w:color w:val="auto"/>
              </w:rPr>
              <w:t>Percent Leased – All Properties</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95.6 %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95.1 %</w:t>
            </w:r>
          </w:p>
        </w:tc>
      </w:tr>
      <w:tr>
        <w:trPr>
          <w:trHeight w:val="243"/>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Anchor Space (spaces </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 xml:space="preserve"> 10,000 SF)</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97.7 %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96.7 %</w:t>
            </w:r>
          </w:p>
        </w:tc>
      </w:tr>
      <w:tr>
        <w:trPr>
          <w:trHeight w:val="229"/>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Shop Space (spaces &lt; 10,000 SF)</w:t>
            </w:r>
          </w:p>
        </w:tc>
        <w:tc>
          <w:tcPr>
            <w:tcW w:w="2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92.3 %</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-433070</wp:posOffset>
            </wp:positionV>
            <wp:extent cx="4989195" cy="1454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989195" cy="14541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-132715</wp:posOffset>
            </wp:positionV>
            <wp:extent cx="4989195" cy="1454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989195" cy="145415"/>
                    </a:xfrm>
                    <a:prstGeom prst="rect">
                      <a:avLst/>
                    </a:prstGeom>
                    <a:noFill/>
                  </pic:spPr>
                </pic:pic>
              </a:graphicData>
            </a:graphic>
          </wp:anchor>
        </w:drawing>
      </w:r>
    </w:p>
    <w:p>
      <w:pPr>
        <w:spacing w:after="0" w:line="14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leasing activity, including our Pro-rata share of activity within the portfolio of our real estate partnerships (totals as a weighted average PSF):</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30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gridSpan w:val="7"/>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r>
      <w:tr>
        <w:trPr>
          <w:trHeight w:val="200"/>
        </w:trPr>
        <w:tc>
          <w:tcPr>
            <w:tcW w:w="3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Tenant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Leasing</w:t>
            </w:r>
          </w:p>
        </w:tc>
      </w:tr>
      <w:tr>
        <w:trPr>
          <w:trHeight w:val="203"/>
        </w:trPr>
        <w:tc>
          <w:tcPr>
            <w:tcW w:w="330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80" w:type="dxa"/>
            <w:vAlign w:val="bottom"/>
          </w:tcPr>
          <w:p>
            <w:pPr>
              <w:spacing w:after="0"/>
              <w:rPr>
                <w:sz w:val="17"/>
                <w:szCs w:val="17"/>
                <w:color w:val="auto"/>
              </w:rPr>
            </w:pPr>
          </w:p>
        </w:tc>
        <w:tc>
          <w:tcPr>
            <w:tcW w:w="14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SF (in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Base Rent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and Landlord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Commissions</w:t>
            </w:r>
          </w:p>
        </w:tc>
      </w:tr>
      <w:tr>
        <w:trPr>
          <w:trHeight w:val="225"/>
        </w:trPr>
        <w:tc>
          <w:tcPr>
            <w:tcW w:w="3300" w:type="dxa"/>
            <w:vAlign w:val="bottom"/>
          </w:tcPr>
          <w:p>
            <w:pPr>
              <w:spacing w:after="0"/>
              <w:rPr>
                <w:sz w:val="19"/>
                <w:szCs w:val="19"/>
                <w:color w:val="auto"/>
              </w:rPr>
            </w:pPr>
          </w:p>
        </w:tc>
        <w:tc>
          <w:tcPr>
            <w:tcW w:w="15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Transactions</w:t>
            </w:r>
          </w:p>
        </w:tc>
        <w:tc>
          <w:tcPr>
            <w:tcW w:w="180" w:type="dxa"/>
            <w:vAlign w:val="bottom"/>
          </w:tcPr>
          <w:p>
            <w:pPr>
              <w:spacing w:after="0"/>
              <w:rPr>
                <w:sz w:val="19"/>
                <w:szCs w:val="19"/>
                <w:color w:val="auto"/>
              </w:rPr>
            </w:pPr>
          </w:p>
        </w:tc>
        <w:tc>
          <w:tcPr>
            <w:tcW w:w="14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PSF</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Work PSF</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PSF</w:t>
            </w:r>
          </w:p>
        </w:tc>
      </w:tr>
      <w:tr>
        <w:trPr>
          <w:trHeight w:val="230"/>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Anchor Space Leases</w:t>
            </w: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0"/>
        </w:trPr>
        <w:tc>
          <w:tcPr>
            <w:tcW w:w="3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723</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19.73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53.17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6.28</w:t>
            </w:r>
          </w:p>
        </w:tc>
      </w:tr>
      <w:tr>
        <w:trPr>
          <w:trHeight w:val="233"/>
        </w:trPr>
        <w:tc>
          <w:tcPr>
            <w:tcW w:w="3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Renewal</w:t>
            </w: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104</w:t>
            </w:r>
          </w:p>
        </w:tc>
        <w:tc>
          <w:tcPr>
            <w:tcW w:w="18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2,871</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18.03</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0.34</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0.10</w:t>
            </w:r>
          </w:p>
        </w:tc>
      </w:tr>
      <w:tr>
        <w:trPr>
          <w:trHeight w:val="223"/>
        </w:trPr>
        <w:tc>
          <w:tcPr>
            <w:tcW w:w="3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Anchor Space Leases</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133</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3,594</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w:t>
            </w:r>
          </w:p>
        </w:tc>
      </w:tr>
      <w:tr>
        <w:trPr>
          <w:trHeight w:val="230"/>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Shop Space Leases</w:t>
            </w:r>
          </w:p>
        </w:tc>
        <w:tc>
          <w:tcPr>
            <w:tcW w:w="156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r>
      <w:tr>
        <w:trPr>
          <w:trHeight w:val="220"/>
        </w:trPr>
        <w:tc>
          <w:tcPr>
            <w:tcW w:w="3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439</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890</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42.61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13.99</w:t>
            </w:r>
          </w:p>
        </w:tc>
      </w:tr>
      <w:tr>
        <w:trPr>
          <w:trHeight w:val="233"/>
        </w:trPr>
        <w:tc>
          <w:tcPr>
            <w:tcW w:w="3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Renewal</w:t>
            </w: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931</w:t>
            </w:r>
          </w:p>
        </w:tc>
        <w:tc>
          <w:tcPr>
            <w:tcW w:w="18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1,819</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37.57</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2.34</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0.61</w:t>
            </w:r>
          </w:p>
        </w:tc>
      </w:tr>
      <w:tr>
        <w:trPr>
          <w:trHeight w:val="223"/>
        </w:trPr>
        <w:tc>
          <w:tcPr>
            <w:tcW w:w="3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Shop Space Leases</w:t>
            </w: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1,370</w:t>
            </w:r>
          </w:p>
        </w:tc>
        <w:tc>
          <w:tcPr>
            <w:tcW w:w="180" w:type="dxa"/>
            <w:vAlign w:val="bottom"/>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2,709</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38.21</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15.57</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5.00</w:t>
            </w:r>
          </w:p>
        </w:tc>
      </w:tr>
      <w:tr>
        <w:trPr>
          <w:trHeight w:val="263"/>
        </w:trPr>
        <w:tc>
          <w:tcPr>
            <w:tcW w:w="33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Leases</w:t>
            </w: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1,503</w:t>
            </w:r>
          </w:p>
        </w:tc>
        <w:tc>
          <w:tcPr>
            <w:tcW w:w="18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6,303</w:t>
            </w:r>
          </w:p>
        </w:tc>
        <w:tc>
          <w:tcPr>
            <w:tcW w:w="1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26.89</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12.95</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2.92</w:t>
            </w:r>
          </w:p>
        </w:tc>
      </w:tr>
      <w:tr>
        <w:trPr>
          <w:trHeight w:val="412"/>
        </w:trPr>
        <w:tc>
          <w:tcPr>
            <w:tcW w:w="330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gridSpan w:val="7"/>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Nine months ended September 30, 2023</w:t>
            </w: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00"/>
        </w:trPr>
        <w:tc>
          <w:tcPr>
            <w:tcW w:w="3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Tenant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3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Allowance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Leasing</w:t>
            </w:r>
          </w:p>
        </w:tc>
      </w:tr>
      <w:tr>
        <w:trPr>
          <w:trHeight w:val="203"/>
        </w:trPr>
        <w:tc>
          <w:tcPr>
            <w:tcW w:w="330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Leasing</w:t>
            </w:r>
          </w:p>
        </w:tc>
        <w:tc>
          <w:tcPr>
            <w:tcW w:w="180" w:type="dxa"/>
            <w:vAlign w:val="bottom"/>
          </w:tcPr>
          <w:p>
            <w:pPr>
              <w:spacing w:after="0"/>
              <w:rPr>
                <w:sz w:val="17"/>
                <w:szCs w:val="17"/>
                <w:color w:val="auto"/>
              </w:rPr>
            </w:pPr>
          </w:p>
        </w:tc>
        <w:tc>
          <w:tcPr>
            <w:tcW w:w="144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SF (in</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Base Rent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and Landlord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Commissions</w:t>
            </w:r>
          </w:p>
        </w:tc>
      </w:tr>
      <w:tr>
        <w:trPr>
          <w:trHeight w:val="225"/>
        </w:trPr>
        <w:tc>
          <w:tcPr>
            <w:tcW w:w="3300" w:type="dxa"/>
            <w:vAlign w:val="bottom"/>
          </w:tcPr>
          <w:p>
            <w:pPr>
              <w:spacing w:after="0"/>
              <w:rPr>
                <w:sz w:val="19"/>
                <w:szCs w:val="19"/>
                <w:color w:val="auto"/>
              </w:rPr>
            </w:pPr>
          </w:p>
        </w:tc>
        <w:tc>
          <w:tcPr>
            <w:tcW w:w="15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Transactions</w:t>
            </w:r>
          </w:p>
        </w:tc>
        <w:tc>
          <w:tcPr>
            <w:tcW w:w="180" w:type="dxa"/>
            <w:vAlign w:val="bottom"/>
          </w:tcPr>
          <w:p>
            <w:pPr>
              <w:spacing w:after="0"/>
              <w:rPr>
                <w:sz w:val="19"/>
                <w:szCs w:val="19"/>
                <w:color w:val="auto"/>
              </w:rPr>
            </w:pPr>
          </w:p>
        </w:tc>
        <w:tc>
          <w:tcPr>
            <w:tcW w:w="14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PSF</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Work PSF</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PSF</w:t>
            </w:r>
          </w:p>
        </w:tc>
      </w:tr>
      <w:tr>
        <w:trPr>
          <w:trHeight w:val="229"/>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Anchor Space Leases</w:t>
            </w:r>
          </w:p>
        </w:tc>
        <w:tc>
          <w:tcPr>
            <w:tcW w:w="1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r>
      <w:tr>
        <w:trPr>
          <w:trHeight w:val="220"/>
        </w:trPr>
        <w:tc>
          <w:tcPr>
            <w:tcW w:w="3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513</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19.96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46.57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4.33</w:t>
            </w:r>
          </w:p>
        </w:tc>
      </w:tr>
      <w:tr>
        <w:trPr>
          <w:trHeight w:val="233"/>
        </w:trPr>
        <w:tc>
          <w:tcPr>
            <w:tcW w:w="3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Renewal</w:t>
            </w: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79</w:t>
            </w:r>
          </w:p>
        </w:tc>
        <w:tc>
          <w:tcPr>
            <w:tcW w:w="18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2,090</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16.90</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0.45</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0.10</w:t>
            </w:r>
          </w:p>
        </w:tc>
      </w:tr>
      <w:tr>
        <w:trPr>
          <w:trHeight w:val="223"/>
        </w:trPr>
        <w:tc>
          <w:tcPr>
            <w:tcW w:w="3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Anchor Space Leases</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102</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2,603</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17.50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9.54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0.93</w:t>
            </w:r>
          </w:p>
        </w:tc>
      </w:tr>
      <w:tr>
        <w:trPr>
          <w:trHeight w:val="230"/>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Shop Space Leases</w:t>
            </w:r>
          </w:p>
        </w:tc>
        <w:tc>
          <w:tcPr>
            <w:tcW w:w="156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r>
      <w:tr>
        <w:trPr>
          <w:trHeight w:val="220"/>
        </w:trPr>
        <w:tc>
          <w:tcPr>
            <w:tcW w:w="33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New</w:t>
            </w:r>
          </w:p>
        </w:tc>
        <w:tc>
          <w:tcPr>
            <w:tcW w:w="1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417</w:t>
            </w:r>
          </w:p>
        </w:tc>
        <w:tc>
          <w:tcPr>
            <w:tcW w:w="1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830</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37.83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38.90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12.13</w:t>
            </w:r>
          </w:p>
        </w:tc>
      </w:tr>
      <w:tr>
        <w:trPr>
          <w:trHeight w:val="233"/>
        </w:trPr>
        <w:tc>
          <w:tcPr>
            <w:tcW w:w="33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Renewal</w:t>
            </w: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791</w:t>
            </w:r>
          </w:p>
        </w:tc>
        <w:tc>
          <w:tcPr>
            <w:tcW w:w="180" w:type="dxa"/>
            <w:vAlign w:val="bottom"/>
            <w:tcBorders>
              <w:bottom w:val="single" w:sz="8" w:color="CFF0FC"/>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1,386</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37.37</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1.49</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0.64</w:t>
            </w:r>
          </w:p>
        </w:tc>
      </w:tr>
      <w:tr>
        <w:trPr>
          <w:trHeight w:val="223"/>
        </w:trPr>
        <w:tc>
          <w:tcPr>
            <w:tcW w:w="33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Shop Space Leases</w:t>
            </w:r>
          </w:p>
        </w:tc>
        <w:tc>
          <w:tcPr>
            <w:tcW w:w="1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1,208</w:t>
            </w:r>
          </w:p>
        </w:tc>
        <w:tc>
          <w:tcPr>
            <w:tcW w:w="180" w:type="dxa"/>
            <w:vAlign w:val="bottom"/>
          </w:tcPr>
          <w:p>
            <w:pPr>
              <w:spacing w:after="0"/>
              <w:rPr>
                <w:sz w:val="19"/>
                <w:szCs w:val="19"/>
                <w:color w:val="auto"/>
              </w:rPr>
            </w:pPr>
          </w:p>
        </w:tc>
        <w:tc>
          <w:tcPr>
            <w:tcW w:w="1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2,216</w:t>
            </w:r>
          </w:p>
        </w:tc>
        <w:tc>
          <w:tcPr>
            <w:tcW w:w="18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37.54</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15.50</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4.94</w:t>
            </w:r>
          </w:p>
        </w:tc>
      </w:tr>
      <w:tr>
        <w:trPr>
          <w:trHeight w:val="263"/>
        </w:trPr>
        <w:tc>
          <w:tcPr>
            <w:tcW w:w="33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6"/>
                <w:szCs w:val="16"/>
                <w:color w:val="auto"/>
              </w:rPr>
              <w:t>Total Leases</w:t>
            </w:r>
          </w:p>
        </w:tc>
        <w:tc>
          <w:tcPr>
            <w:tcW w:w="15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1,310</w:t>
            </w:r>
          </w:p>
        </w:tc>
        <w:tc>
          <w:tcPr>
            <w:tcW w:w="18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4,819</w:t>
            </w:r>
          </w:p>
        </w:tc>
        <w:tc>
          <w:tcPr>
            <w:tcW w:w="1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26.71</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12.28</w:t>
            </w:r>
          </w:p>
        </w:tc>
        <w:tc>
          <w:tcPr>
            <w:tcW w:w="1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-3128010</wp:posOffset>
            </wp:positionV>
            <wp:extent cx="12001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-3128010</wp:posOffset>
            </wp:positionV>
            <wp:extent cx="11112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-3128010</wp:posOffset>
            </wp:positionV>
            <wp:extent cx="11176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-3128010</wp:posOffset>
            </wp:positionV>
            <wp:extent cx="1111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-2528570</wp:posOffset>
            </wp:positionV>
            <wp:extent cx="12001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-2528570</wp:posOffset>
            </wp:positionV>
            <wp:extent cx="11112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-2528570</wp:posOffset>
            </wp:positionV>
            <wp:extent cx="11176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-2528570</wp:posOffset>
            </wp:positionV>
            <wp:extent cx="11112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-2219325</wp:posOffset>
            </wp:positionV>
            <wp:extent cx="12001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-2202180</wp:posOffset>
            </wp:positionV>
            <wp:extent cx="12001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-2219325</wp:posOffset>
            </wp:positionV>
            <wp:extent cx="11112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-2202180</wp:posOffset>
            </wp:positionV>
            <wp:extent cx="11112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-2219325</wp:posOffset>
            </wp:positionV>
            <wp:extent cx="11176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-2202180</wp:posOffset>
            </wp:positionV>
            <wp:extent cx="1117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-2219325</wp:posOffset>
            </wp:positionV>
            <wp:extent cx="11112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-2202180</wp:posOffset>
            </wp:positionV>
            <wp:extent cx="1111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-933450</wp:posOffset>
            </wp:positionV>
            <wp:extent cx="12001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-933450</wp:posOffset>
            </wp:positionV>
            <wp:extent cx="11112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-933450</wp:posOffset>
            </wp:positionV>
            <wp:extent cx="1117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-933450</wp:posOffset>
            </wp:positionV>
            <wp:extent cx="11112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-333375</wp:posOffset>
            </wp:positionV>
            <wp:extent cx="12001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-333375</wp:posOffset>
            </wp:positionV>
            <wp:extent cx="11112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-333375</wp:posOffset>
            </wp:positionV>
            <wp:extent cx="11176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-333375</wp:posOffset>
            </wp:positionV>
            <wp:extent cx="11112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-24765</wp:posOffset>
            </wp:positionV>
            <wp:extent cx="12001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-7620</wp:posOffset>
            </wp:positionV>
            <wp:extent cx="12001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1111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11112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11176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-7620</wp:posOffset>
            </wp:positionV>
            <wp:extent cx="11176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11112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11112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24" w:lineRule="exact"/>
        <w:rPr>
          <w:sz w:val="20"/>
          <w:szCs w:val="20"/>
          <w:color w:val="auto"/>
        </w:rPr>
      </w:pPr>
    </w:p>
    <w:p>
      <w:pPr>
        <w:jc w:val="both"/>
        <w:ind w:right="40"/>
        <w:spacing w:after="0" w:line="289" w:lineRule="auto"/>
        <w:rPr>
          <w:sz w:val="20"/>
          <w:szCs w:val="20"/>
          <w:color w:val="auto"/>
        </w:rPr>
      </w:pPr>
      <w:r>
        <w:rPr>
          <w:rFonts w:ascii="Times New Roman" w:cs="Times New Roman" w:eastAsia="Times New Roman" w:hAnsi="Times New Roman"/>
          <w:sz w:val="17"/>
          <w:szCs w:val="17"/>
          <w:color w:val="auto"/>
        </w:rPr>
        <w:t>The weighted-average base rent PSF on signed Shop Space leases during 2024 was $38.21 PSF, which is higher than the weighted average annual base rent PSF of all Shop Space leases due to expire during the next 12 months of $35.64 PSF. New and renewal rent spreads, compared to prior rents on these same spaces leased, were positive at 9.0% for the nine months ended September 30, 2024, compared to 9.2% for the nine months ended September 30, 2023.</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Significant Tenants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seek to reduce our operating and leasing risks by avoiding dependence on any single tenant. Based on percentage of annualized base rent, the following table summarizes our most significant tenants, of which four of the top five are grocers: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2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r>
      <w:tr>
        <w:trPr>
          <w:trHeight w:val="200"/>
        </w:trPr>
        <w:tc>
          <w:tcPr>
            <w:tcW w:w="2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Percentage of</w:t>
            </w:r>
          </w:p>
        </w:tc>
        <w:tc>
          <w:tcPr>
            <w:tcW w:w="26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175"/>
        </w:trPr>
        <w:tc>
          <w:tcPr>
            <w:tcW w:w="2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jc w:val="center"/>
              <w:ind w:left="239"/>
              <w:spacing w:after="0" w:line="175"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Company-</w:t>
            </w:r>
          </w:p>
        </w:tc>
        <w:tc>
          <w:tcPr>
            <w:tcW w:w="260" w:type="dxa"/>
            <w:vAlign w:val="bottom"/>
          </w:tcPr>
          <w:p>
            <w:pPr>
              <w:spacing w:after="0"/>
              <w:rPr>
                <w:sz w:val="15"/>
                <w:szCs w:val="15"/>
                <w:color w:val="auto"/>
              </w:rPr>
            </w:pPr>
          </w:p>
        </w:tc>
        <w:tc>
          <w:tcPr>
            <w:tcW w:w="17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Percentage of</w:t>
            </w:r>
          </w:p>
        </w:tc>
      </w:tr>
      <w:tr>
        <w:trPr>
          <w:trHeight w:val="259"/>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Tenant</w:t>
            </w:r>
          </w:p>
        </w:tc>
        <w:tc>
          <w:tcPr>
            <w:tcW w:w="260" w:type="dxa"/>
            <w:vAlign w:val="bottom"/>
          </w:tcPr>
          <w:p>
            <w:pPr>
              <w:spacing w:after="0"/>
              <w:rPr>
                <w:sz w:val="22"/>
                <w:szCs w:val="22"/>
                <w:color w:val="auto"/>
              </w:rPr>
            </w:pPr>
          </w:p>
        </w:tc>
        <w:tc>
          <w:tcPr>
            <w:tcW w:w="1360" w:type="dxa"/>
            <w:vAlign w:val="bottom"/>
            <w:tcBorders>
              <w:bottom w:val="single" w:sz="8" w:color="auto"/>
            </w:tcBorders>
          </w:tcPr>
          <w:p>
            <w:pPr>
              <w:jc w:val="center"/>
              <w:ind w:left="239"/>
              <w:spacing w:after="0"/>
              <w:rPr>
                <w:sz w:val="20"/>
                <w:szCs w:val="20"/>
                <w:color w:val="auto"/>
              </w:rPr>
            </w:pPr>
            <w:r>
              <w:rPr>
                <w:rFonts w:ascii="Times New Roman" w:cs="Times New Roman" w:eastAsia="Times New Roman" w:hAnsi="Times New Roman"/>
                <w:sz w:val="16"/>
                <w:szCs w:val="16"/>
                <w:b w:val="1"/>
                <w:bCs w:val="1"/>
                <w:color w:val="auto"/>
              </w:rPr>
              <w:t>Stores</w:t>
            </w:r>
          </w:p>
        </w:tc>
        <w:tc>
          <w:tcPr>
            <w:tcW w:w="42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xml:space="preserve">owned GLA </w:t>
            </w:r>
            <w:r>
              <w:rPr>
                <w:rFonts w:ascii="Times New Roman" w:cs="Times New Roman" w:eastAsia="Times New Roman" w:hAnsi="Times New Roman"/>
                <w:sz w:val="21"/>
                <w:szCs w:val="21"/>
                <w:b w:val="1"/>
                <w:bCs w:val="1"/>
                <w:color w:val="auto"/>
                <w:w w:val="96"/>
                <w:vertAlign w:val="superscript"/>
              </w:rPr>
              <w:t>(1)</w:t>
            </w:r>
          </w:p>
        </w:tc>
        <w:tc>
          <w:tcPr>
            <w:tcW w:w="260" w:type="dxa"/>
            <w:vAlign w:val="bottom"/>
          </w:tcPr>
          <w:p>
            <w:pPr>
              <w:spacing w:after="0"/>
              <w:rPr>
                <w:sz w:val="22"/>
                <w:szCs w:val="22"/>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 xml:space="preserve">Annual Base Rent </w:t>
            </w:r>
            <w:r>
              <w:rPr>
                <w:rFonts w:ascii="Times New Roman" w:cs="Times New Roman" w:eastAsia="Times New Roman" w:hAnsi="Times New Roman"/>
                <w:sz w:val="21"/>
                <w:szCs w:val="21"/>
                <w:b w:val="1"/>
                <w:bCs w:val="1"/>
                <w:color w:val="auto"/>
                <w:w w:val="98"/>
                <w:vertAlign w:val="superscript"/>
              </w:rPr>
              <w:t>(1)</w:t>
            </w:r>
          </w:p>
        </w:tc>
      </w:tr>
      <w:tr>
        <w:trPr>
          <w:trHeight w:val="223"/>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Publix</w:t>
            </w:r>
          </w:p>
        </w:tc>
        <w:tc>
          <w:tcPr>
            <w:tcW w:w="13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67</w:t>
            </w:r>
          </w:p>
        </w:tc>
        <w:tc>
          <w:tcPr>
            <w:tcW w:w="204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rPr>
              <w:t>6.0%</w:t>
            </w:r>
          </w:p>
        </w:tc>
        <w:tc>
          <w:tcPr>
            <w:tcW w:w="204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rPr>
              <w:t>2.9%</w:t>
            </w:r>
          </w:p>
        </w:tc>
      </w:tr>
      <w:tr>
        <w:trPr>
          <w:trHeight w:val="229"/>
        </w:trPr>
        <w:tc>
          <w:tcPr>
            <w:tcW w:w="3120" w:type="dxa"/>
            <w:vAlign w:val="bottom"/>
            <w:gridSpan w:val="2"/>
          </w:tcPr>
          <w:p>
            <w:pPr>
              <w:spacing w:after="0" w:line="230" w:lineRule="exact"/>
              <w:rPr>
                <w:sz w:val="20"/>
                <w:szCs w:val="20"/>
                <w:color w:val="auto"/>
              </w:rPr>
            </w:pPr>
            <w:r>
              <w:rPr>
                <w:rFonts w:ascii="Times New Roman" w:cs="Times New Roman" w:eastAsia="Times New Roman" w:hAnsi="Times New Roman"/>
                <w:sz w:val="16"/>
                <w:szCs w:val="16"/>
                <w:color w:val="auto"/>
              </w:rPr>
              <w:t>Albertsons Companies, Inc.</w:t>
            </w:r>
            <w:r>
              <w:rPr>
                <w:rFonts w:ascii="Times New Roman" w:cs="Times New Roman" w:eastAsia="Times New Roman" w:hAnsi="Times New Roman"/>
                <w:sz w:val="21"/>
                <w:szCs w:val="21"/>
                <w:color w:val="auto"/>
                <w:vertAlign w:val="superscript"/>
              </w:rPr>
              <w:t>(2)</w:t>
            </w:r>
          </w:p>
        </w:tc>
        <w:tc>
          <w:tcPr>
            <w:tcW w:w="1360" w:type="dxa"/>
            <w:vAlign w:val="bottom"/>
          </w:tcPr>
          <w:p>
            <w:pPr>
              <w:spacing w:after="0"/>
              <w:rPr>
                <w:sz w:val="19"/>
                <w:szCs w:val="19"/>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w:t>
            </w:r>
          </w:p>
        </w:tc>
        <w:tc>
          <w:tcPr>
            <w:tcW w:w="204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rPr>
              <w:t>4.4%</w:t>
            </w:r>
          </w:p>
        </w:tc>
        <w:tc>
          <w:tcPr>
            <w:tcW w:w="204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rPr>
              <w:t>2.8%</w:t>
            </w:r>
          </w:p>
        </w:tc>
      </w:tr>
      <w:tr>
        <w:trPr>
          <w:trHeight w:val="230"/>
        </w:trPr>
        <w:tc>
          <w:tcPr>
            <w:tcW w:w="3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TJX Companies, Inc.</w:t>
            </w:r>
          </w:p>
        </w:tc>
        <w:tc>
          <w:tcPr>
            <w:tcW w:w="136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c>
          <w:tcPr>
            <w:tcW w:w="204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rPr>
              <w:t>3.6%</w:t>
            </w:r>
          </w:p>
        </w:tc>
        <w:tc>
          <w:tcPr>
            <w:tcW w:w="204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rPr>
              <w:t>2.8%</w:t>
            </w:r>
          </w:p>
        </w:tc>
      </w:tr>
      <w:tr>
        <w:trPr>
          <w:trHeight w:val="220"/>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Amazon/Whole Foods</w:t>
            </w:r>
          </w:p>
        </w:tc>
        <w:tc>
          <w:tcPr>
            <w:tcW w:w="1360" w:type="dxa"/>
            <w:vAlign w:val="bottom"/>
          </w:tcPr>
          <w:p>
            <w:pPr>
              <w:spacing w:after="0"/>
              <w:rPr>
                <w:sz w:val="19"/>
                <w:szCs w:val="19"/>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204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rPr>
              <w:t>2.7%</w:t>
            </w:r>
          </w:p>
        </w:tc>
        <w:tc>
          <w:tcPr>
            <w:tcW w:w="2040" w:type="dxa"/>
            <w:vAlign w:val="bottom"/>
            <w:gridSpan w:val="2"/>
          </w:tcPr>
          <w:p>
            <w:pPr>
              <w:jc w:val="center"/>
              <w:ind w:left="179"/>
              <w:spacing w:after="0"/>
              <w:rPr>
                <w:sz w:val="20"/>
                <w:szCs w:val="20"/>
                <w:color w:val="auto"/>
              </w:rPr>
            </w:pPr>
            <w:r>
              <w:rPr>
                <w:rFonts w:ascii="Times New Roman" w:cs="Times New Roman" w:eastAsia="Times New Roman" w:hAnsi="Times New Roman"/>
                <w:sz w:val="16"/>
                <w:szCs w:val="16"/>
                <w:color w:val="auto"/>
              </w:rPr>
              <w:t>2.7%</w:t>
            </w:r>
          </w:p>
        </w:tc>
      </w:tr>
      <w:tr>
        <w:trPr>
          <w:trHeight w:val="239"/>
        </w:trPr>
        <w:tc>
          <w:tcPr>
            <w:tcW w:w="3120" w:type="dxa"/>
            <w:vAlign w:val="bottom"/>
            <w:gridSpan w:val="2"/>
            <w:shd w:val="clear" w:color="auto" w:fill="CFF0FC"/>
          </w:tcPr>
          <w:p>
            <w:pPr>
              <w:spacing w:after="0" w:line="239" w:lineRule="exact"/>
              <w:rPr>
                <w:sz w:val="20"/>
                <w:szCs w:val="20"/>
                <w:color w:val="auto"/>
              </w:rPr>
            </w:pPr>
            <w:r>
              <w:rPr>
                <w:rFonts w:ascii="Times New Roman" w:cs="Times New Roman" w:eastAsia="Times New Roman" w:hAnsi="Times New Roman"/>
                <w:sz w:val="16"/>
                <w:szCs w:val="16"/>
                <w:color w:val="auto"/>
              </w:rPr>
              <w:t>Kroger Co.</w:t>
            </w:r>
            <w:r>
              <w:rPr>
                <w:rFonts w:ascii="Times New Roman" w:cs="Times New Roman" w:eastAsia="Times New Roman" w:hAnsi="Times New Roman"/>
                <w:sz w:val="21"/>
                <w:szCs w:val="21"/>
                <w:color w:val="auto"/>
                <w:vertAlign w:val="superscript"/>
              </w:rPr>
              <w:t>(2)</w:t>
            </w:r>
          </w:p>
        </w:tc>
        <w:tc>
          <w:tcPr>
            <w:tcW w:w="136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52</w:t>
            </w:r>
          </w:p>
        </w:tc>
        <w:tc>
          <w:tcPr>
            <w:tcW w:w="204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rPr>
              <w:t>6.0%</w:t>
            </w:r>
          </w:p>
        </w:tc>
        <w:tc>
          <w:tcPr>
            <w:tcW w:w="2040" w:type="dxa"/>
            <w:vAlign w:val="bottom"/>
            <w:gridSpan w:val="2"/>
            <w:shd w:val="clear" w:color="auto" w:fill="CFF0FC"/>
          </w:tcPr>
          <w:p>
            <w:pPr>
              <w:jc w:val="center"/>
              <w:ind w:left="179"/>
              <w:spacing w:after="0"/>
              <w:rPr>
                <w:sz w:val="20"/>
                <w:szCs w:val="20"/>
                <w:color w:val="auto"/>
              </w:rPr>
            </w:pPr>
            <w:r>
              <w:rPr>
                <w:rFonts w:ascii="Times New Roman" w:cs="Times New Roman" w:eastAsia="Times New Roman" w:hAnsi="Times New Roman"/>
                <w:sz w:val="16"/>
                <w:szCs w:val="16"/>
                <w:color w:val="auto"/>
              </w:rPr>
              <w:t>2.6%</w:t>
            </w:r>
          </w:p>
        </w:tc>
      </w:tr>
    </w:tbl>
    <w:p>
      <w:pPr>
        <w:spacing w:after="0" w:line="52" w:lineRule="exact"/>
        <w:rPr>
          <w:sz w:val="20"/>
          <w:szCs w:val="20"/>
          <w:color w:val="auto"/>
        </w:rPr>
      </w:pPr>
    </w:p>
    <w:p>
      <w:pPr>
        <w:ind w:left="1340" w:hanging="252"/>
        <w:spacing w:after="0"/>
        <w:tabs>
          <w:tab w:leader="none" w:pos="134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Regency's Pro-rata share of unconsolidated properties and excludes those owned by anchors.</w:t>
      </w:r>
    </w:p>
    <w:p>
      <w:pPr>
        <w:spacing w:after="0" w:line="100" w:lineRule="exact"/>
        <w:rPr>
          <w:rFonts w:ascii="Times New Roman" w:cs="Times New Roman" w:eastAsia="Times New Roman" w:hAnsi="Times New Roman"/>
          <w:sz w:val="22"/>
          <w:szCs w:val="22"/>
          <w:color w:val="auto"/>
          <w:vertAlign w:val="superscript"/>
        </w:rPr>
      </w:pPr>
    </w:p>
    <w:p>
      <w:pPr>
        <w:ind w:left="1340" w:right="60" w:hanging="252"/>
        <w:spacing w:after="0" w:line="255" w:lineRule="auto"/>
        <w:tabs>
          <w:tab w:leader="none" w:pos="1340" w:val="left"/>
        </w:tabs>
        <w:numPr>
          <w:ilvl w:val="0"/>
          <w:numId w:val="2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October 2022, Kroger Co. and Albertsons Companies, Inc. announced a proposed merger, and in September 2023 an agreement for a separate transaction was announced to divest certain assets of each company to a third party, C&amp;S Wholesale Grocers ("C&amp;S"). The transaction with C&amp;S, as later amended in April 2024, calls for the sale of 579 stores to C&amp;S. Lawsuits have been filed by federal and state regulators to enjoin the merger on antitrust grounds. Regency has a combined 104 Kroger and Albertson's stores, and 11 of them are among the 579 locations proposed to be sold to C&amp;S. These 11 locations comprise 0.9% of GLA and 0.5% of Annual Base Rent, including our Pro-rata share of our real estate partnerships . The expected outcome of the lawsuits to enjoin the transactions is uncertain at this time. Based on information currently available to the Company, we do not believe that these transactions (if they are consummated), or the termination of these transactions (if they are legally enjoined or otherwise fail to close), will have a material adverse effect on our results of operations or the financial condition of the Company.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Bankruptcies and Credit Concerns</w:t>
      </w:r>
    </w:p>
    <w:p>
      <w:pPr>
        <w:spacing w:after="0" w:line="17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Our management team devotes significant time to researching and monitoring consumer preferences and trends, customer shopping behaviors, changes in delivery methods, shifts to e-commerce, and changing demographics in order to anticipate the challenges and opportunities impacting our industry. We seek to mitigate these potential impacts through maintaining a high quality portfolio, diversifying our tenant mix, replacing less successful tenants with stronger operators, anchoring our centers with market leading grocers that drive customer traffic, and investing in suburban trade areas with compelling demographic populations benefiting from high levels of disposal income. The potential for a recession and the severity and duration of any economic downturn could negatively impact our existing tenants and their ability to continue to meet their lease obligations.</w:t>
      </w:r>
    </w:p>
    <w:p>
      <w:pPr>
        <w:spacing w:after="0" w:line="13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Although base rent is derived from long-term lease contracts, tenants that file for bankruptcy generally have the legal right to reject any or all of their leases and close related stores. Any unsecured claim we hold against a bankrupt tenant for unpaid rent might be paid only to the extent that funds are available and only in the same percentage as is paid to all other holders of unsecured claims. As a result, in a tenant bankruptcy situation it is likely that we would recover substantially less than the full value of any unsecured claims we hold. Additionally, we may incur significant expense to adjudicate our claim and significant downtime to re-lease the vacated space. In the event that a tenant with a significant number of leases in our shopping centers files for bankruptcy and rejects its leases, we could experience a significant reduction in our revenues. At September 30, 2024, tenants currently in bankruptcy and which continue to occupy space in our shopping centers represent an aggregate of 0.3% of our Pro-rata annual base rent.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from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September 30, 2024 and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 changed as summarized in the following table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3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9"/>
                <w:szCs w:val="19"/>
                <w:color w:val="auto"/>
              </w:rPr>
            </w:pPr>
          </w:p>
        </w:tc>
        <w:tc>
          <w:tcPr>
            <w:tcW w:w="12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00" w:type="dxa"/>
            <w:vAlign w:val="bottom"/>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income</w:t>
            </w: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r>
      <w:tr>
        <w:trPr>
          <w:trHeight w:val="220"/>
        </w:trPr>
        <w:tc>
          <w:tcPr>
            <w:tcW w:w="3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Base rent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246,531</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227,347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19,184</w:t>
            </w:r>
          </w:p>
        </w:tc>
      </w:tr>
      <w:tr>
        <w:trPr>
          <w:trHeight w:val="239"/>
        </w:trPr>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Recoveries from tenants</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84,795</w:t>
            </w:r>
          </w:p>
        </w:tc>
        <w:tc>
          <w:tcPr>
            <w:tcW w:w="15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76,973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7,822</w:t>
            </w:r>
          </w:p>
        </w:tc>
      </w:tr>
      <w:tr>
        <w:trPr>
          <w:trHeight w:val="220"/>
        </w:trPr>
        <w:tc>
          <w:tcPr>
            <w:tcW w:w="3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Percentage rent</w:t>
            </w:r>
          </w:p>
        </w:tc>
        <w:tc>
          <w:tcPr>
            <w:tcW w:w="12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2,155</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1,868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287</w:t>
            </w:r>
          </w:p>
        </w:tc>
      </w:tr>
      <w:tr>
        <w:trPr>
          <w:trHeight w:val="239"/>
        </w:trPr>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Uncollectible lease income</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(342 )</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(636 )</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294</w:t>
            </w:r>
          </w:p>
        </w:tc>
      </w:tr>
      <w:tr>
        <w:trPr>
          <w:trHeight w:val="220"/>
        </w:trPr>
        <w:tc>
          <w:tcPr>
            <w:tcW w:w="3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lease income</w:t>
            </w:r>
          </w:p>
        </w:tc>
        <w:tc>
          <w:tcPr>
            <w:tcW w:w="12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5,029</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4,558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471</w:t>
            </w:r>
          </w:p>
        </w:tc>
      </w:tr>
      <w:tr>
        <w:trPr>
          <w:trHeight w:val="239"/>
        </w:trPr>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Straight-line rent</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5,163</w:t>
            </w:r>
          </w:p>
        </w:tc>
        <w:tc>
          <w:tcPr>
            <w:tcW w:w="15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2,693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2,470</w:t>
            </w:r>
          </w:p>
        </w:tc>
      </w:tr>
      <w:tr>
        <w:trPr>
          <w:trHeight w:val="223"/>
        </w:trPr>
        <w:tc>
          <w:tcPr>
            <w:tcW w:w="3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Above/below market rent amortization, net</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5,726</w:t>
            </w:r>
          </w:p>
        </w:tc>
        <w:tc>
          <w:tcPr>
            <w:tcW w:w="140" w:type="dxa"/>
            <w:vAlign w:val="bottom"/>
          </w:tcPr>
          <w:p>
            <w:pPr>
              <w:spacing w:after="0"/>
              <w:rPr>
                <w:sz w:val="19"/>
                <w:szCs w:val="19"/>
                <w:color w:val="auto"/>
              </w:rPr>
            </w:pPr>
          </w:p>
        </w:tc>
        <w:tc>
          <w:tcPr>
            <w:tcW w:w="1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8,118</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(2,392 )</w:t>
            </w:r>
          </w:p>
        </w:tc>
      </w:tr>
      <w:tr>
        <w:trPr>
          <w:trHeight w:val="230"/>
        </w:trPr>
        <w:tc>
          <w:tcPr>
            <w:tcW w:w="3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lease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349,057</w:t>
            </w:r>
          </w:p>
        </w:tc>
        <w:tc>
          <w:tcPr>
            <w:tcW w:w="15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320,921</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28,136</w:t>
            </w:r>
          </w:p>
        </w:tc>
      </w:tr>
      <w:tr>
        <w:trPr>
          <w:trHeight w:val="220"/>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Other property income</w:t>
            </w:r>
          </w:p>
        </w:tc>
        <w:tc>
          <w:tcPr>
            <w:tcW w:w="12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4,444</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2,638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1,806</w:t>
            </w:r>
          </w:p>
        </w:tc>
      </w:tr>
      <w:tr>
        <w:trPr>
          <w:trHeight w:val="233"/>
        </w:trPr>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Management, transaction, and other fees</w:t>
            </w:r>
          </w:p>
        </w:tc>
        <w:tc>
          <w:tcPr>
            <w:tcW w:w="1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6,765</w:t>
            </w:r>
          </w:p>
        </w:tc>
        <w:tc>
          <w:tcPr>
            <w:tcW w:w="1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7,079</w:t>
            </w: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(314 )</w:t>
            </w:r>
          </w:p>
        </w:tc>
      </w:tr>
      <w:tr>
        <w:trPr>
          <w:trHeight w:val="223"/>
        </w:trPr>
        <w:tc>
          <w:tcPr>
            <w:tcW w:w="3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360,266</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330,638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29,628</w:t>
            </w:r>
          </w:p>
        </w:tc>
      </w:tr>
      <w:tr>
        <w:trPr>
          <w:trHeight w:val="20"/>
        </w:trPr>
        <w:tc>
          <w:tcPr>
            <w:tcW w:w="3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-179705</wp:posOffset>
            </wp:positionV>
            <wp:extent cx="8572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-179705</wp:posOffset>
            </wp:positionV>
            <wp:extent cx="7747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income increased by $28.1 million primarily due to the following:</w:t>
      </w:r>
    </w:p>
    <w:p>
      <w:pPr>
        <w:spacing w:after="0" w:line="63" w:lineRule="exact"/>
        <w:rPr>
          <w:sz w:val="20"/>
          <w:szCs w:val="20"/>
          <w:color w:val="auto"/>
        </w:rPr>
      </w:pPr>
    </w:p>
    <w:p>
      <w:pPr>
        <w:ind w:left="1140" w:right="5020" w:hanging="758"/>
        <w:spacing w:after="0" w:line="313" w:lineRule="auto"/>
        <w:tabs>
          <w:tab w:leader="none" w:pos="7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 million increase from billable Base rent, mainly from the following: o $12.9 million increase from the acquisition of UBP;</w:t>
      </w: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$5.1 million net increase from same properties, including:</w:t>
      </w:r>
    </w:p>
    <w:p>
      <w:pPr>
        <w:spacing w:after="0" w:line="63" w:lineRule="exact"/>
        <w:rPr>
          <w:rFonts w:ascii="Times New Roman" w:cs="Times New Roman" w:eastAsia="Times New Roman" w:hAnsi="Times New Roman"/>
          <w:sz w:val="18"/>
          <w:szCs w:val="18"/>
          <w:color w:val="auto"/>
        </w:rPr>
      </w:pPr>
    </w:p>
    <w:p>
      <w:pPr>
        <w:ind w:left="2260" w:right="80" w:hanging="380"/>
        <w:spacing w:after="0" w:line="281" w:lineRule="auto"/>
        <w:tabs>
          <w:tab w:leader="none" w:pos="22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million net increase due to increases from occupancy, rent steps in existing leases, and positive rental spreads on new and renewal leases; and</w:t>
      </w:r>
    </w:p>
    <w:p>
      <w:pPr>
        <w:spacing w:after="0" w:line="1"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increase due to redevelopment projects becoming operational;</w:t>
      </w:r>
    </w:p>
    <w:p>
      <w:pPr>
        <w:spacing w:after="0" w:line="63" w:lineRule="exact"/>
        <w:rPr>
          <w:sz w:val="20"/>
          <w:szCs w:val="20"/>
          <w:color w:val="auto"/>
        </w:rPr>
      </w:pPr>
    </w:p>
    <w:p>
      <w:pPr>
        <w:ind w:left="1500" w:hanging="369"/>
        <w:spacing w:after="0"/>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increase from acquisitions of operating properties; partially offset by</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million decrease from disposition of properties.</w:t>
      </w:r>
    </w:p>
    <w:p>
      <w:pPr>
        <w:spacing w:after="0" w:line="63"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million increase from contractual Recoveries from tenants, which represents the tenants' proportionate share of the operating, maintenance, insurance, and real estate tax expenses that we incur to operate our shopping centers. Recoveries from tenants increased, mainly from the following:</w:t>
      </w:r>
    </w:p>
    <w:p>
      <w:pPr>
        <w:spacing w:after="0" w:line="1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million increase from the acquisition of UBP; and</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increase from same properties primarily due to higher expense recovery rates in the current year.</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increase in Straight-line rent mainly due to timing and degree of contractual rent steps..</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million decrease in Above and below market rent and tenant rent inducement amortization, net primarily due to:</w:t>
      </w:r>
    </w:p>
    <w:p>
      <w:pPr>
        <w:spacing w:after="0" w:line="63" w:lineRule="exact"/>
        <w:rPr>
          <w:rFonts w:ascii="Times New Roman" w:cs="Times New Roman" w:eastAsia="Times New Roman" w:hAnsi="Times New Roman"/>
          <w:sz w:val="18"/>
          <w:szCs w:val="18"/>
          <w:color w:val="auto"/>
        </w:rPr>
      </w:pPr>
    </w:p>
    <w:p>
      <w:pPr>
        <w:ind w:left="1500" w:right="220" w:hanging="369"/>
        <w:spacing w:after="0" w:line="281" w:lineRule="auto"/>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million decrease from same properties driven by an accelerated amortization from an early tenant move-out in 2023; partially offset by</w:t>
      </w:r>
    </w:p>
    <w:p>
      <w:pPr>
        <w:spacing w:after="0" w:line="1"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$0.8 million increase from the acquisition of UBP and other operating properties.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property income of $1.8 million increased primarily due to an increase in business interruption proceeds received in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in Management, transaction, and other fees.</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86"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auto"/>
        </w:rPr>
        <w:t>Changes in our operating expenses are summarized in the following table</w:t>
      </w:r>
      <w:r>
        <w:rPr>
          <w:rFonts w:ascii="Times New Roman" w:cs="Times New Roman" w:eastAsia="Times New Roman" w:hAnsi="Times New Roman"/>
          <w:sz w:val="18"/>
          <w:szCs w:val="18"/>
          <w:color w:val="auto"/>
        </w:rPr>
        <w:t>:</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3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9"/>
                <w:szCs w:val="19"/>
                <w:color w:val="auto"/>
              </w:rPr>
            </w:pPr>
          </w:p>
        </w:tc>
        <w:tc>
          <w:tcPr>
            <w:tcW w:w="13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100,955</w:t>
            </w:r>
          </w:p>
        </w:tc>
        <w:tc>
          <w:tcPr>
            <w:tcW w:w="15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87,505</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13,450</w:t>
            </w:r>
          </w:p>
        </w:tc>
      </w:tr>
      <w:tr>
        <w:trPr>
          <w:trHeight w:val="220"/>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Property operating expense</w:t>
            </w:r>
          </w:p>
        </w:tc>
        <w:tc>
          <w:tcPr>
            <w:tcW w:w="12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60,477</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59,227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1,250</w:t>
            </w:r>
          </w:p>
        </w:tc>
      </w:tr>
      <w:tr>
        <w:trPr>
          <w:trHeight w:val="239"/>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Real estate taxes</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45,729</w:t>
            </w:r>
          </w:p>
        </w:tc>
        <w:tc>
          <w:tcPr>
            <w:tcW w:w="15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40,171</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5,558</w:t>
            </w:r>
          </w:p>
        </w:tc>
      </w:tr>
      <w:tr>
        <w:trPr>
          <w:trHeight w:val="220"/>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Pr>
          <w:p>
            <w:pPr>
              <w:spacing w:after="0"/>
              <w:rPr>
                <w:sz w:val="19"/>
                <w:szCs w:val="19"/>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25,073</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20,903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4,170</w:t>
            </w:r>
          </w:p>
        </w:tc>
      </w:tr>
      <w:tr>
        <w:trPr>
          <w:trHeight w:val="233"/>
        </w:trPr>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operating expenses</w:t>
            </w:r>
          </w:p>
        </w:tc>
        <w:tc>
          <w:tcPr>
            <w:tcW w:w="1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3,654</w:t>
            </w:r>
          </w:p>
        </w:tc>
        <w:tc>
          <w:tcPr>
            <w:tcW w:w="1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3,533</w:t>
            </w: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r>
      <w:tr>
        <w:trPr>
          <w:trHeight w:val="223"/>
        </w:trPr>
        <w:tc>
          <w:tcPr>
            <w:tcW w:w="3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235,888</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211,339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24,549</w:t>
            </w:r>
          </w:p>
        </w:tc>
      </w:tr>
      <w:tr>
        <w:trPr>
          <w:trHeight w:val="20"/>
        </w:trPr>
        <w:tc>
          <w:tcPr>
            <w:tcW w:w="3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-179070</wp:posOffset>
            </wp:positionV>
            <wp:extent cx="8572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-179070</wp:posOffset>
            </wp:positionV>
            <wp:extent cx="7747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costs increased by $13.5 million, mainly due to the following:</w:t>
      </w:r>
    </w:p>
    <w:p>
      <w:pPr>
        <w:spacing w:after="0" w:line="63"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million increase from the acquisition of UBP;</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million increase from same properties mainly driven by redevelopment projects and early tenant move-outs; and</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increase from acquisitions of operating properties.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in Property operating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taxes increased by $5.6 million, mainly due to:</w:t>
      </w:r>
    </w:p>
    <w:p>
      <w:pPr>
        <w:spacing w:after="0" w:line="117"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increase from acquisition of UBP;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net increase from same properties primarily due to increases in real estate tax assessments across the portfolio.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costs increased by $4.2 million, mainly due to the following:</w:t>
      </w:r>
    </w:p>
    <w:p>
      <w:pPr>
        <w:spacing w:after="0" w:line="63" w:lineRule="exact"/>
        <w:rPr>
          <w:sz w:val="20"/>
          <w:szCs w:val="20"/>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increase in compensation costs primarily driven by salary increases and performance-based incentive compensation;</w:t>
      </w:r>
    </w:p>
    <w:p>
      <w:pPr>
        <w:spacing w:after="0" w:line="63"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increase due to changes in the value of participant obligations within the deferred compensation plan, attributable to changes in market values of those investments recognized in Net investment income.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in Other operating expenses.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following table presents the components of other expense, net</w:t>
      </w:r>
      <w:r>
        <w:rPr>
          <w:rFonts w:ascii="Times New Roman" w:cs="Times New Roman" w:eastAsia="Times New Roman" w:hAnsi="Times New Roman"/>
          <w:sz w:val="18"/>
          <w:szCs w:val="18"/>
          <w:color w:val="auto"/>
        </w:rPr>
        <w:t>:</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3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Pr>
          <w:p>
            <w:pPr>
              <w:spacing w:after="0"/>
              <w:rPr>
                <w:sz w:val="19"/>
                <w:szCs w:val="19"/>
                <w:color w:val="auto"/>
              </w:rPr>
            </w:pPr>
          </w:p>
        </w:tc>
        <w:tc>
          <w:tcPr>
            <w:tcW w:w="120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00" w:type="dxa"/>
            <w:vAlign w:val="bottom"/>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r>
      <w:tr>
        <w:trPr>
          <w:trHeight w:val="220"/>
        </w:trPr>
        <w:tc>
          <w:tcPr>
            <w:tcW w:w="3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on notes payable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46,365</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39,000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7,365</w:t>
            </w:r>
          </w:p>
        </w:tc>
      </w:tr>
      <w:tr>
        <w:trPr>
          <w:trHeight w:val="239"/>
        </w:trPr>
        <w:tc>
          <w:tcPr>
            <w:tcW w:w="3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Interest on unsecured credit facilities</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3,640</w:t>
            </w:r>
          </w:p>
        </w:tc>
        <w:tc>
          <w:tcPr>
            <w:tcW w:w="15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1,574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2,066</w:t>
            </w:r>
          </w:p>
        </w:tc>
      </w:tr>
      <w:tr>
        <w:trPr>
          <w:trHeight w:val="220"/>
        </w:trPr>
        <w:tc>
          <w:tcPr>
            <w:tcW w:w="3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Capitalized interest</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(1,636 )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(1,492 )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(144 )</w:t>
            </w:r>
          </w:p>
        </w:tc>
      </w:tr>
      <w:tr>
        <w:trPr>
          <w:trHeight w:val="239"/>
        </w:trPr>
        <w:tc>
          <w:tcPr>
            <w:tcW w:w="3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Hedge expense</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245</w:t>
            </w:r>
          </w:p>
        </w:tc>
        <w:tc>
          <w:tcPr>
            <w:tcW w:w="15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109</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23"/>
        </w:trPr>
        <w:tc>
          <w:tcPr>
            <w:tcW w:w="36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(1,592 )</w:t>
            </w:r>
          </w:p>
        </w:tc>
        <w:tc>
          <w:tcPr>
            <w:tcW w:w="14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(384 )</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(1,208 )</w:t>
            </w:r>
          </w:p>
        </w:tc>
      </w:tr>
      <w:tr>
        <w:trPr>
          <w:trHeight w:val="229"/>
        </w:trPr>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47,022</w:t>
            </w:r>
          </w:p>
        </w:tc>
        <w:tc>
          <w:tcPr>
            <w:tcW w:w="15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38,807</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8,215</w:t>
            </w:r>
          </w:p>
        </w:tc>
      </w:tr>
      <w:tr>
        <w:trPr>
          <w:trHeight w:val="220"/>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(11,360 )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(11,176 )</w:t>
            </w:r>
          </w:p>
        </w:tc>
      </w:tr>
      <w:tr>
        <w:trPr>
          <w:trHeight w:val="233"/>
        </w:trPr>
        <w:tc>
          <w:tcPr>
            <w:tcW w:w="3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investment (income) loss</w:t>
            </w:r>
          </w:p>
        </w:tc>
        <w:tc>
          <w:tcPr>
            <w:tcW w:w="1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(1,372 )</w:t>
            </w:r>
          </w:p>
        </w:tc>
        <w:tc>
          <w:tcPr>
            <w:tcW w:w="1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1,020</w:t>
            </w: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(2,392 )</w:t>
            </w:r>
          </w:p>
        </w:tc>
      </w:tr>
      <w:tr>
        <w:trPr>
          <w:trHeight w:val="223"/>
        </w:trPr>
        <w:tc>
          <w:tcPr>
            <w:tcW w:w="36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other expense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34,290</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39,643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(5,353 )</w:t>
            </w:r>
          </w:p>
        </w:tc>
      </w:tr>
      <w:tr>
        <w:trPr>
          <w:trHeight w:val="20"/>
        </w:trPr>
        <w:tc>
          <w:tcPr>
            <w:tcW w:w="3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-179070</wp:posOffset>
            </wp:positionV>
            <wp:extent cx="8572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-179070</wp:posOffset>
            </wp:positionV>
            <wp:extent cx="774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increased by $8.2 million primarily due to the following:</w:t>
      </w:r>
    </w:p>
    <w:p>
      <w:pPr>
        <w:spacing w:after="0" w:line="63"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million increase in Interest on notes payable is primarily due to:</w:t>
      </w:r>
    </w:p>
    <w:p>
      <w:pPr>
        <w:spacing w:after="0" w:line="6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$2.2 million increase related to loans assumed with the UBP acquisition, and</w:t>
      </w:r>
    </w:p>
    <w:p>
      <w:pPr>
        <w:spacing w:after="0" w:line="63" w:lineRule="exact"/>
        <w:rPr>
          <w:rFonts w:ascii="Times New Roman" w:cs="Times New Roman" w:eastAsia="Times New Roman" w:hAnsi="Times New Roman"/>
          <w:sz w:val="18"/>
          <w:szCs w:val="18"/>
          <w:color w:val="auto"/>
        </w:rPr>
      </w:pPr>
    </w:p>
    <w:p>
      <w:pPr>
        <w:ind w:left="1540" w:hanging="50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o$5.2 million increase due to a higher average outstanding balance coupled with incrementally higher weighted average contractual interest rates;</w:t>
      </w:r>
    </w:p>
    <w:p>
      <w:pPr>
        <w:spacing w:after="0" w:line="1" w:lineRule="exact"/>
        <w:rPr>
          <w:rFonts w:ascii="Times New Roman" w:cs="Times New Roman" w:eastAsia="Times New Roman" w:hAnsi="Times New Roman"/>
          <w:sz w:val="18"/>
          <w:szCs w:val="18"/>
          <w:color w:val="auto"/>
        </w:rPr>
      </w:pPr>
    </w:p>
    <w:p>
      <w:pPr>
        <w:ind w:left="1020" w:right="560" w:hanging="503"/>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million increase in Interest on unsecured credit facilities is primarily due to higher average outstanding balance coupled with incrementally higher weighted average contractual interest rates; partially offset by</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increase in interest income is primarily due to maintaining higher levels of excess cash in short term investments.</w:t>
      </w:r>
    </w:p>
    <w:p>
      <w:pPr>
        <w:spacing w:after="0" w:line="2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1174" w:right="6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During the three months ended September 30, 2024, we recognized gains on sale of $11.4 million mainly from the sale of one operating property.</w:t>
      </w:r>
    </w:p>
    <w:p>
      <w:pPr>
        <w:spacing w:after="0" w:line="17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Net investment income increased by $2.4 million primarily driven by $1.7 million increase in gains on investments held in the non-qualified deferred compensation plan, which has an offsetting expense in General and administrative expenses noted above, and $0.7 million increase in gains on other corporate investments.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in Equity in income of investments in real estate partnerships.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following represents the remaining components that comprise Net income attributable to common shareholders and unit holders</w:t>
      </w:r>
      <w:r>
        <w:rPr>
          <w:rFonts w:ascii="Times New Roman" w:cs="Times New Roman" w:eastAsia="Times New Roman" w:hAnsi="Times New Roman"/>
          <w:sz w:val="18"/>
          <w:szCs w:val="18"/>
          <w:color w:val="auto"/>
        </w:rPr>
        <w:t>:</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4740" w:type="dxa"/>
            <w:vAlign w:val="bottom"/>
          </w:tcPr>
          <w:p>
            <w:pPr>
              <w:spacing w:after="0"/>
              <w:rPr>
                <w:sz w:val="19"/>
                <w:szCs w:val="19"/>
                <w:color w:val="auto"/>
              </w:rPr>
            </w:pPr>
          </w:p>
        </w:tc>
        <w:tc>
          <w:tcPr>
            <w:tcW w:w="302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3"/>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Borders>
              <w:top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103,576</w:t>
            </w:r>
          </w:p>
        </w:tc>
        <w:tc>
          <w:tcPr>
            <w:tcW w:w="200" w:type="dxa"/>
            <w:vAlign w:val="bottom"/>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92,173</w:t>
            </w:r>
          </w:p>
        </w:tc>
        <w:tc>
          <w:tcPr>
            <w:tcW w:w="20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11,403</w:t>
            </w: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Income attributable to noncontrolling interests</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(2,107 )</w:t>
            </w:r>
          </w:p>
        </w:tc>
        <w:tc>
          <w:tcPr>
            <w:tcW w:w="2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(1,453 )</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(654 )</w:t>
            </w:r>
          </w:p>
        </w:tc>
      </w:tr>
      <w:tr>
        <w:trPr>
          <w:trHeight w:val="223"/>
        </w:trPr>
        <w:tc>
          <w:tcPr>
            <w:tcW w:w="47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Net income attributable to the Company</w:t>
            </w:r>
          </w:p>
        </w:tc>
        <w:tc>
          <w:tcPr>
            <w:tcW w:w="102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101,469</w:t>
            </w:r>
          </w:p>
        </w:tc>
        <w:tc>
          <w:tcPr>
            <w:tcW w:w="20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90,720</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10,749</w:t>
            </w:r>
          </w:p>
        </w:tc>
      </w:tr>
      <w:tr>
        <w:trPr>
          <w:trHeight w:val="223"/>
        </w:trPr>
        <w:tc>
          <w:tcPr>
            <w:tcW w:w="474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dividends</w:t>
            </w:r>
          </w:p>
        </w:tc>
        <w:tc>
          <w:tcPr>
            <w:tcW w:w="10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(3,413 )</w:t>
            </w:r>
          </w:p>
        </w:tc>
        <w:tc>
          <w:tcPr>
            <w:tcW w:w="2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(1,644 )</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(1,769 )</w:t>
            </w:r>
          </w:p>
        </w:tc>
      </w:tr>
      <w:tr>
        <w:trPr>
          <w:trHeight w:val="263"/>
        </w:trPr>
        <w:tc>
          <w:tcPr>
            <w:tcW w:w="47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income attributable to common shareholders</w:t>
            </w:r>
          </w:p>
        </w:tc>
        <w:tc>
          <w:tcPr>
            <w:tcW w:w="1020" w:type="dxa"/>
            <w:vAlign w:val="bottom"/>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98,056</w:t>
            </w:r>
          </w:p>
        </w:tc>
        <w:tc>
          <w:tcPr>
            <w:tcW w:w="1300" w:type="dxa"/>
            <w:vAlign w:val="bottom"/>
            <w:gridSpan w:val="2"/>
            <w:shd w:val="clear" w:color="auto" w:fill="CFF0FC"/>
          </w:tcPr>
          <w:p>
            <w:pPr>
              <w:jc w:val="right"/>
              <w:ind w:right="100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89,076</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8,980</w:t>
            </w:r>
          </w:p>
        </w:tc>
      </w:tr>
      <w:tr>
        <w:trPr>
          <w:trHeight w:val="210"/>
        </w:trPr>
        <w:tc>
          <w:tcPr>
            <w:tcW w:w="4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income attributable to exchangeable operating partnership units</w:t>
            </w:r>
          </w:p>
        </w:tc>
        <w:tc>
          <w:tcPr>
            <w:tcW w:w="10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(593 )</w:t>
            </w:r>
          </w:p>
        </w:tc>
        <w:tc>
          <w:tcPr>
            <w:tcW w:w="200" w:type="dxa"/>
            <w:vAlign w:val="bottom"/>
            <w:tcBorders>
              <w:top w:val="single" w:sz="8" w:color="CFF0FC"/>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(520 )</w:t>
            </w:r>
          </w:p>
        </w:tc>
        <w:tc>
          <w:tcPr>
            <w:tcW w:w="2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(73 )</w:t>
            </w:r>
          </w:p>
        </w:tc>
      </w:tr>
      <w:tr>
        <w:trPr>
          <w:trHeight w:val="263"/>
        </w:trPr>
        <w:tc>
          <w:tcPr>
            <w:tcW w:w="47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income attributable to common unit holders</w:t>
            </w:r>
          </w:p>
        </w:tc>
        <w:tc>
          <w:tcPr>
            <w:tcW w:w="1020" w:type="dxa"/>
            <w:vAlign w:val="bottom"/>
            <w:tcBorders>
              <w:bottom w:val="single" w:sz="8" w:color="auto"/>
            </w:tcBorders>
            <w:shd w:val="clear" w:color="auto" w:fill="CFF0FC"/>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98,649</w:t>
            </w:r>
          </w:p>
        </w:tc>
        <w:tc>
          <w:tcPr>
            <w:tcW w:w="200" w:type="dxa"/>
            <w:vAlign w:val="bottom"/>
            <w:tcBorders>
              <w:bottom w:val="single" w:sz="8" w:color="CFF0FC"/>
            </w:tcBorders>
            <w:shd w:val="clear" w:color="auto" w:fill="CFF0FC"/>
          </w:tcPr>
          <w:p>
            <w:pPr>
              <w:spacing w:after="0"/>
              <w:rPr>
                <w:sz w:val="22"/>
                <w:szCs w:val="22"/>
                <w:color w:val="auto"/>
              </w:rPr>
            </w:pPr>
          </w:p>
        </w:tc>
        <w:tc>
          <w:tcPr>
            <w:tcW w:w="11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89,596</w:t>
            </w:r>
          </w:p>
        </w:tc>
        <w:tc>
          <w:tcPr>
            <w:tcW w:w="20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9,053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-659130</wp:posOffset>
            </wp:positionV>
            <wp:extent cx="12890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-659130</wp:posOffset>
            </wp:positionV>
            <wp:extent cx="1282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-350520</wp:posOffset>
            </wp:positionV>
            <wp:extent cx="12890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-334010</wp:posOffset>
            </wp:positionV>
            <wp:extent cx="12890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-350520</wp:posOffset>
            </wp:positionV>
            <wp:extent cx="1282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-334010</wp:posOffset>
            </wp:positionV>
            <wp:extent cx="1282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-25400</wp:posOffset>
            </wp:positionV>
            <wp:extent cx="12890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12890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-25400</wp:posOffset>
            </wp:positionV>
            <wp:extent cx="1282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1282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in Income attributable to noncontrolling interests.</w:t>
      </w:r>
    </w:p>
    <w:p>
      <w:pPr>
        <w:spacing w:after="0" w:line="22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$1.8 million increase in Preferred stock dividends is related to the preferred stock issued in connection with UBP acquisition. The current period includes a full quarter of dividends as compared to a partial (pro-rated) quarter included for the comparable period in 2023, as the UBP acquisition was completed mid-quarter on August 18, 2023.</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from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Comparison of the nine months ended September 30, 2024 and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Revenues changed as summarized in the following table</w:t>
      </w:r>
      <w:r>
        <w:rPr>
          <w:rFonts w:ascii="Times New Roman" w:cs="Times New Roman" w:eastAsia="Times New Roman" w:hAnsi="Times New Roman"/>
          <w:sz w:val="18"/>
          <w:szCs w:val="18"/>
          <w:color w:val="auto"/>
        </w:rPr>
        <w:t>:</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3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9"/>
                <w:szCs w:val="19"/>
                <w:color w:val="auto"/>
              </w:rPr>
            </w:pPr>
          </w:p>
        </w:tc>
        <w:tc>
          <w:tcPr>
            <w:tcW w:w="124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60" w:type="dxa"/>
            <w:vAlign w:val="bottom"/>
            <w:gridSpan w:val="2"/>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12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Lease income</w:t>
            </w:r>
          </w:p>
        </w:tc>
        <w:tc>
          <w:tcPr>
            <w:tcW w:w="14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r>
      <w:tr>
        <w:trPr>
          <w:trHeight w:val="220"/>
        </w:trPr>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Base rent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736,142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654,254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81,888</w:t>
            </w:r>
          </w:p>
        </w:tc>
      </w:tr>
      <w:tr>
        <w:trPr>
          <w:trHeight w:val="239"/>
        </w:trPr>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Recoveries from tenants</w:t>
            </w: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254,623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222,947</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31,676</w:t>
            </w:r>
          </w:p>
        </w:tc>
      </w:tr>
      <w:tr>
        <w:trPr>
          <w:trHeight w:val="220"/>
        </w:trPr>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Percentage rent</w:t>
            </w:r>
          </w:p>
        </w:tc>
        <w:tc>
          <w:tcPr>
            <w:tcW w:w="14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11,958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10,278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1,680</w:t>
            </w:r>
          </w:p>
        </w:tc>
      </w:tr>
      <w:tr>
        <w:trPr>
          <w:trHeight w:val="239"/>
        </w:trPr>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Uncollectible lease income</w:t>
            </w: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(3,433 )</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958</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(4,391 )</w:t>
            </w:r>
          </w:p>
        </w:tc>
      </w:tr>
      <w:tr>
        <w:trPr>
          <w:trHeight w:val="220"/>
        </w:trPr>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lease income</w:t>
            </w:r>
          </w:p>
        </w:tc>
        <w:tc>
          <w:tcPr>
            <w:tcW w:w="14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16,851</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14,840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2,011</w:t>
            </w:r>
          </w:p>
        </w:tc>
      </w:tr>
      <w:tr>
        <w:trPr>
          <w:trHeight w:val="239"/>
        </w:trPr>
        <w:tc>
          <w:tcPr>
            <w:tcW w:w="38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Straight-line rent</w:t>
            </w: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14,877</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8,169</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6,708</w:t>
            </w:r>
          </w:p>
        </w:tc>
      </w:tr>
      <w:tr>
        <w:trPr>
          <w:trHeight w:val="223"/>
        </w:trPr>
        <w:tc>
          <w:tcPr>
            <w:tcW w:w="38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Above / below market rent amortization, net</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18,990</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22,734</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(3,744 )</w:t>
            </w:r>
          </w:p>
        </w:tc>
      </w:tr>
      <w:tr>
        <w:trPr>
          <w:trHeight w:val="229"/>
        </w:trPr>
        <w:tc>
          <w:tcPr>
            <w:tcW w:w="382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lease income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1,050,008</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934,180</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115,828</w:t>
            </w:r>
          </w:p>
        </w:tc>
      </w:tr>
      <w:tr>
        <w:trPr>
          <w:trHeight w:val="22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Other property income</w:t>
            </w:r>
          </w:p>
        </w:tc>
        <w:tc>
          <w:tcPr>
            <w:tcW w:w="14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11,464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8,459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3,005</w:t>
            </w:r>
          </w:p>
        </w:tc>
      </w:tr>
      <w:tr>
        <w:trPr>
          <w:trHeight w:val="233"/>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Management, transaction, and other fees</w:t>
            </w:r>
          </w:p>
        </w:tc>
        <w:tc>
          <w:tcPr>
            <w:tcW w:w="14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19,896</w:t>
            </w: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20,223</w:t>
            </w:r>
          </w:p>
        </w:tc>
        <w:tc>
          <w:tcPr>
            <w:tcW w:w="10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(327 )</w:t>
            </w:r>
          </w:p>
        </w:tc>
      </w:tr>
      <w:tr>
        <w:trPr>
          <w:trHeight w:val="223"/>
        </w:trPr>
        <w:tc>
          <w:tcPr>
            <w:tcW w:w="3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1,081,368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962,862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118,506</w:t>
            </w:r>
          </w:p>
        </w:tc>
      </w:tr>
      <w:tr>
        <w:trPr>
          <w:trHeight w:val="20"/>
        </w:trPr>
        <w:tc>
          <w:tcPr>
            <w:tcW w:w="3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-179070</wp:posOffset>
            </wp:positionV>
            <wp:extent cx="7683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-179070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lease income increased by $115.8 million primarily due to the following:</w:t>
      </w:r>
    </w:p>
    <w:p>
      <w:pPr>
        <w:spacing w:after="0" w:line="63" w:lineRule="exact"/>
        <w:rPr>
          <w:sz w:val="20"/>
          <w:szCs w:val="20"/>
          <w:color w:val="auto"/>
        </w:rPr>
      </w:pPr>
    </w:p>
    <w:p>
      <w:pPr>
        <w:ind w:left="1140" w:right="5900" w:hanging="1132"/>
        <w:spacing w:after="0" w:line="313" w:lineRule="auto"/>
        <w:tabs>
          <w:tab w:leader="none" w:pos="39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$81.9 million increase from Base rent, mainly from the following: o $62.5 million increase from the acquisition of UBP;</w:t>
      </w: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$16.0 million net increase from same properties, including:</w:t>
      </w:r>
    </w:p>
    <w:p>
      <w:pPr>
        <w:spacing w:after="0" w:line="63" w:lineRule="exact"/>
        <w:rPr>
          <w:rFonts w:ascii="Times New Roman" w:cs="Times New Roman" w:eastAsia="Times New Roman" w:hAnsi="Times New Roman"/>
          <w:sz w:val="18"/>
          <w:szCs w:val="18"/>
          <w:color w:val="auto"/>
        </w:rPr>
      </w:pPr>
    </w:p>
    <w:p>
      <w:pPr>
        <w:ind w:left="2260" w:hanging="380"/>
        <w:spacing w:after="0" w:line="281" w:lineRule="auto"/>
        <w:tabs>
          <w:tab w:leader="none" w:pos="22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 million net increase due to increases from occupancy, rent steps in existing leases, and positive rental spreads on new and renewal leases; and</w:t>
      </w:r>
    </w:p>
    <w:p>
      <w:pPr>
        <w:spacing w:after="0" w:line="1"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 million increase due to redevelopment projects that commenced operations; and</w:t>
      </w:r>
    </w:p>
    <w:p>
      <w:pPr>
        <w:spacing w:after="0" w:line="63" w:lineRule="exact"/>
        <w:rPr>
          <w:sz w:val="20"/>
          <w:szCs w:val="20"/>
          <w:color w:val="auto"/>
        </w:rPr>
      </w:pPr>
    </w:p>
    <w:p>
      <w:pPr>
        <w:ind w:left="1500" w:hanging="369"/>
        <w:spacing w:after="0"/>
        <w:tabs>
          <w:tab w:leader="none" w:pos="1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million increase from acquisitions of operating properties;</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increase from rent commencements at development properties; partially offset by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4" w:right="439" w:bottom="1440" w:gutter="0" w:footer="0" w:header="0"/>
        </w:sectPr>
      </w:pPr>
    </w:p>
    <w:bookmarkStart w:id="39" w:name="page40"/>
    <w:bookmarkEnd w:id="39"/>
    <w:p>
      <w:pPr>
        <w:ind w:left="1500" w:hanging="369"/>
        <w:spacing w:after="0"/>
        <w:tabs>
          <w:tab w:leader="none" w:pos="15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million from dispositions of operating properties.</w:t>
      </w:r>
    </w:p>
    <w:p>
      <w:pPr>
        <w:spacing w:after="0" w:line="63" w:lineRule="exact"/>
        <w:rPr>
          <w:rFonts w:ascii="Times New Roman" w:cs="Times New Roman" w:eastAsia="Times New Roman" w:hAnsi="Times New Roman"/>
          <w:sz w:val="18"/>
          <w:szCs w:val="18"/>
          <w:color w:val="auto"/>
        </w:rPr>
      </w:pPr>
    </w:p>
    <w:p>
      <w:pPr>
        <w:ind w:left="380" w:right="140" w:hanging="372"/>
        <w:spacing w:after="0" w:line="281"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$31.7 million increase from contractual Recoveries from tenants, which represents the tenants' proportionate share of the operating, maintenance, insurance, and real estate tax expenses that we incur to operate our shopping centers. Recoveries from tenants increased, mainly from the following:</w:t>
      </w:r>
    </w:p>
    <w:p>
      <w:pPr>
        <w:spacing w:after="0" w:line="1"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 million increase from the acquisition of UBP;</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million increase primarily due to higher operating costs in the current year coupled with higher expense recovery rates; and</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net increase driven by the acquisition of operating properties.</w:t>
      </w:r>
    </w:p>
    <w:p>
      <w:pPr>
        <w:spacing w:after="0" w:line="6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increase in Percentage rent due to increases in tenant sales.</w:t>
      </w:r>
    </w:p>
    <w:p>
      <w:pPr>
        <w:spacing w:after="0" w:line="63" w:lineRule="exact"/>
        <w:rPr>
          <w:rFonts w:ascii="Times New Roman" w:cs="Times New Roman" w:eastAsia="Times New Roman" w:hAnsi="Times New Roman"/>
          <w:sz w:val="18"/>
          <w:szCs w:val="18"/>
          <w:color w:val="auto"/>
        </w:rPr>
      </w:pPr>
    </w:p>
    <w:p>
      <w:pPr>
        <w:ind w:left="380" w:right="400" w:hanging="372"/>
        <w:spacing w:after="0" w:line="281" w:lineRule="auto"/>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million change in Uncollectible lease income primarily driven by elevated collections in 2023 of previously reserved amounts, reducing our adjustment in the comparative period.</w:t>
      </w:r>
    </w:p>
    <w:p>
      <w:pPr>
        <w:spacing w:after="0" w:line="1"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million increase in Other lease income primarily due to:</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million increase driven by acquisition of UBP; partially offset by</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million decrease mainly due to lease termination fee income recognized in the comparative period.</w:t>
      </w:r>
    </w:p>
    <w:p>
      <w:pPr>
        <w:spacing w:after="0" w:line="6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 million increase in Straight-line rent mainly due to:</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million increase from the acquisition of UBP;</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million due to timing and degree of contractual rent steps within same properties and development properties.</w:t>
      </w:r>
    </w:p>
    <w:p>
      <w:pPr>
        <w:spacing w:after="0" w:line="6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million decrease in Above and below market rent and tenant rent inducement amortization, net primarily due to:</w:t>
      </w:r>
    </w:p>
    <w:p>
      <w:pPr>
        <w:spacing w:after="0" w:line="63" w:lineRule="exact"/>
        <w:rPr>
          <w:rFonts w:ascii="Times New Roman" w:cs="Times New Roman" w:eastAsia="Times New Roman" w:hAnsi="Times New Roman"/>
          <w:sz w:val="18"/>
          <w:szCs w:val="18"/>
          <w:color w:val="auto"/>
        </w:rPr>
      </w:pPr>
    </w:p>
    <w:p>
      <w:pPr>
        <w:ind w:left="1500" w:hanging="369"/>
        <w:spacing w:after="0" w:line="281" w:lineRule="auto"/>
        <w:tabs>
          <w:tab w:leader="none" w:pos="15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million decrease from same properties mainly driven by accelerated amortization from an early tenant move-out in 2023; partially offset by</w:t>
      </w:r>
    </w:p>
    <w:p>
      <w:pPr>
        <w:spacing w:after="0" w:line="1"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million increase from the acquisition of UBP and other operating properties.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property income increased by $3.0 million primarily due to business interruption insurance proceeds received in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in Management, transaction, and other fees.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our operating expenses are summarized in the following table</w:t>
      </w:r>
      <w:r>
        <w:rPr>
          <w:rFonts w:ascii="Times New Roman" w:cs="Times New Roman" w:eastAsia="Times New Roman" w:hAnsi="Times New Roman"/>
          <w:sz w:val="18"/>
          <w:szCs w:val="18"/>
          <w:color w:val="auto"/>
        </w:rPr>
        <w:t>:</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38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382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12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3"/>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299,508</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253,373</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46,135</w:t>
            </w:r>
          </w:p>
        </w:tc>
      </w:tr>
      <w:tr>
        <w:trPr>
          <w:trHeight w:val="22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Property operating expense</w:t>
            </w:r>
          </w:p>
        </w:tc>
        <w:tc>
          <w:tcPr>
            <w:tcW w:w="14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183,242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164,643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18,599</w:t>
            </w:r>
          </w:p>
        </w:tc>
      </w:tr>
      <w:tr>
        <w:trPr>
          <w:trHeight w:val="23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Real estate taxes</w:t>
            </w: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135,514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117,157</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18,357</w:t>
            </w:r>
          </w:p>
        </w:tc>
      </w:tr>
      <w:tr>
        <w:trPr>
          <w:trHeight w:val="220"/>
        </w:trPr>
        <w:tc>
          <w:tcPr>
            <w:tcW w:w="382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75,443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71,248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4,195</w:t>
            </w:r>
          </w:p>
        </w:tc>
      </w:tr>
      <w:tr>
        <w:trPr>
          <w:trHeight w:val="233"/>
        </w:trPr>
        <w:tc>
          <w:tcPr>
            <w:tcW w:w="3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operating expenses</w:t>
            </w:r>
          </w:p>
        </w:tc>
        <w:tc>
          <w:tcPr>
            <w:tcW w:w="14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9,363</w:t>
            </w: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10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4,645</w:t>
            </w:r>
          </w:p>
        </w:tc>
      </w:tr>
      <w:tr>
        <w:trPr>
          <w:trHeight w:val="223"/>
        </w:trPr>
        <w:tc>
          <w:tcPr>
            <w:tcW w:w="3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703,070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611,139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91,931</w:t>
            </w:r>
          </w:p>
        </w:tc>
      </w:tr>
      <w:tr>
        <w:trPr>
          <w:trHeight w:val="20"/>
        </w:trPr>
        <w:tc>
          <w:tcPr>
            <w:tcW w:w="3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-179070</wp:posOffset>
            </wp:positionV>
            <wp:extent cx="768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-179070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costs increased by $46.1 million, mainly due to the following:</w:t>
      </w:r>
    </w:p>
    <w:p>
      <w:pPr>
        <w:spacing w:after="0" w:line="63"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$39.0 million increase from the acquisition of UBP;</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 million increase from acquisitions of operating properties and development properties becoming available for occupancy; and</w:t>
      </w:r>
    </w:p>
    <w:p>
      <w:pPr>
        <w:spacing w:after="0" w:line="63" w:lineRule="exact"/>
        <w:rPr>
          <w:rFonts w:ascii="Times New Roman" w:cs="Times New Roman" w:eastAsia="Times New Roman" w:hAnsi="Times New Roman"/>
          <w:sz w:val="18"/>
          <w:szCs w:val="18"/>
          <w:color w:val="auto"/>
        </w:rPr>
      </w:pPr>
    </w:p>
    <w:p>
      <w:pPr>
        <w:ind w:left="760" w:right="6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million increase from same properties mainly driven by timing of costs being placed in service within our redevelopment projects and early tenant move-outs.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operating expense increased by $18.6 million, mainly due to the following:</w:t>
      </w:r>
    </w:p>
    <w:p>
      <w:pPr>
        <w:spacing w:after="0" w:line="63"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 million increase from the acquisition of UBP;</w:t>
      </w:r>
    </w:p>
    <w:p>
      <w:pPr>
        <w:spacing w:after="0" w:line="63" w:lineRule="exact"/>
        <w:rPr>
          <w:rFonts w:ascii="Times New Roman" w:cs="Times New Roman" w:eastAsia="Times New Roman" w:hAnsi="Times New Roman"/>
          <w:sz w:val="18"/>
          <w:szCs w:val="18"/>
          <w:color w:val="auto"/>
        </w:rPr>
      </w:pPr>
    </w:p>
    <w:p>
      <w:pPr>
        <w:ind w:left="760" w:right="160" w:hanging="378"/>
        <w:spacing w:after="0" w:line="281"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million increase from same properties primarily attributable to increase in recoverable common area maintenance and tenant related costs; partially offset by</w:t>
      </w:r>
    </w:p>
    <w:p>
      <w:pPr>
        <w:spacing w:after="0" w:line="1"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$0.5 million decrease from the sale of operating properties.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color w:val="auto"/>
        </w:rPr>
        <w:t>Real estate taxes increased by $18.4 million, mainly due to the following:</w:t>
      </w:r>
    </w:p>
    <w:p>
      <w:pPr>
        <w:spacing w:after="0" w:line="63"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 million increase from acquisition of UBP;</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million net increase from same properties primarily due to increases in real estate tax assessments across the portfolio; and</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$0.4 million increase primarily from acquisitions of operating properties.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costs increased by $4.2 million mainly due to the following:</w:t>
      </w:r>
    </w:p>
    <w:p>
      <w:pPr>
        <w:spacing w:after="0" w:line="63" w:lineRule="exact"/>
        <w:rPr>
          <w:sz w:val="20"/>
          <w:szCs w:val="20"/>
          <w:color w:val="auto"/>
        </w:rPr>
      </w:pPr>
    </w:p>
    <w:p>
      <w:pPr>
        <w:ind w:left="760" w:right="40" w:hanging="378"/>
        <w:spacing w:after="0" w:line="281"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increase due to changes in the value of participant obligations within the deferred compensation plan, attributable to changes in the market values of those investments recognized in Net investment income;</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increase in compensation costs primarily driven by salary increases and performance-based incentive compensation;</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million increase primarily attributable to higher costs in technology support services, employee training and professional fees.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 increased by $4.6 million, mainly due to the acquisition of UBP.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 following table presents the components of other expense, net</w:t>
      </w:r>
      <w:r>
        <w:rPr>
          <w:rFonts w:ascii="Times New Roman" w:cs="Times New Roman" w:eastAsia="Times New Roman" w:hAnsi="Times New Roman"/>
          <w:sz w:val="18"/>
          <w:szCs w:val="18"/>
          <w:color w:val="auto"/>
        </w:rPr>
        <w:t>:</w:t>
      </w:r>
    </w:p>
    <w:p>
      <w:pPr>
        <w:spacing w:after="0" w:line="228" w:lineRule="exact"/>
        <w:rPr>
          <w:sz w:val="20"/>
          <w:szCs w:val="20"/>
          <w:color w:val="auto"/>
        </w:rPr>
      </w:pPr>
    </w:p>
    <w:tbl>
      <w:tblPr>
        <w:tblLayout w:type="fixed"/>
        <w:tblInd w:w="1700" w:type="dxa"/>
        <w:tblCellMar>
          <w:top w:w="0" w:type="dxa"/>
          <w:left w:w="0" w:type="dxa"/>
          <w:bottom w:w="0" w:type="dxa"/>
          <w:right w:w="0" w:type="dxa"/>
        </w:tblCellMar>
      </w:tblPr>
      <w:tr>
        <w:trPr>
          <w:trHeight w:val="225"/>
        </w:trPr>
        <w:tc>
          <w:tcPr>
            <w:tcW w:w="3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9"/>
                <w:szCs w:val="19"/>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00" w:type="dxa"/>
            <w:vAlign w:val="bottom"/>
            <w:gridSpan w:val="2"/>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2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r>
      <w:tr>
        <w:trPr>
          <w:trHeight w:val="220"/>
        </w:trPr>
        <w:tc>
          <w:tcPr>
            <w:tcW w:w="3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on notes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138,830</w:t>
            </w:r>
          </w:p>
        </w:tc>
        <w:tc>
          <w:tcPr>
            <w:tcW w:w="150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113,087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25,743</w:t>
            </w:r>
          </w:p>
        </w:tc>
      </w:tr>
      <w:tr>
        <w:trPr>
          <w:trHeight w:val="239"/>
        </w:trPr>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Interest on unsecured credit facilities</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6,783</w:t>
            </w:r>
          </w:p>
        </w:tc>
        <w:tc>
          <w:tcPr>
            <w:tcW w:w="15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3,903</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2,880</w:t>
            </w:r>
          </w:p>
        </w:tc>
      </w:tr>
      <w:tr>
        <w:trPr>
          <w:trHeight w:val="220"/>
        </w:trPr>
        <w:tc>
          <w:tcPr>
            <w:tcW w:w="3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Capitalized interest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(4,813 )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(4,026 )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(787 )</w:t>
            </w:r>
          </w:p>
        </w:tc>
      </w:tr>
      <w:tr>
        <w:trPr>
          <w:trHeight w:val="239"/>
        </w:trPr>
        <w:tc>
          <w:tcPr>
            <w:tcW w:w="36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Hedge expense</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503</w:t>
            </w:r>
          </w:p>
        </w:tc>
        <w:tc>
          <w:tcPr>
            <w:tcW w:w="15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328</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23"/>
        </w:trPr>
        <w:tc>
          <w:tcPr>
            <w:tcW w:w="3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(8,235 )</w:t>
            </w:r>
          </w:p>
        </w:tc>
        <w:tc>
          <w:tcPr>
            <w:tcW w:w="14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(1,136 )</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(7,099 )</w:t>
            </w:r>
          </w:p>
        </w:tc>
      </w:tr>
      <w:tr>
        <w:trPr>
          <w:trHeight w:val="230"/>
        </w:trPr>
        <w:tc>
          <w:tcPr>
            <w:tcW w:w="368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Interest expense, net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133,068</w:t>
            </w:r>
          </w:p>
        </w:tc>
        <w:tc>
          <w:tcPr>
            <w:tcW w:w="150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112,156</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20,912</w:t>
            </w:r>
          </w:p>
        </w:tc>
      </w:tr>
      <w:tr>
        <w:trPr>
          <w:trHeight w:val="220"/>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(33,844 )</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(515 )</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(33,329 )</w:t>
            </w:r>
          </w:p>
        </w:tc>
      </w:tr>
      <w:tr>
        <w:trPr>
          <w:trHeight w:val="239"/>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180</w:t>
            </w: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23"/>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income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(4,506 )</w:t>
            </w:r>
          </w:p>
        </w:tc>
        <w:tc>
          <w:tcPr>
            <w:tcW w:w="14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(2,449 )</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(2,057 )</w:t>
            </w:r>
          </w:p>
        </w:tc>
      </w:tr>
      <w:tr>
        <w:trPr>
          <w:trHeight w:val="263"/>
        </w:trPr>
        <w:tc>
          <w:tcPr>
            <w:tcW w:w="368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6"/>
                <w:szCs w:val="16"/>
                <w:color w:val="auto"/>
              </w:rPr>
              <w:t>Total other expense, net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94,898</w:t>
            </w:r>
          </w:p>
        </w:tc>
        <w:tc>
          <w:tcPr>
            <w:tcW w:w="14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109,192</w:t>
            </w:r>
          </w:p>
        </w:tc>
        <w:tc>
          <w:tcPr>
            <w:tcW w:w="12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(14,294 )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-24765</wp:posOffset>
            </wp:positionV>
            <wp:extent cx="857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8572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7747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7747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 increased by $20.9 million primarily due to the following:</w:t>
      </w:r>
    </w:p>
    <w:p>
      <w:pPr>
        <w:spacing w:after="0" w:line="63"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$25.7 million increase in Interest on notes payable is primarily due to:</w:t>
      </w:r>
    </w:p>
    <w:p>
      <w:pPr>
        <w:spacing w:after="0" w:line="63"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Times New Roman" w:cs="Times New Roman" w:eastAsia="Times New Roman" w:hAnsi="Times New Roman"/>
          <w:sz w:val="17"/>
          <w:szCs w:val="17"/>
          <w:color w:val="auto"/>
        </w:rPr>
        <w:t>$10.7 million increase related to the loans assumed with the UBP acquisition, and</w:t>
      </w:r>
    </w:p>
    <w:p>
      <w:pPr>
        <w:spacing w:after="0" w:line="63" w:lineRule="exact"/>
        <w:rPr>
          <w:rFonts w:ascii="Times New Roman" w:cs="Times New Roman" w:eastAsia="Times New Roman" w:hAnsi="Times New Roman"/>
          <w:sz w:val="18"/>
          <w:szCs w:val="18"/>
          <w:color w:val="auto"/>
        </w:rPr>
      </w:pPr>
    </w:p>
    <w:p>
      <w:pPr>
        <w:ind w:left="1540" w:right="80" w:hanging="509"/>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o$15.0 million increase due to a higher average outstanding balance, coupled with incrementally higher weighted average contractual interest rates;</w:t>
      </w:r>
    </w:p>
    <w:p>
      <w:pPr>
        <w:spacing w:after="0" w:line="1" w:lineRule="exact"/>
        <w:rPr>
          <w:rFonts w:ascii="Times New Roman" w:cs="Times New Roman" w:eastAsia="Times New Roman" w:hAnsi="Times New Roman"/>
          <w:sz w:val="18"/>
          <w:szCs w:val="18"/>
          <w:color w:val="auto"/>
        </w:rPr>
      </w:pPr>
    </w:p>
    <w:p>
      <w:pPr>
        <w:ind w:left="1020" w:right="660" w:hanging="503"/>
        <w:spacing w:after="0" w:line="28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million increase in Interest on unsecured credit facilities is primarily due to a higher average outstanding balance coupled with incrementally higher weighted average contractual interest rates; partially offset by</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million increase in interest income is primarily due to maintaining higher levels of excess cash in short term investments.</w:t>
      </w:r>
    </w:p>
    <w:p>
      <w:pPr>
        <w:spacing w:after="0" w:line="17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2024, we recognized gains on sale of $33.8 million mainly from the sale of four operating properties and recognition of two sales type leases.</w:t>
      </w:r>
    </w:p>
    <w:p>
      <w:pPr>
        <w:spacing w:after="0" w:line="1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investment income increased by $2.1 million primarily driven by $1.6 million increase in gains on investments held in the non-qualified deferred compensation plan which have an offsetting expense in General and administrative costs noted above and $0.5 million increase in gains on other corporate investments.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in Equity in income of investments in real estate partnerships.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4"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auto"/>
        </w:rPr>
        <w:t>The following represents the remaining components that comprise Net income attributable to common shareholders and unit holders</w:t>
      </w:r>
      <w:r>
        <w:rPr>
          <w:rFonts w:ascii="Times New Roman" w:cs="Times New Roman" w:eastAsia="Times New Roman" w:hAnsi="Times New Roman"/>
          <w:sz w:val="18"/>
          <w:szCs w:val="18"/>
          <w:color w:val="auto"/>
        </w:rPr>
        <w:t>:</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25"/>
        </w:trPr>
        <w:tc>
          <w:tcPr>
            <w:tcW w:w="4700" w:type="dxa"/>
            <w:vAlign w:val="bottom"/>
          </w:tcPr>
          <w:p>
            <w:pPr>
              <w:spacing w:after="0"/>
              <w:rPr>
                <w:sz w:val="19"/>
                <w:szCs w:val="19"/>
                <w:color w:val="auto"/>
              </w:rPr>
            </w:pPr>
          </w:p>
        </w:tc>
        <w:tc>
          <w:tcPr>
            <w:tcW w:w="29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3"/>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top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321,163</w:t>
            </w:r>
          </w:p>
        </w:tc>
        <w:tc>
          <w:tcPr>
            <w:tcW w:w="200" w:type="dxa"/>
            <w:vAlign w:val="bottom"/>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278,833</w:t>
            </w:r>
          </w:p>
        </w:tc>
        <w:tc>
          <w:tcPr>
            <w:tcW w:w="180" w:type="dxa"/>
            <w:vAlign w:val="bottom"/>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42,330</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Income attributable to noncontrolling interests</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(7,252 )</w:t>
            </w:r>
          </w:p>
        </w:tc>
        <w:tc>
          <w:tcPr>
            <w:tcW w:w="2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(4,050 )</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(3,202 )</w:t>
            </w:r>
          </w:p>
        </w:tc>
      </w:tr>
      <w:tr>
        <w:trPr>
          <w:trHeight w:val="223"/>
        </w:trPr>
        <w:tc>
          <w:tcPr>
            <w:tcW w:w="47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Net income attributable to the Company</w:t>
            </w:r>
          </w:p>
        </w:tc>
        <w:tc>
          <w:tcPr>
            <w:tcW w:w="10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313,911</w:t>
            </w:r>
          </w:p>
        </w:tc>
        <w:tc>
          <w:tcPr>
            <w:tcW w:w="200" w:type="dxa"/>
            <w:vAlign w:val="bottom"/>
            <w:tcBorders>
              <w:bottom w:val="single" w:sz="8" w:color="CFF0FC"/>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274,783</w:t>
            </w:r>
          </w:p>
        </w:tc>
        <w:tc>
          <w:tcPr>
            <w:tcW w:w="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39,128</w:t>
            </w:r>
          </w:p>
        </w:tc>
      </w:tr>
      <w:tr>
        <w:trPr>
          <w:trHeight w:val="223"/>
        </w:trPr>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Preferred stock dividends</w:t>
            </w:r>
          </w:p>
        </w:tc>
        <w:tc>
          <w:tcPr>
            <w:tcW w:w="10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(10,239 )</w:t>
            </w:r>
          </w:p>
        </w:tc>
        <w:tc>
          <w:tcPr>
            <w:tcW w:w="2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(1,644 )</w:t>
            </w: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(8,595 )</w:t>
            </w:r>
          </w:p>
        </w:tc>
      </w:tr>
      <w:tr>
        <w:trPr>
          <w:trHeight w:val="263"/>
        </w:trPr>
        <w:tc>
          <w:tcPr>
            <w:tcW w:w="47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income attributable to common shareholders</w:t>
            </w:r>
          </w:p>
        </w:tc>
        <w:tc>
          <w:tcPr>
            <w:tcW w:w="104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303,672</w:t>
            </w:r>
          </w:p>
        </w:tc>
        <w:tc>
          <w:tcPr>
            <w:tcW w:w="1240" w:type="dxa"/>
            <w:vAlign w:val="bottom"/>
            <w:gridSpan w:val="2"/>
            <w:shd w:val="clear" w:color="auto" w:fill="CFF0FC"/>
          </w:tcPr>
          <w:p>
            <w:pPr>
              <w:jc w:val="right"/>
              <w:ind w:right="9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273,139</w:t>
            </w:r>
          </w:p>
        </w:tc>
        <w:tc>
          <w:tcPr>
            <w:tcW w:w="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30,533</w:t>
            </w:r>
          </w:p>
        </w:tc>
      </w:tr>
      <w:tr>
        <w:trPr>
          <w:trHeight w:val="210"/>
        </w:trPr>
        <w:tc>
          <w:tcPr>
            <w:tcW w:w="4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income attributable to exchangeable operating partnership units</w:t>
            </w:r>
          </w:p>
        </w:tc>
        <w:tc>
          <w:tcPr>
            <w:tcW w:w="10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(1,836 )</w:t>
            </w:r>
          </w:p>
        </w:tc>
        <w:tc>
          <w:tcPr>
            <w:tcW w:w="200" w:type="dxa"/>
            <w:vAlign w:val="bottom"/>
            <w:tcBorders>
              <w:top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(1,490 )</w:t>
            </w:r>
          </w:p>
        </w:tc>
        <w:tc>
          <w:tcPr>
            <w:tcW w:w="18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(346 )</w:t>
            </w:r>
          </w:p>
        </w:tc>
      </w:tr>
      <w:tr>
        <w:trPr>
          <w:trHeight w:val="263"/>
        </w:trPr>
        <w:tc>
          <w:tcPr>
            <w:tcW w:w="47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Net income attributable to common unit holders</w:t>
            </w:r>
          </w:p>
        </w:tc>
        <w:tc>
          <w:tcPr>
            <w:tcW w:w="1040" w:type="dxa"/>
            <w:vAlign w:val="bottom"/>
            <w:tcBorders>
              <w:bottom w:val="single" w:sz="8" w:color="auto"/>
            </w:tcBorders>
            <w:shd w:val="clear" w:color="auto" w:fill="CFF0FC"/>
          </w:tcPr>
          <w:p>
            <w:pPr>
              <w:jc w:val="right"/>
              <w:ind w:right="879"/>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305,508</w:t>
            </w:r>
          </w:p>
        </w:tc>
        <w:tc>
          <w:tcPr>
            <w:tcW w:w="200" w:type="dxa"/>
            <w:vAlign w:val="bottom"/>
            <w:tcBorders>
              <w:bottom w:val="single" w:sz="8" w:color="CFF0FC"/>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274,629</w:t>
            </w:r>
          </w:p>
        </w:tc>
        <w:tc>
          <w:tcPr>
            <w:tcW w:w="18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spacing w:after="0"/>
              <w:rPr>
                <w:sz w:val="22"/>
                <w:szCs w:val="22"/>
                <w:color w:val="auto"/>
              </w:rPr>
            </w:pPr>
          </w:p>
        </w:tc>
        <w:tc>
          <w:tcPr>
            <w:tcW w:w="12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30,879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-659130</wp:posOffset>
            </wp:positionV>
            <wp:extent cx="12001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-659130</wp:posOffset>
            </wp:positionV>
            <wp:extent cx="12001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-350520</wp:posOffset>
            </wp:positionV>
            <wp:extent cx="12001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-334010</wp:posOffset>
            </wp:positionV>
            <wp:extent cx="12001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-350520</wp:posOffset>
            </wp:positionV>
            <wp:extent cx="12001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-334010</wp:posOffset>
            </wp:positionV>
            <wp:extent cx="12001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-25400</wp:posOffset>
            </wp:positionV>
            <wp:extent cx="12001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12001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12001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12001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attributable to noncontrolling interests increased $3.2 million, mainly due to the acquisition of UBP.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$8.6 million increase in Preferred stock dividends is related to the preferred stock issued in connection with the UBP acquisition.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current period reflects nine months of dividends, in contrast to one and a half months in the comparable period of 2023.</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Earnings Information</w:t>
      </w:r>
    </w:p>
    <w:p>
      <w:pPr>
        <w:spacing w:after="0" w:line="17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use certain non-GAAP measures, in addition to certain performance metrics determined under GAAP, as we believe these measures improve the understanding of the operating results. We believe these non-GAAP measures provide useful information to our Board of Directors, management and investors regarding certain trends relating to our financial condition and results of operations. Our management uses these non-GAAP measures to compare our performance to that of prior periods for trend analyses, purposes of determining management incentive compensation and budgeting, forecasting and planning purposes. We provide Pro-rata financial information because we believe it assists investors and analysts in estimating our economic interest in our consolidated and unconsolidated real estate partnerships, when read in conjunction with our reported results under GAAP. We believe presenting our Pro-rata share of operating results, along with other non-GAAP measures, may assist in comparing our operating results to other REITs. We continually evaluate the usefulness, relevance, limitations, and calculation of our reported non-GAAP measures to determine how best to provide relevant information to the public, and thus such reported non-GAAP measures could change. See "Non-GAAP Measures" at the beginning of this Management's Discussion and Analysis.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Pro-rata Same Property NOI:</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Pro-rata same property NOI, excluding termination fees/expenses, changed from the following major components: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3600" w:type="dxa"/>
            <w:vAlign w:val="bottom"/>
          </w:tcPr>
          <w:p>
            <w:pPr>
              <w:spacing w:after="0"/>
              <w:rPr>
                <w:sz w:val="19"/>
                <w:szCs w:val="19"/>
                <w:color w:val="auto"/>
              </w:rPr>
            </w:pPr>
          </w:p>
        </w:tc>
        <w:tc>
          <w:tcPr>
            <w:tcW w:w="272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30,</w:t>
            </w:r>
          </w:p>
        </w:tc>
        <w:tc>
          <w:tcPr>
            <w:tcW w:w="9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9"/>
                <w:szCs w:val="19"/>
                <w:color w:val="auto"/>
              </w:rPr>
            </w:pPr>
          </w:p>
        </w:tc>
        <w:tc>
          <w:tcPr>
            <w:tcW w:w="11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Base rent</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244,170</w:t>
            </w:r>
          </w:p>
        </w:tc>
        <w:tc>
          <w:tcPr>
            <w:tcW w:w="13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238,142</w:t>
            </w: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6,028</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728,514</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709,809</w:t>
            </w:r>
          </w:p>
        </w:tc>
        <w:tc>
          <w:tcPr>
            <w:tcW w:w="11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18,705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Recoveries from tenants</w:t>
            </w:r>
          </w:p>
        </w:tc>
        <w:tc>
          <w:tcPr>
            <w:tcW w:w="28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83,090</w:t>
            </w:r>
          </w:p>
        </w:tc>
        <w:tc>
          <w:tcPr>
            <w:tcW w:w="1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81,096</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1,994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250,468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242,647</w:t>
            </w:r>
          </w:p>
        </w:tc>
        <w:tc>
          <w:tcPr>
            <w:tcW w:w="1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7,821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Percentage rent</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2,287</w:t>
            </w:r>
          </w:p>
        </w:tc>
        <w:tc>
          <w:tcPr>
            <w:tcW w:w="13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2,208</w:t>
            </w: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12,476</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11,554</w:t>
            </w:r>
          </w:p>
        </w:tc>
        <w:tc>
          <w:tcPr>
            <w:tcW w:w="11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Termination fees</w:t>
            </w:r>
          </w:p>
        </w:tc>
        <w:tc>
          <w:tcPr>
            <w:tcW w:w="28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636</w:t>
            </w:r>
          </w:p>
        </w:tc>
        <w:tc>
          <w:tcPr>
            <w:tcW w:w="1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1,037</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(401 )</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3,199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6,441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(3,242 )</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Uncollectible lease income</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(487 )</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(462 )</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(25 )</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(3,757 )</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1,033</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(4,790 )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lease income</w:t>
            </w:r>
          </w:p>
        </w:tc>
        <w:tc>
          <w:tcPr>
            <w:tcW w:w="28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3,415</w:t>
            </w:r>
          </w:p>
        </w:tc>
        <w:tc>
          <w:tcPr>
            <w:tcW w:w="1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3,292</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123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9,949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9,092</w:t>
            </w:r>
          </w:p>
        </w:tc>
        <w:tc>
          <w:tcPr>
            <w:tcW w:w="1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property income</w:t>
            </w:r>
          </w:p>
        </w:tc>
        <w:tc>
          <w:tcPr>
            <w:tcW w:w="2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3,830</w:t>
            </w:r>
          </w:p>
        </w:tc>
        <w:tc>
          <w:tcPr>
            <w:tcW w:w="1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2,023</w:t>
            </w:r>
          </w:p>
        </w:tc>
        <w:tc>
          <w:tcPr>
            <w:tcW w:w="1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1,807</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8,390</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6,803</w:t>
            </w:r>
          </w:p>
        </w:tc>
        <w:tc>
          <w:tcPr>
            <w:tcW w:w="1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Total real estate revenue</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336,941</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327,336</w:t>
            </w:r>
          </w:p>
        </w:tc>
        <w:tc>
          <w:tcPr>
            <w:tcW w:w="140" w:type="dxa"/>
            <w:vAlign w:val="bottom"/>
          </w:tcPr>
          <w:p>
            <w:pPr>
              <w:spacing w:after="0"/>
              <w:rPr>
                <w:sz w:val="19"/>
                <w:szCs w:val="19"/>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9,605</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1,009,239</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987,379</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21,860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Operating and maintenance</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54,251</w:t>
            </w:r>
          </w:p>
        </w:tc>
        <w:tc>
          <w:tcPr>
            <w:tcW w:w="13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56,374</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(2,123 )</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166,137</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164,489</w:t>
            </w:r>
          </w:p>
        </w:tc>
        <w:tc>
          <w:tcPr>
            <w:tcW w:w="11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Termination expense</w:t>
            </w:r>
          </w:p>
        </w:tc>
        <w:tc>
          <w:tcPr>
            <w:tcW w:w="28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Real estate taxes</w:t>
            </w:r>
          </w:p>
        </w:tc>
        <w:tc>
          <w:tcPr>
            <w:tcW w:w="28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43,565</w:t>
            </w:r>
          </w:p>
        </w:tc>
        <w:tc>
          <w:tcPr>
            <w:tcW w:w="13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41,263</w:t>
            </w:r>
          </w:p>
        </w:tc>
        <w:tc>
          <w:tcPr>
            <w:tcW w:w="12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2,302</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129,494</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125,890</w:t>
            </w:r>
          </w:p>
        </w:tc>
        <w:tc>
          <w:tcPr>
            <w:tcW w:w="11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3,604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Ground rent</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3,537</w:t>
            </w:r>
          </w:p>
        </w:tc>
        <w:tc>
          <w:tcPr>
            <w:tcW w:w="160" w:type="dxa"/>
            <w:vAlign w:val="bottom"/>
          </w:tcPr>
          <w:p>
            <w:pPr>
              <w:spacing w:after="0"/>
              <w:rPr>
                <w:sz w:val="19"/>
                <w:szCs w:val="19"/>
                <w:color w:val="auto"/>
              </w:rPr>
            </w:pPr>
          </w:p>
        </w:tc>
        <w:tc>
          <w:tcPr>
            <w:tcW w:w="11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3,700</w:t>
            </w:r>
          </w:p>
        </w:tc>
        <w:tc>
          <w:tcPr>
            <w:tcW w:w="1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(163 )</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10,788</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10,337</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Total real estate operating expenses</w:t>
            </w:r>
          </w:p>
        </w:tc>
        <w:tc>
          <w:tcPr>
            <w:tcW w:w="28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101,353</w:t>
            </w:r>
          </w:p>
        </w:tc>
        <w:tc>
          <w:tcPr>
            <w:tcW w:w="16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101,337</w:t>
            </w:r>
          </w:p>
        </w:tc>
        <w:tc>
          <w:tcPr>
            <w:tcW w:w="1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306,424</w:t>
            </w:r>
          </w:p>
        </w:tc>
        <w:tc>
          <w:tcPr>
            <w:tcW w:w="1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300,716</w:t>
            </w:r>
          </w:p>
        </w:tc>
        <w:tc>
          <w:tcPr>
            <w:tcW w:w="1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Pro-rata same property NOI</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235,588</w:t>
            </w:r>
          </w:p>
        </w:tc>
        <w:tc>
          <w:tcPr>
            <w:tcW w:w="1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225,999</w:t>
            </w:r>
          </w:p>
        </w:tc>
        <w:tc>
          <w:tcPr>
            <w:tcW w:w="12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9,589</w:t>
            </w:r>
          </w:p>
        </w:tc>
        <w:tc>
          <w:tcPr>
            <w:tcW w:w="14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702,815</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686,663</w:t>
            </w:r>
          </w:p>
        </w:tc>
        <w:tc>
          <w:tcPr>
            <w:tcW w:w="11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16,152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Less: Termination fees</w:t>
            </w:r>
          </w:p>
        </w:tc>
        <w:tc>
          <w:tcPr>
            <w:tcW w:w="28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636</w:t>
            </w:r>
          </w:p>
        </w:tc>
        <w:tc>
          <w:tcPr>
            <w:tcW w:w="16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1,037</w:t>
            </w:r>
          </w:p>
        </w:tc>
        <w:tc>
          <w:tcPr>
            <w:tcW w:w="140" w:type="dxa"/>
            <w:vAlign w:val="bottom"/>
            <w:tcBorders>
              <w:bottom w:val="single" w:sz="8" w:color="CFF0FC"/>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(401 )</w:t>
            </w:r>
          </w:p>
        </w:tc>
        <w:tc>
          <w:tcPr>
            <w:tcW w:w="1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3,194</w:t>
            </w:r>
          </w:p>
        </w:tc>
        <w:tc>
          <w:tcPr>
            <w:tcW w:w="1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6,441</w:t>
            </w:r>
          </w:p>
        </w:tc>
        <w:tc>
          <w:tcPr>
            <w:tcW w:w="1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(3,247 )</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Pro-rata same property NOI, excluding</w:t>
            </w:r>
          </w:p>
        </w:tc>
        <w:tc>
          <w:tcPr>
            <w:tcW w:w="2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234,952</w:t>
            </w:r>
          </w:p>
        </w:tc>
        <w:tc>
          <w:tcPr>
            <w:tcW w:w="1320" w:type="dxa"/>
            <w:vAlign w:val="bottom"/>
            <w:gridSpan w:val="2"/>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224,962</w:t>
            </w:r>
          </w:p>
        </w:tc>
        <w:tc>
          <w:tcPr>
            <w:tcW w:w="128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9,990</w:t>
            </w:r>
          </w:p>
        </w:tc>
        <w:tc>
          <w:tcPr>
            <w:tcW w:w="140" w:type="dxa"/>
            <w:vAlign w:val="bottom"/>
          </w:tcPr>
          <w:p>
            <w:pPr>
              <w:spacing w:after="0"/>
              <w:rPr>
                <w:sz w:val="17"/>
                <w:szCs w:val="17"/>
                <w:color w:val="auto"/>
              </w:rPr>
            </w:pP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699,621</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680,222</w:t>
            </w:r>
          </w:p>
        </w:tc>
        <w:tc>
          <w:tcPr>
            <w:tcW w:w="1180" w:type="dxa"/>
            <w:vAlign w:val="bottom"/>
            <w:gridSpan w:val="2"/>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19,399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termination fees</w:t>
            </w:r>
          </w:p>
        </w:tc>
        <w:tc>
          <w:tcPr>
            <w:tcW w:w="28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Pro-rata same property NOI growth, excluding</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4.4 %</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0" w:type="dxa"/>
            <w:vAlign w:val="bottom"/>
          </w:tcPr>
          <w:p>
            <w:pPr>
              <w:spacing w:after="0"/>
              <w:rPr>
                <w:sz w:val="1"/>
                <w:szCs w:val="1"/>
                <w:color w:val="auto"/>
              </w:rPr>
            </w:pPr>
          </w:p>
        </w:tc>
      </w:tr>
      <w:tr>
        <w:trPr>
          <w:trHeight w:val="189"/>
        </w:trPr>
        <w:tc>
          <w:tcPr>
            <w:tcW w:w="36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termination fees</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-1756410</wp:posOffset>
            </wp:positionV>
            <wp:extent cx="9461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-1756410</wp:posOffset>
            </wp:positionV>
            <wp:extent cx="939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-1756410</wp:posOffset>
            </wp:positionV>
            <wp:extent cx="8572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-1756410</wp:posOffset>
            </wp:positionV>
            <wp:extent cx="8572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-1756410</wp:posOffset>
            </wp:positionV>
            <wp:extent cx="8572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-856615</wp:posOffset>
            </wp:positionV>
            <wp:extent cx="9461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-856615</wp:posOffset>
            </wp:positionV>
            <wp:extent cx="9398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-856615</wp:posOffset>
            </wp:positionV>
            <wp:extent cx="85725"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-856615</wp:posOffset>
            </wp:positionV>
            <wp:extent cx="8572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-856615</wp:posOffset>
            </wp:positionV>
            <wp:extent cx="8572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-556260</wp:posOffset>
            </wp:positionV>
            <wp:extent cx="9461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-556260</wp:posOffset>
            </wp:positionV>
            <wp:extent cx="939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-556260</wp:posOffset>
            </wp:positionV>
            <wp:extent cx="8572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-556260</wp:posOffset>
            </wp:positionV>
            <wp:extent cx="857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-556260</wp:posOffset>
            </wp:positionV>
            <wp:extent cx="8572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2743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1174" w:right="299" w:bottom="1440" w:gutter="0" w:footer="0" w:header="0"/>
        </w:sectPr>
      </w:pPr>
    </w:p>
    <w:bookmarkStart w:id="42" w:name="page43"/>
    <w:bookmarkEnd w:id="42"/>
    <w:p>
      <w:pPr>
        <w:ind w:right="40"/>
        <w:spacing w:after="0" w:line="281" w:lineRule="auto"/>
        <w:rPr>
          <w:sz w:val="20"/>
          <w:szCs w:val="20"/>
          <w:color w:val="auto"/>
        </w:rPr>
      </w:pPr>
      <w:r>
        <w:rPr>
          <w:rFonts w:ascii="Times New Roman" w:cs="Times New Roman" w:eastAsia="Times New Roman" w:hAnsi="Times New Roman"/>
          <w:sz w:val="18"/>
          <w:szCs w:val="18"/>
          <w:color w:val="auto"/>
        </w:rPr>
        <w:t>Total real estate revenue increased by $9.6 million and $21.9 million, on a net basis, during the three and nine months ended September 30, 2024 and 2023, respectively, as follows:</w:t>
      </w:r>
    </w:p>
    <w:p>
      <w:pPr>
        <w:spacing w:after="0" w:line="1" w:lineRule="exact"/>
        <w:rPr>
          <w:sz w:val="20"/>
          <w:szCs w:val="20"/>
          <w:color w:val="auto"/>
        </w:rPr>
      </w:pPr>
    </w:p>
    <w:p>
      <w:pPr>
        <w:jc w:val="both"/>
        <w:ind w:left="1020" w:right="160" w:hanging="503"/>
        <w:spacing w:after="0" w:line="266"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rent increased by $6.0 million and $18.7 million during the three and nine months ended September 30, 2024 and 2023, respectively, due to rent steps in existing leases, positive rental spreads on new and renewal leases, and increases in occupancy, as well as redevelopment projects completing and operating.</w:t>
      </w:r>
    </w:p>
    <w:p>
      <w:pPr>
        <w:spacing w:after="0" w:line="13" w:lineRule="exact"/>
        <w:rPr>
          <w:rFonts w:ascii="Times New Roman" w:cs="Times New Roman" w:eastAsia="Times New Roman" w:hAnsi="Times New Roman"/>
          <w:sz w:val="18"/>
          <w:szCs w:val="18"/>
          <w:color w:val="auto"/>
        </w:rPr>
      </w:pPr>
    </w:p>
    <w:p>
      <w:pPr>
        <w:ind w:left="1020" w:right="220" w:hanging="503"/>
        <w:spacing w:after="0" w:line="281"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Recoveries from tenants increased by $2.0 million and $7.8 million during the three and nine months ended September 30, 2024 and 2023, respectively, due to increases in recoverable expenses and expense recovery rates.</w:t>
      </w:r>
    </w:p>
    <w:p>
      <w:pPr>
        <w:spacing w:after="0" w:line="1" w:lineRule="exact"/>
        <w:rPr>
          <w:rFonts w:ascii="Times New Roman" w:cs="Times New Roman" w:eastAsia="Times New Roman" w:hAnsi="Times New Roman"/>
          <w:sz w:val="18"/>
          <w:szCs w:val="18"/>
          <w:color w:val="auto"/>
        </w:rPr>
      </w:pPr>
    </w:p>
    <w:p>
      <w:pPr>
        <w:ind w:left="1020" w:right="200" w:hanging="503"/>
        <w:spacing w:after="0" w:line="281"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fees decreased by $3.2 million during the nine months ended September 30, 2024 due to higher termination fees recognized in 2023 due to early tenant move outs.</w:t>
      </w:r>
    </w:p>
    <w:p>
      <w:pPr>
        <w:spacing w:after="0" w:line="1" w:lineRule="exact"/>
        <w:rPr>
          <w:rFonts w:ascii="Times New Roman" w:cs="Times New Roman" w:eastAsia="Times New Roman" w:hAnsi="Times New Roman"/>
          <w:sz w:val="18"/>
          <w:szCs w:val="18"/>
          <w:color w:val="auto"/>
        </w:rPr>
      </w:pPr>
    </w:p>
    <w:p>
      <w:pPr>
        <w:ind w:left="1020" w:right="320" w:hanging="503"/>
        <w:spacing w:after="0" w:line="282" w:lineRule="auto"/>
        <w:tabs>
          <w:tab w:leader="none" w:pos="10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Uncollectible lease income adjustment increased by $4.8 million during the nine months ended September 30, 2024 and 2023, primarily driven by elevated collections in 2023 of previously reserved amounts, reducing our adjustment in the comparable period.</w:t>
      </w:r>
    </w:p>
    <w:p>
      <w:pPr>
        <w:spacing w:after="0" w:line="10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Total real estate operating expenses increased by $5.7 million, on a net basis, during the nine months ended September 30, 2024 and 2023, respectively, as follows:</w:t>
      </w:r>
    </w:p>
    <w:p>
      <w:pPr>
        <w:spacing w:after="0" w:line="1" w:lineRule="exact"/>
        <w:rPr>
          <w:sz w:val="20"/>
          <w:szCs w:val="20"/>
          <w:color w:val="auto"/>
        </w:rPr>
      </w:pPr>
    </w:p>
    <w:p>
      <w:pPr>
        <w:ind w:left="1020" w:right="100" w:hanging="503"/>
        <w:spacing w:after="0" w:line="281"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maintenance increased by $1.6 million during nine months ended September 30, 2024 and 2023, primarily due to increases in common area maintenance and other tenant-recoverable costs.</w:t>
      </w:r>
    </w:p>
    <w:p>
      <w:pPr>
        <w:spacing w:after="0" w:line="1" w:lineRule="exact"/>
        <w:rPr>
          <w:rFonts w:ascii="Times New Roman" w:cs="Times New Roman" w:eastAsia="Times New Roman" w:hAnsi="Times New Roman"/>
          <w:sz w:val="18"/>
          <w:szCs w:val="18"/>
          <w:color w:val="auto"/>
        </w:rPr>
      </w:pPr>
    </w:p>
    <w:p>
      <w:pPr>
        <w:ind w:left="1020" w:right="240" w:hanging="503"/>
        <w:spacing w:after="0" w:line="282" w:lineRule="auto"/>
        <w:tabs>
          <w:tab w:leader="none" w:pos="10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taxes increased by $3.6 million during the nine months ended September 30, 2024 and 2023, respectively, due to an increase in real estate assessments across the portfolio.</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Reconciliation of Pro-rata Same Property NOI to Net Income Attributable to Common Shareholders: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reconciliation of Net income attributable to common shareholders to Same Property NOI, on a Pro-rata basis,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5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Borders>
              <w:bottom w:val="single" w:sz="8" w:color="auto"/>
            </w:tcBorders>
          </w:tcPr>
          <w:p>
            <w:pPr>
              <w:spacing w:after="0"/>
              <w:rPr>
                <w:sz w:val="21"/>
                <w:szCs w:val="21"/>
                <w:color w:val="auto"/>
              </w:rPr>
            </w:pPr>
          </w:p>
        </w:tc>
        <w:tc>
          <w:tcPr>
            <w:tcW w:w="268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9"/>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shareholders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98,056</w:t>
            </w:r>
          </w:p>
        </w:tc>
        <w:tc>
          <w:tcPr>
            <w:tcW w:w="1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89,076</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303,672</w:t>
            </w:r>
          </w:p>
        </w:tc>
        <w:tc>
          <w:tcPr>
            <w:tcW w:w="1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273,139</w:t>
            </w:r>
          </w:p>
        </w:tc>
      </w:tr>
      <w:tr>
        <w:trPr>
          <w:trHeight w:val="220"/>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9"/>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Management, transaction, and other fees</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6,765</w:t>
            </w:r>
          </w:p>
        </w:tc>
        <w:tc>
          <w:tcPr>
            <w:tcW w:w="1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7,079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19,896</w:t>
            </w:r>
          </w:p>
        </w:tc>
        <w:tc>
          <w:tcPr>
            <w:tcW w:w="1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20,223</w:t>
            </w:r>
          </w:p>
        </w:tc>
      </w:tr>
      <w:tr>
        <w:trPr>
          <w:trHeight w:val="230"/>
        </w:trPr>
        <w:tc>
          <w:tcPr>
            <w:tcW w:w="5360" w:type="dxa"/>
            <w:vAlign w:val="bottom"/>
          </w:tcPr>
          <w:p>
            <w:pPr>
              <w:ind w:left="200"/>
              <w:spacing w:after="0" w:line="230" w:lineRule="exact"/>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12,115</w:t>
            </w:r>
          </w:p>
        </w:tc>
        <w:tc>
          <w:tcPr>
            <w:tcW w:w="1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12,016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37,428</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34,317</w:t>
            </w:r>
          </w:p>
        </w:tc>
      </w:tr>
      <w:tr>
        <w:trPr>
          <w:trHeight w:val="230"/>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Plus: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20"/>
        </w:trPr>
        <w:tc>
          <w:tcPr>
            <w:tcW w:w="5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100,955</w:t>
            </w:r>
          </w:p>
        </w:tc>
        <w:tc>
          <w:tcPr>
            <w:tcW w:w="1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87,505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299,508</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253,373</w:t>
            </w:r>
          </w:p>
        </w:tc>
      </w:tr>
      <w:tr>
        <w:trPr>
          <w:trHeight w:val="239"/>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25,073</w:t>
            </w:r>
          </w:p>
        </w:tc>
        <w:tc>
          <w:tcPr>
            <w:tcW w:w="1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20,903</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75,443</w:t>
            </w:r>
          </w:p>
        </w:tc>
        <w:tc>
          <w:tcPr>
            <w:tcW w:w="1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71,248</w:t>
            </w:r>
          </w:p>
        </w:tc>
      </w:tr>
      <w:tr>
        <w:trPr>
          <w:trHeight w:val="220"/>
        </w:trPr>
        <w:tc>
          <w:tcPr>
            <w:tcW w:w="5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operating expense</w:t>
            </w:r>
          </w:p>
        </w:tc>
        <w:tc>
          <w:tcPr>
            <w:tcW w:w="12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3,654</w:t>
            </w:r>
          </w:p>
        </w:tc>
        <w:tc>
          <w:tcPr>
            <w:tcW w:w="1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3,533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9,363</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4,718</w:t>
            </w:r>
          </w:p>
        </w:tc>
      </w:tr>
      <w:tr>
        <w:trPr>
          <w:trHeight w:val="239"/>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expense, net</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34,290</w:t>
            </w:r>
          </w:p>
        </w:tc>
        <w:tc>
          <w:tcPr>
            <w:tcW w:w="1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39,643</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94,898</w:t>
            </w:r>
          </w:p>
        </w:tc>
        <w:tc>
          <w:tcPr>
            <w:tcW w:w="1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109,192</w:t>
            </w:r>
          </w:p>
        </w:tc>
      </w:tr>
      <w:tr>
        <w:trPr>
          <w:trHeight w:val="230"/>
        </w:trPr>
        <w:tc>
          <w:tcPr>
            <w:tcW w:w="5360" w:type="dxa"/>
            <w:vAlign w:val="bottom"/>
          </w:tcPr>
          <w:p>
            <w:pPr>
              <w:ind w:left="200"/>
              <w:spacing w:after="0" w:line="230" w:lineRule="exact"/>
              <w:rPr>
                <w:sz w:val="20"/>
                <w:szCs w:val="20"/>
                <w:color w:val="auto"/>
              </w:rPr>
            </w:pPr>
            <w:r>
              <w:rPr>
                <w:rFonts w:ascii="Times New Roman" w:cs="Times New Roman" w:eastAsia="Times New Roman" w:hAnsi="Times New Roman"/>
                <w:sz w:val="16"/>
                <w:szCs w:val="16"/>
                <w:color w:val="auto"/>
              </w:rPr>
              <w:t xml:space="preserve">Equity in income of investments in real estate excluded from NOI </w:t>
            </w:r>
            <w:r>
              <w:rPr>
                <w:rFonts w:ascii="Times New Roman" w:cs="Times New Roman" w:eastAsia="Times New Roman" w:hAnsi="Times New Roman"/>
                <w:sz w:val="21"/>
                <w:szCs w:val="21"/>
                <w:color w:val="auto"/>
                <w:vertAlign w:val="superscript"/>
              </w:rPr>
              <w:t>(2)</w:t>
            </w:r>
          </w:p>
        </w:tc>
        <w:tc>
          <w:tcPr>
            <w:tcW w:w="12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12,492</w:t>
            </w:r>
          </w:p>
        </w:tc>
        <w:tc>
          <w:tcPr>
            <w:tcW w:w="1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11,668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39,439</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35,266</w:t>
            </w:r>
          </w:p>
        </w:tc>
      </w:tr>
      <w:tr>
        <w:trPr>
          <w:trHeight w:val="229"/>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income attributable to noncontrolling interests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2,107</w:t>
            </w:r>
          </w:p>
        </w:tc>
        <w:tc>
          <w:tcPr>
            <w:tcW w:w="1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1,453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7,252</w:t>
            </w:r>
          </w:p>
        </w:tc>
        <w:tc>
          <w:tcPr>
            <w:tcW w:w="1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4,050</w:t>
            </w:r>
          </w:p>
        </w:tc>
      </w:tr>
      <w:tr>
        <w:trPr>
          <w:trHeight w:val="223"/>
        </w:trPr>
        <w:tc>
          <w:tcPr>
            <w:tcW w:w="5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Preferred stock dividends and issuance costs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3,413</w:t>
            </w:r>
          </w:p>
        </w:tc>
        <w:tc>
          <w:tcPr>
            <w:tcW w:w="140" w:type="dxa"/>
            <w:vAlign w:val="bottom"/>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1,644</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10,239</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1,644</w:t>
            </w:r>
          </w:p>
        </w:tc>
      </w:tr>
      <w:tr>
        <w:trPr>
          <w:trHeight w:val="229"/>
        </w:trPr>
        <w:tc>
          <w:tcPr>
            <w:tcW w:w="5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Pro-rata NOI</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261,160</w:t>
            </w:r>
          </w:p>
        </w:tc>
        <w:tc>
          <w:tcPr>
            <w:tcW w:w="1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236,330</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782,490</w:t>
            </w:r>
          </w:p>
        </w:tc>
        <w:tc>
          <w:tcPr>
            <w:tcW w:w="1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698,090</w:t>
            </w:r>
          </w:p>
        </w:tc>
      </w:tr>
      <w:tr>
        <w:trPr>
          <w:trHeight w:val="223"/>
        </w:trPr>
        <w:tc>
          <w:tcPr>
            <w:tcW w:w="53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Less non-same property NOI</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25,572</w:t>
            </w:r>
          </w:p>
        </w:tc>
        <w:tc>
          <w:tcPr>
            <w:tcW w:w="140" w:type="dxa"/>
            <w:vAlign w:val="bottom"/>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10,331</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79,675</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11,427</w:t>
            </w:r>
          </w:p>
        </w:tc>
      </w:tr>
      <w:tr>
        <w:trPr>
          <w:trHeight w:val="263"/>
        </w:trPr>
        <w:tc>
          <w:tcPr>
            <w:tcW w:w="53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Pro-rata same property NOI</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235,588</w:t>
            </w:r>
          </w:p>
        </w:tc>
        <w:tc>
          <w:tcPr>
            <w:tcW w:w="140" w:type="dxa"/>
            <w:vAlign w:val="bottom"/>
            <w:tcBorders>
              <w:bottom w:val="single" w:sz="8" w:color="CFF0FC"/>
            </w:tcBorders>
            <w:shd w:val="clear" w:color="auto" w:fill="CFF0FC"/>
          </w:tcPr>
          <w:p>
            <w:pPr>
              <w:spacing w:after="0"/>
              <w:rPr>
                <w:sz w:val="22"/>
                <w:szCs w:val="22"/>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225,999</w:t>
            </w:r>
          </w:p>
        </w:tc>
        <w:tc>
          <w:tcPr>
            <w:tcW w:w="2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702,815</w:t>
            </w:r>
          </w:p>
        </w:tc>
        <w:tc>
          <w:tcPr>
            <w:tcW w:w="120" w:type="dxa"/>
            <w:vAlign w:val="bottom"/>
            <w:tcBorders>
              <w:bottom w:val="single" w:sz="8" w:color="CFF0FC"/>
            </w:tcBorders>
            <w:shd w:val="clear" w:color="auto" w:fill="CFF0FC"/>
          </w:tcPr>
          <w:p>
            <w:pPr>
              <w:spacing w:after="0"/>
              <w:rPr>
                <w:sz w:val="22"/>
                <w:szCs w:val="22"/>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686,663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4244340</wp:posOffset>
            </wp:positionH>
            <wp:positionV relativeFrom="paragraph">
              <wp:posOffset>-2403475</wp:posOffset>
            </wp:positionV>
            <wp:extent cx="111125" cy="18859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5221605</wp:posOffset>
            </wp:positionH>
            <wp:positionV relativeFrom="paragraph">
              <wp:posOffset>-2403475</wp:posOffset>
            </wp:positionV>
            <wp:extent cx="145415" cy="18859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45415" cy="18859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-24765</wp:posOffset>
            </wp:positionV>
            <wp:extent cx="85725"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-7620</wp:posOffset>
            </wp:positionV>
            <wp:extent cx="8572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12001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12001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7747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7747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 w:lineRule="exact"/>
        <w:rPr>
          <w:sz w:val="20"/>
          <w:szCs w:val="20"/>
          <w:color w:val="auto"/>
        </w:rPr>
      </w:pPr>
    </w:p>
    <w:p>
      <w:pPr>
        <w:ind w:left="540" w:right="1060" w:hanging="235"/>
        <w:spacing w:after="0" w:line="266" w:lineRule="auto"/>
        <w:tabs>
          <w:tab w:leader="none" w:pos="540" w:val="left"/>
        </w:tabs>
        <w:numPr>
          <w:ilvl w:val="0"/>
          <w:numId w:val="4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straight-line rental income and expense, net of reserves, above and below market rent amortization, other fees, and noncontrolling interests. Includes non-NOI income earned and expenses incurred at our unconsolidated real estate partnerships, including those separated out above for our consolidated properties.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auto"/>
        </w:rPr>
        <w:t>Nareit FFO, Core Operating Earnings and AFFO:</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reconciliation of net income attributable to common shareholders to Nareit FFO, to Core Operating Earnings, and to AFFO is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 except share information)</w:t>
            </w:r>
          </w:p>
        </w:tc>
        <w:tc>
          <w:tcPr>
            <w:tcW w:w="120" w:type="dxa"/>
            <w:vAlign w:val="bottom"/>
          </w:tcPr>
          <w:p>
            <w:pPr>
              <w:spacing w:after="0"/>
              <w:rPr>
                <w:sz w:val="19"/>
                <w:szCs w:val="19"/>
                <w:color w:val="auto"/>
              </w:rPr>
            </w:pPr>
          </w:p>
        </w:tc>
        <w:tc>
          <w:tcPr>
            <w:tcW w:w="12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40" w:type="dxa"/>
            <w:vAlign w:val="bottom"/>
            <w:gridSpan w:val="2"/>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8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4"/>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Net income attributable to common shareholders to</w:t>
            </w:r>
          </w:p>
        </w:tc>
        <w:tc>
          <w:tcPr>
            <w:tcW w:w="120" w:type="dxa"/>
            <w:vAlign w:val="bottom"/>
            <w:tcBorders>
              <w:top w:val="single" w:sz="8" w:color="auto"/>
            </w:tcBorders>
            <w:shd w:val="clear" w:color="auto" w:fill="CFF0FC"/>
          </w:tcPr>
          <w:p>
            <w:pPr>
              <w:spacing w:after="0"/>
              <w:rPr>
                <w:sz w:val="16"/>
                <w:szCs w:val="16"/>
                <w:color w:val="auto"/>
              </w:rPr>
            </w:pPr>
          </w:p>
        </w:tc>
        <w:tc>
          <w:tcPr>
            <w:tcW w:w="122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60" w:type="dxa"/>
            <w:vAlign w:val="bottom"/>
            <w:tcBorders>
              <w:top w:val="single" w:sz="8" w:color="auto"/>
            </w:tcBorders>
            <w:shd w:val="clear" w:color="auto" w:fill="CFF0FC"/>
          </w:tcPr>
          <w:p>
            <w:pPr>
              <w:spacing w:after="0"/>
              <w:rPr>
                <w:sz w:val="16"/>
                <w:szCs w:val="16"/>
                <w:color w:val="auto"/>
              </w:rPr>
            </w:pPr>
          </w:p>
        </w:tc>
      </w:tr>
      <w:tr>
        <w:trPr>
          <w:trHeight w:val="232"/>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Nareit FFO</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r>
      <w:tr>
        <w:trPr>
          <w:trHeight w:val="220"/>
        </w:trPr>
        <w:tc>
          <w:tcPr>
            <w:tcW w:w="5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attributable to common shareholders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98,056</w:t>
            </w:r>
          </w:p>
        </w:tc>
        <w:tc>
          <w:tcPr>
            <w:tcW w:w="1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89,076</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303,672</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273,139</w:t>
            </w:r>
          </w:p>
        </w:tc>
      </w:tr>
      <w:tr>
        <w:trPr>
          <w:trHeight w:val="239"/>
        </w:trPr>
        <w:tc>
          <w:tcPr>
            <w:tcW w:w="5360" w:type="dxa"/>
            <w:vAlign w:val="bottom"/>
            <w:shd w:val="clear" w:color="auto" w:fill="CFF0FC"/>
          </w:tcPr>
          <w:p>
            <w:pPr>
              <w:ind w:left="200"/>
              <w:spacing w:after="0" w:line="239" w:lineRule="exact"/>
              <w:rPr>
                <w:sz w:val="20"/>
                <w:szCs w:val="20"/>
                <w:color w:val="auto"/>
              </w:rPr>
            </w:pPr>
            <w:r>
              <w:rPr>
                <w:rFonts w:ascii="Times New Roman" w:cs="Times New Roman" w:eastAsia="Times New Roman" w:hAnsi="Times New Roman"/>
                <w:sz w:val="16"/>
                <w:szCs w:val="16"/>
                <w:color w:val="auto"/>
              </w:rPr>
              <w:t xml:space="preserve">Adjustments to reconcile to Nareit FFO: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r>
      <w:tr>
        <w:trPr>
          <w:trHeight w:val="220"/>
        </w:trPr>
        <w:tc>
          <w:tcPr>
            <w:tcW w:w="5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 (excluding FF&amp;E)</w:t>
            </w:r>
          </w:p>
        </w:tc>
        <w:tc>
          <w:tcPr>
            <w:tcW w:w="12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107,801</w:t>
            </w:r>
          </w:p>
        </w:tc>
        <w:tc>
          <w:tcPr>
            <w:tcW w:w="1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94,011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319,765</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272,551</w:t>
            </w:r>
          </w:p>
        </w:tc>
      </w:tr>
      <w:tr>
        <w:trPr>
          <w:trHeight w:val="239"/>
        </w:trPr>
        <w:tc>
          <w:tcPr>
            <w:tcW w:w="5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Gain on sale of real estate, net of tax</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(11,365 )</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(827 )</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(33,853 )</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(1,132 )</w:t>
            </w:r>
          </w:p>
        </w:tc>
      </w:tr>
      <w:tr>
        <w:trPr>
          <w:trHeight w:val="223"/>
        </w:trPr>
        <w:tc>
          <w:tcPr>
            <w:tcW w:w="5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Exchangeable operating partnership units</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593</w:t>
            </w:r>
          </w:p>
        </w:tc>
        <w:tc>
          <w:tcPr>
            <w:tcW w:w="140" w:type="dxa"/>
            <w:vAlign w:val="bottom"/>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520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1,836</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1,490</w:t>
            </w:r>
          </w:p>
        </w:tc>
      </w:tr>
      <w:tr>
        <w:trPr>
          <w:trHeight w:val="26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Nareit FFO attributable to common stock and unit holders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195,085</w:t>
            </w:r>
          </w:p>
        </w:tc>
        <w:tc>
          <w:tcPr>
            <w:tcW w:w="1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182,780</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591,420</w:t>
            </w:r>
          </w:p>
        </w:tc>
        <w:tc>
          <w:tcPr>
            <w:tcW w:w="1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546,048</w:t>
            </w:r>
          </w:p>
        </w:tc>
      </w:tr>
      <w:tr>
        <w:trPr>
          <w:trHeight w:val="208"/>
        </w:trPr>
        <w:tc>
          <w:tcPr>
            <w:tcW w:w="5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Nareit FFO to Core Operating Earnings</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238"/>
        </w:trPr>
        <w:tc>
          <w:tcPr>
            <w:tcW w:w="5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Nareit Funds From Operations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195,085</w:t>
            </w:r>
          </w:p>
        </w:tc>
        <w:tc>
          <w:tcPr>
            <w:tcW w:w="1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182,780</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591,420</w:t>
            </w:r>
          </w:p>
        </w:tc>
        <w:tc>
          <w:tcPr>
            <w:tcW w:w="1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546,048</w:t>
            </w:r>
          </w:p>
        </w:tc>
      </w:tr>
      <w:tr>
        <w:trPr>
          <w:trHeight w:val="230"/>
        </w:trPr>
        <w:tc>
          <w:tcPr>
            <w:tcW w:w="5360" w:type="dxa"/>
            <w:vAlign w:val="bottom"/>
          </w:tcPr>
          <w:p>
            <w:pPr>
              <w:ind w:left="200"/>
              <w:spacing w:after="0" w:line="230" w:lineRule="exact"/>
              <w:rPr>
                <w:sz w:val="20"/>
                <w:szCs w:val="20"/>
                <w:color w:val="auto"/>
              </w:rPr>
            </w:pPr>
            <w:r>
              <w:rPr>
                <w:rFonts w:ascii="Times New Roman" w:cs="Times New Roman" w:eastAsia="Times New Roman" w:hAnsi="Times New Roman"/>
                <w:sz w:val="16"/>
                <w:szCs w:val="16"/>
                <w:color w:val="auto"/>
              </w:rPr>
              <w:t xml:space="preserve">Adjustments to reconcile to Core Operating Earnings: </w:t>
            </w:r>
            <w:r>
              <w:rPr>
                <w:rFonts w:ascii="Times New Roman" w:cs="Times New Roman" w:eastAsia="Times New Roman" w:hAnsi="Times New Roman"/>
                <w:sz w:val="21"/>
                <w:szCs w:val="21"/>
                <w:color w:val="auto"/>
                <w:vertAlign w:val="superscript"/>
              </w:rPr>
              <w:t>(1)</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5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Not Comparable Items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r>
      <w:tr>
        <w:trPr>
          <w:trHeight w:val="220"/>
        </w:trPr>
        <w:tc>
          <w:tcPr>
            <w:tcW w:w="5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Merger transition costs</w:t>
            </w:r>
          </w:p>
        </w:tc>
        <w:tc>
          <w:tcPr>
            <w:tcW w:w="12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2,375</w:t>
            </w:r>
          </w:p>
        </w:tc>
        <w:tc>
          <w:tcPr>
            <w:tcW w:w="1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1,511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7,069</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1,511</w:t>
            </w:r>
          </w:p>
        </w:tc>
      </w:tr>
      <w:tr>
        <w:trPr>
          <w:trHeight w:val="239"/>
        </w:trPr>
        <w:tc>
          <w:tcPr>
            <w:tcW w:w="5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Loss on early extinguishment of debt</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shd w:val="clear" w:color="auto" w:fill="CFF0FC"/>
          </w:tcPr>
          <w:p>
            <w:pPr>
              <w:spacing w:after="0"/>
              <w:rPr>
                <w:sz w:val="20"/>
                <w:szCs w:val="20"/>
                <w:color w:val="auto"/>
              </w:rPr>
            </w:pPr>
          </w:p>
        </w:tc>
        <w:tc>
          <w:tcPr>
            <w:tcW w:w="13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Certain Non Cash Items</w:t>
            </w: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9"/>
        </w:trPr>
        <w:tc>
          <w:tcPr>
            <w:tcW w:w="5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Straight-line rent</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(5,886 )</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(3,142 )</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(16,907 )</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(7,315 )</w:t>
            </w:r>
          </w:p>
        </w:tc>
      </w:tr>
      <w:tr>
        <w:trPr>
          <w:trHeight w:val="220"/>
        </w:trPr>
        <w:tc>
          <w:tcPr>
            <w:tcW w:w="5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Uncollectible straight-line rent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(134 )</w:t>
            </w:r>
          </w:p>
        </w:tc>
        <w:tc>
          <w:tcPr>
            <w:tcW w:w="1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92</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1,899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(2,298 )</w:t>
            </w:r>
          </w:p>
        </w:tc>
      </w:tr>
      <w:tr>
        <w:trPr>
          <w:trHeight w:val="239"/>
        </w:trPr>
        <w:tc>
          <w:tcPr>
            <w:tcW w:w="5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Above/below market rent amortization, net</w:t>
            </w:r>
          </w:p>
        </w:tc>
        <w:tc>
          <w:tcPr>
            <w:tcW w:w="12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(5,370 )</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(7,919 )</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(17,910 )</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(22,138 )</w:t>
            </w:r>
          </w:p>
        </w:tc>
      </w:tr>
      <w:tr>
        <w:trPr>
          <w:trHeight w:val="223"/>
        </w:trPr>
        <w:tc>
          <w:tcPr>
            <w:tcW w:w="53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Debt and derivative mark-to-market amortization</w:t>
            </w: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1,693</w:t>
            </w:r>
          </w:p>
        </w:tc>
        <w:tc>
          <w:tcPr>
            <w:tcW w:w="140" w:type="dxa"/>
            <w:vAlign w:val="bottom"/>
          </w:tcPr>
          <w:p>
            <w:pPr>
              <w:spacing w:after="0"/>
              <w:rPr>
                <w:sz w:val="19"/>
                <w:szCs w:val="19"/>
                <w:color w:val="auto"/>
              </w:rPr>
            </w:pP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667</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4,333</w:t>
            </w:r>
          </w:p>
        </w:tc>
        <w:tc>
          <w:tcPr>
            <w:tcW w:w="120" w:type="dxa"/>
            <w:vAlign w:val="bottom"/>
          </w:tcPr>
          <w:p>
            <w:pPr>
              <w:spacing w:after="0"/>
              <w:rPr>
                <w:sz w:val="19"/>
                <w:szCs w:val="19"/>
                <w:color w:val="auto"/>
              </w:rPr>
            </w:pPr>
          </w:p>
        </w:tc>
        <w:tc>
          <w:tcPr>
            <w:tcW w:w="13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667</w:t>
            </w:r>
          </w:p>
        </w:tc>
      </w:tr>
      <w:tr>
        <w:trPr>
          <w:trHeight w:val="26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Core Operating Earnings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187,763</w:t>
            </w:r>
          </w:p>
        </w:tc>
        <w:tc>
          <w:tcPr>
            <w:tcW w:w="1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173,989</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570,084</w:t>
            </w:r>
          </w:p>
        </w:tc>
        <w:tc>
          <w:tcPr>
            <w:tcW w:w="1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516,475</w:t>
            </w:r>
          </w:p>
        </w:tc>
      </w:tr>
      <w:tr>
        <w:trPr>
          <w:trHeight w:val="208"/>
        </w:trPr>
        <w:tc>
          <w:tcPr>
            <w:tcW w:w="5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Core Operating Earnings to AFFO:</w:t>
            </w: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238"/>
        </w:trPr>
        <w:tc>
          <w:tcPr>
            <w:tcW w:w="53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Core Operating Earnings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187,763</w:t>
            </w:r>
          </w:p>
        </w:tc>
        <w:tc>
          <w:tcPr>
            <w:tcW w:w="15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173,989</w:t>
            </w:r>
          </w:p>
        </w:tc>
        <w:tc>
          <w:tcPr>
            <w:tcW w:w="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570,084</w:t>
            </w:r>
          </w:p>
        </w:tc>
        <w:tc>
          <w:tcPr>
            <w:tcW w:w="148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516,475</w:t>
            </w:r>
          </w:p>
        </w:tc>
      </w:tr>
      <w:tr>
        <w:trPr>
          <w:trHeight w:val="283"/>
        </w:trPr>
        <w:tc>
          <w:tcPr>
            <w:tcW w:w="5360" w:type="dxa"/>
            <w:vAlign w:val="bottom"/>
          </w:tcPr>
          <w:p>
            <w:pPr>
              <w:ind w:left="200"/>
              <w:spacing w:after="0" w:line="283" w:lineRule="exact"/>
              <w:rPr>
                <w:sz w:val="20"/>
                <w:szCs w:val="20"/>
                <w:color w:val="auto"/>
              </w:rPr>
            </w:pPr>
            <w:r>
              <w:rPr>
                <w:rFonts w:ascii="Times New Roman" w:cs="Times New Roman" w:eastAsia="Times New Roman" w:hAnsi="Times New Roman"/>
                <w:sz w:val="16"/>
                <w:szCs w:val="16"/>
                <w:color w:val="auto"/>
              </w:rPr>
              <w:t xml:space="preserve">Adjustments to reconcile to AFFO </w:t>
            </w:r>
            <w:r>
              <w:rPr>
                <w:rFonts w:ascii="Arial" w:cs="Arial" w:eastAsia="Arial" w:hAnsi="Arial"/>
                <w:sz w:val="25"/>
                <w:szCs w:val="25"/>
                <w:color w:val="auto"/>
                <w:vertAlign w:val="superscript"/>
              </w:rPr>
              <w:t>(1)</w:t>
            </w:r>
            <w:r>
              <w:rPr>
                <w:rFonts w:ascii="Arial" w:cs="Arial" w:eastAsia="Arial" w:hAnsi="Arial"/>
                <w:sz w:val="19"/>
                <w:szCs w:val="19"/>
                <w:color w:val="auto"/>
              </w:rPr>
              <w:t>:</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0"/>
        </w:trPr>
        <w:tc>
          <w:tcPr>
            <w:tcW w:w="5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Operating capital expenditures</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(36,430 )</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(26,638 )</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(91,168 )</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(65,183 )</w:t>
            </w:r>
          </w:p>
        </w:tc>
      </w:tr>
      <w:tr>
        <w:trPr>
          <w:trHeight w:val="220"/>
        </w:trPr>
        <w:tc>
          <w:tcPr>
            <w:tcW w:w="53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Debt cost and derivative adjustments</w:t>
            </w:r>
          </w:p>
        </w:tc>
        <w:tc>
          <w:tcPr>
            <w:tcW w:w="12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2,107</w:t>
            </w:r>
          </w:p>
        </w:tc>
        <w:tc>
          <w:tcPr>
            <w:tcW w:w="1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1,690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6,269</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5,049</w:t>
            </w:r>
          </w:p>
        </w:tc>
      </w:tr>
      <w:tr>
        <w:trPr>
          <w:trHeight w:val="233"/>
        </w:trPr>
        <w:tc>
          <w:tcPr>
            <w:tcW w:w="53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4,776</w:t>
            </w:r>
          </w:p>
        </w:tc>
        <w:tc>
          <w:tcPr>
            <w:tcW w:w="140" w:type="dxa"/>
            <w:vAlign w:val="bottom"/>
            <w:tcBorders>
              <w:bottom w:val="single" w:sz="8" w:color="CFF0FC"/>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4,199</w:t>
            </w:r>
          </w:p>
        </w:tc>
        <w:tc>
          <w:tcPr>
            <w:tcW w:w="2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14,078</w:t>
            </w:r>
          </w:p>
        </w:tc>
        <w:tc>
          <w:tcPr>
            <w:tcW w:w="12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13,123</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AFFO</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158,216</w:t>
            </w:r>
          </w:p>
        </w:tc>
        <w:tc>
          <w:tcPr>
            <w:tcW w:w="15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153,240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499,263</w:t>
            </w:r>
          </w:p>
        </w:tc>
        <w:tc>
          <w:tcPr>
            <w:tcW w:w="148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469,464</w:t>
            </w:r>
          </w:p>
        </w:tc>
      </w:tr>
      <w:tr>
        <w:trPr>
          <w:trHeight w:val="20"/>
        </w:trPr>
        <w:tc>
          <w:tcPr>
            <w:tcW w:w="5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-2896870</wp:posOffset>
            </wp:positionV>
            <wp:extent cx="8572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-2879725</wp:posOffset>
            </wp:positionV>
            <wp:extent cx="85725"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-2896870</wp:posOffset>
            </wp:positionV>
            <wp:extent cx="12001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-2879725</wp:posOffset>
            </wp:positionV>
            <wp:extent cx="12001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-2896870</wp:posOffset>
            </wp:positionV>
            <wp:extent cx="7747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-2879725</wp:posOffset>
            </wp:positionV>
            <wp:extent cx="7747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-1113790</wp:posOffset>
            </wp:positionV>
            <wp:extent cx="8572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-1096645</wp:posOffset>
            </wp:positionV>
            <wp:extent cx="857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-1113790</wp:posOffset>
            </wp:positionV>
            <wp:extent cx="12001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-1096645</wp:posOffset>
            </wp:positionV>
            <wp:extent cx="12001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-1113790</wp:posOffset>
            </wp:positionV>
            <wp:extent cx="7747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-1096645</wp:posOffset>
            </wp:positionV>
            <wp:extent cx="7747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4257040</wp:posOffset>
            </wp:positionH>
            <wp:positionV relativeFrom="paragraph">
              <wp:posOffset>-179705</wp:posOffset>
            </wp:positionV>
            <wp:extent cx="8572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-179705</wp:posOffset>
            </wp:positionV>
            <wp:extent cx="12001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-179705</wp:posOffset>
            </wp:positionV>
            <wp:extent cx="7747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ind w:left="540" w:hanging="235"/>
        <w:spacing w:after="0" w:line="237" w:lineRule="auto"/>
        <w:tabs>
          <w:tab w:leader="none" w:pos="540" w:val="left"/>
        </w:tabs>
        <w:numPr>
          <w:ilvl w:val="0"/>
          <w:numId w:val="4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Regency's Pro-rata share of unconsolidated investment partnerships, net of Pro-rata share attributable to noncontrolling interests.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7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use cash flows generated from operating, investing, and financing activities to strengthen our balance sheet, finance our development and redevelopment projects, fund our investment activities, and maintain financial flexibility. A significant portion of our cash from operations is distributed to our common shareholders in the form of dividends in order to maintain our status as a REIT.</w:t>
      </w:r>
    </w:p>
    <w:p>
      <w:pPr>
        <w:spacing w:after="0" w:line="1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Except for $200 million of private placement debt, our Parent Company has no capital commitments other than its guarantees of the commitments of our Operating Partnership. All remaining debt is held by our Operating Partnership, its subsidiaries, or by our real estate partnerships. The Operating Partnership is a co-issuer and a guarantor of the $200 million of outstanding debt of our Parent Company. The Parent Company will from time to time access the capital markets for the purpose of issuing new equity, and will simultaneously contribute all of the offering proceeds to the Operating Partnership in exchange for additional partnership units.</w:t>
      </w:r>
    </w:p>
    <w:p>
      <w:pPr>
        <w:spacing w:after="0" w:line="1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continually assess our available liquidity and our expected cash requirements, including monitoring our tenant rent collections. We have access to and draw on multiple financing sources to fund our operations and our long-term capital needs, including the requirements of our in process and planned developments, redevelopments, other capital expenditures, and the repayment of debt. We expect to meet these needs by using a combination of the following: cash flow from operations after funding our common stock and preferred stock dividends, borrowings from our Line, proceeds from the sale of real estate, mortgage loan and unsecured bank financing, distributions received from our real estate partnerships, and when the capital markets are favorable, proceeds from the sale of equity securities or the issuance of new unsecured debt. We continually evaluate alternative financing options, and we believe we can obtain new financing on reasonable terms, although likely at higher interest rates than that of our debt currently outstanding, due to the current interest rate environment.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44" w:name="page45"/>
    <w:bookmarkEnd w:id="44"/>
    <w:p>
      <w:pPr>
        <w:ind w:right="80"/>
        <w:spacing w:after="0" w:line="258" w:lineRule="auto"/>
        <w:rPr>
          <w:sz w:val="20"/>
          <w:szCs w:val="20"/>
          <w:color w:val="auto"/>
        </w:rPr>
      </w:pPr>
      <w:r>
        <w:rPr>
          <w:rFonts w:ascii="Times New Roman" w:cs="Times New Roman" w:eastAsia="Times New Roman" w:hAnsi="Times New Roman"/>
          <w:sz w:val="18"/>
          <w:szCs w:val="18"/>
          <w:color w:val="auto"/>
        </w:rPr>
        <w:t>On January 8, 2024, we priced a public offering of $400 million of senior unsecured notes due in 2034 (the "January 2024 Notes") under our existing shelf registration statement filed with the SEC. The January 2024 Notes were issued at 99.617% of par value with a coupon of 5.25%, and will mature on January 15, 2034. Additionally, on August 12, 2024, we priced a public offering of $325 million of senior unsecured notes due in 2035 (the "August 2024 Notes") under our existing shelf registration statement filed with the SEC. The August 2024 Notes were issued at 99.813% of par value with a coupon of 5.10%, and will mature on January 15, 2035.</w:t>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redeemed $250 million of senior unsecured notes that matured in June 2024, and our next maturity of senior unsecured notes occurs in November 2025. We have $103.5 million of secured loan maturities during the next 12 months, including Regency's pro-rata share of maturities within our unconsolidated real estate partnerships, which we intend to refinance or pay off as they mature. Based upon our available cash balance, sources of capital, our current credit ratings, and the number of high quality, unencumbered properties we own, we believe our available capital resources are sufficient to meet our expected capital needs for the next year, although, in the longer term, we can provide no assurances.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our $110.0 million of unrestricted cash, we have the following additional sources of capital available:</w:t>
      </w:r>
    </w:p>
    <w:p>
      <w:pPr>
        <w:spacing w:after="0" w:line="228" w:lineRule="exact"/>
        <w:rPr>
          <w:sz w:val="20"/>
          <w:szCs w:val="20"/>
          <w:color w:val="auto"/>
        </w:rPr>
      </w:pPr>
    </w:p>
    <w:tbl>
      <w:tblPr>
        <w:tblLayout w:type="fixed"/>
        <w:tblInd w:w="2260" w:type="dxa"/>
        <w:tblCellMar>
          <w:top w:w="0" w:type="dxa"/>
          <w:left w:w="0" w:type="dxa"/>
          <w:bottom w:w="0" w:type="dxa"/>
          <w:right w:w="0" w:type="dxa"/>
        </w:tblCellMar>
      </w:tblPr>
      <w:tr>
        <w:trPr>
          <w:trHeight w:val="232"/>
        </w:trPr>
        <w:tc>
          <w:tcPr>
            <w:tcW w:w="4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3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169"/>
        </w:trPr>
        <w:tc>
          <w:tcPr>
            <w:tcW w:w="4260" w:type="dxa"/>
            <w:vAlign w:val="bottom"/>
            <w:gridSpan w:val="3"/>
            <w:shd w:val="clear" w:color="auto" w:fill="CFF0FC"/>
          </w:tcPr>
          <w:p>
            <w:pPr>
              <w:spacing w:after="0" w:line="169" w:lineRule="exact"/>
              <w:rPr>
                <w:sz w:val="20"/>
                <w:szCs w:val="20"/>
                <w:color w:val="auto"/>
              </w:rPr>
            </w:pPr>
            <w:r>
              <w:rPr>
                <w:rFonts w:ascii="Times New Roman" w:cs="Times New Roman" w:eastAsia="Times New Roman" w:hAnsi="Times New Roman"/>
                <w:sz w:val="16"/>
                <w:szCs w:val="16"/>
                <w:b w:val="1"/>
                <w:bCs w:val="1"/>
                <w:color w:val="auto"/>
              </w:rPr>
              <w:t>ATM program</w:t>
            </w:r>
          </w:p>
        </w:tc>
        <w:tc>
          <w:tcPr>
            <w:tcW w:w="320" w:type="dxa"/>
            <w:vAlign w:val="bottom"/>
            <w:shd w:val="clear" w:color="auto" w:fill="CFF0FC"/>
          </w:tcPr>
          <w:p>
            <w:pPr>
              <w:spacing w:after="0"/>
              <w:rPr>
                <w:sz w:val="14"/>
                <w:szCs w:val="14"/>
                <w:color w:val="auto"/>
              </w:rPr>
            </w:pPr>
          </w:p>
        </w:tc>
        <w:tc>
          <w:tcPr>
            <w:tcW w:w="2160" w:type="dxa"/>
            <w:vAlign w:val="bottom"/>
            <w:shd w:val="clear" w:color="auto" w:fill="CFF0FC"/>
          </w:tcPr>
          <w:p>
            <w:pPr>
              <w:spacing w:after="0"/>
              <w:rPr>
                <w:sz w:val="14"/>
                <w:szCs w:val="14"/>
                <w:color w:val="auto"/>
              </w:rPr>
            </w:pPr>
          </w:p>
        </w:tc>
      </w:tr>
      <w:tr>
        <w:trPr>
          <w:trHeight w:val="34"/>
        </w:trPr>
        <w:tc>
          <w:tcPr>
            <w:tcW w:w="940" w:type="dxa"/>
            <w:vAlign w:val="bottom"/>
            <w:tcBorders>
              <w:top w:val="single" w:sz="8" w:color="auto"/>
            </w:tcBorders>
            <w:shd w:val="clear" w:color="auto" w:fill="CFF0FC"/>
          </w:tcPr>
          <w:p>
            <w:pPr>
              <w:spacing w:after="0"/>
              <w:rPr>
                <w:sz w:val="2"/>
                <w:szCs w:val="2"/>
                <w:color w:val="auto"/>
              </w:rPr>
            </w:pPr>
          </w:p>
        </w:tc>
        <w:tc>
          <w:tcPr>
            <w:tcW w:w="80" w:type="dxa"/>
            <w:vAlign w:val="bottom"/>
            <w:tcBorders>
              <w:top w:val="single" w:sz="8" w:color="auto"/>
            </w:tcBorders>
            <w:shd w:val="clear" w:color="auto" w:fill="CFF0FC"/>
          </w:tcPr>
          <w:p>
            <w:pPr>
              <w:spacing w:after="0"/>
              <w:rPr>
                <w:sz w:val="2"/>
                <w:szCs w:val="2"/>
                <w:color w:val="auto"/>
              </w:rPr>
            </w:pPr>
          </w:p>
        </w:tc>
        <w:tc>
          <w:tcPr>
            <w:tcW w:w="3240" w:type="dxa"/>
            <w:vAlign w:val="bottom"/>
            <w:tcBorders>
              <w:top w:val="single" w:sz="8" w:color="CFF0FC"/>
            </w:tcBorders>
            <w:shd w:val="clear" w:color="auto" w:fill="CFF0FC"/>
          </w:tcPr>
          <w:p>
            <w:pPr>
              <w:spacing w:after="0"/>
              <w:rPr>
                <w:sz w:val="2"/>
                <w:szCs w:val="2"/>
                <w:color w:val="auto"/>
              </w:rPr>
            </w:pPr>
          </w:p>
        </w:tc>
        <w:tc>
          <w:tcPr>
            <w:tcW w:w="320" w:type="dxa"/>
            <w:vAlign w:val="bottom"/>
            <w:tcBorders>
              <w:top w:val="single" w:sz="8" w:color="CFF0FC"/>
            </w:tcBorders>
            <w:shd w:val="clear" w:color="auto" w:fill="CFF0FC"/>
          </w:tcPr>
          <w:p>
            <w:pPr>
              <w:spacing w:after="0"/>
              <w:rPr>
                <w:sz w:val="2"/>
                <w:szCs w:val="2"/>
                <w:color w:val="auto"/>
              </w:rPr>
            </w:pPr>
          </w:p>
        </w:tc>
        <w:tc>
          <w:tcPr>
            <w:tcW w:w="2160" w:type="dxa"/>
            <w:vAlign w:val="bottom"/>
            <w:tcBorders>
              <w:top w:val="single" w:sz="8" w:color="CFF0FC"/>
            </w:tcBorders>
            <w:shd w:val="clear" w:color="auto" w:fill="CFF0FC"/>
          </w:tcPr>
          <w:p>
            <w:pPr>
              <w:spacing w:after="0"/>
              <w:rPr>
                <w:sz w:val="2"/>
                <w:szCs w:val="2"/>
                <w:color w:val="auto"/>
              </w:rPr>
            </w:pPr>
          </w:p>
        </w:tc>
      </w:tr>
      <w:tr>
        <w:trPr>
          <w:trHeight w:val="220"/>
        </w:trPr>
        <w:tc>
          <w:tcPr>
            <w:tcW w:w="42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Original offering amount</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39"/>
        </w:trPr>
        <w:tc>
          <w:tcPr>
            <w:tcW w:w="42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Available capacity</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176"/>
        </w:trPr>
        <w:tc>
          <w:tcPr>
            <w:tcW w:w="426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Line of credit</w:t>
            </w:r>
          </w:p>
        </w:tc>
        <w:tc>
          <w:tcPr>
            <w:tcW w:w="320" w:type="dxa"/>
            <w:vAlign w:val="bottom"/>
          </w:tcPr>
          <w:p>
            <w:pPr>
              <w:spacing w:after="0"/>
              <w:rPr>
                <w:sz w:val="15"/>
                <w:szCs w:val="15"/>
                <w:color w:val="auto"/>
              </w:rPr>
            </w:pPr>
          </w:p>
        </w:tc>
        <w:tc>
          <w:tcPr>
            <w:tcW w:w="2160" w:type="dxa"/>
            <w:vAlign w:val="bottom"/>
          </w:tcPr>
          <w:p>
            <w:pPr>
              <w:spacing w:after="0"/>
              <w:rPr>
                <w:sz w:val="15"/>
                <w:szCs w:val="15"/>
                <w:color w:val="auto"/>
              </w:rPr>
            </w:pPr>
          </w:p>
        </w:tc>
      </w:tr>
      <w:tr>
        <w:trPr>
          <w:trHeight w:val="34"/>
        </w:trPr>
        <w:tc>
          <w:tcPr>
            <w:tcW w:w="9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42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commitment amount</w:t>
            </w:r>
          </w:p>
        </w:tc>
        <w:tc>
          <w:tcPr>
            <w:tcW w:w="3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1,500,000</w:t>
            </w:r>
          </w:p>
        </w:tc>
      </w:tr>
      <w:tr>
        <w:trPr>
          <w:trHeight w:val="230"/>
        </w:trPr>
        <w:tc>
          <w:tcPr>
            <w:tcW w:w="4260" w:type="dxa"/>
            <w:vAlign w:val="bottom"/>
            <w:gridSpan w:val="3"/>
          </w:tcPr>
          <w:p>
            <w:pPr>
              <w:spacing w:after="0" w:line="230" w:lineRule="exact"/>
              <w:rPr>
                <w:sz w:val="20"/>
                <w:szCs w:val="20"/>
                <w:color w:val="auto"/>
              </w:rPr>
            </w:pPr>
            <w:r>
              <w:rPr>
                <w:rFonts w:ascii="Times New Roman" w:cs="Times New Roman" w:eastAsia="Times New Roman" w:hAnsi="Times New Roman"/>
                <w:sz w:val="16"/>
                <w:szCs w:val="16"/>
                <w:color w:val="auto"/>
              </w:rPr>
              <w:t xml:space="preserve">Available capacity </w:t>
            </w:r>
            <w:r>
              <w:rPr>
                <w:rFonts w:ascii="Times New Roman" w:cs="Times New Roman" w:eastAsia="Times New Roman" w:hAnsi="Times New Roman"/>
                <w:sz w:val="21"/>
                <w:szCs w:val="21"/>
                <w:color w:val="auto"/>
                <w:vertAlign w:val="superscript"/>
              </w:rPr>
              <w:t>(1)</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1,459,885</w:t>
            </w:r>
          </w:p>
        </w:tc>
      </w:tr>
      <w:tr>
        <w:trPr>
          <w:trHeight w:val="229"/>
        </w:trPr>
        <w:tc>
          <w:tcPr>
            <w:tcW w:w="4260" w:type="dxa"/>
            <w:vAlign w:val="bottom"/>
            <w:gridSpan w:val="3"/>
            <w:shd w:val="clear" w:color="auto" w:fill="CFF0FC"/>
          </w:tcPr>
          <w:p>
            <w:pPr>
              <w:spacing w:after="0" w:line="230" w:lineRule="exact"/>
              <w:rPr>
                <w:sz w:val="20"/>
                <w:szCs w:val="20"/>
                <w:color w:val="auto"/>
              </w:rPr>
            </w:pPr>
            <w:r>
              <w:rPr>
                <w:rFonts w:ascii="Times New Roman" w:cs="Times New Roman" w:eastAsia="Times New Roman" w:hAnsi="Times New Roman"/>
                <w:sz w:val="16"/>
                <w:szCs w:val="16"/>
                <w:color w:val="auto"/>
              </w:rPr>
              <w:t xml:space="preserve">Maturity </w:t>
            </w:r>
            <w:r>
              <w:rPr>
                <w:rFonts w:ascii="Times New Roman" w:cs="Times New Roman" w:eastAsia="Times New Roman" w:hAnsi="Times New Roman"/>
                <w:sz w:val="21"/>
                <w:szCs w:val="21"/>
                <w:color w:val="auto"/>
                <w:vertAlign w:val="superscript"/>
              </w:rPr>
              <w:t>(2)</w:t>
            </w:r>
          </w:p>
        </w:tc>
        <w:tc>
          <w:tcPr>
            <w:tcW w:w="320" w:type="dxa"/>
            <w:vAlign w:val="bottom"/>
            <w:shd w:val="clear" w:color="auto" w:fill="CFF0FC"/>
          </w:tcPr>
          <w:p>
            <w:pPr>
              <w:spacing w:after="0"/>
              <w:rPr>
                <w:sz w:val="19"/>
                <w:szCs w:val="19"/>
                <w:color w:val="auto"/>
              </w:rPr>
            </w:pPr>
          </w:p>
        </w:tc>
        <w:tc>
          <w:tcPr>
            <w:tcW w:w="2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March 23, 2028</w:t>
            </w:r>
          </w:p>
        </w:tc>
      </w:tr>
    </w:tbl>
    <w:p>
      <w:pPr>
        <w:ind w:left="2420" w:hanging="198"/>
        <w:spacing w:after="0" w:line="237" w:lineRule="auto"/>
        <w:tabs>
          <w:tab w:leader="none" w:pos="2420"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Net of letters of credit issued against our Line.</w:t>
      </w:r>
    </w:p>
    <w:p>
      <w:pPr>
        <w:spacing w:after="0" w:line="64" w:lineRule="exact"/>
        <w:rPr>
          <w:rFonts w:ascii="Times New Roman" w:cs="Times New Roman" w:eastAsia="Times New Roman" w:hAnsi="Times New Roman"/>
          <w:sz w:val="22"/>
          <w:szCs w:val="22"/>
          <w:color w:val="auto"/>
          <w:vertAlign w:val="superscript"/>
        </w:rPr>
      </w:pPr>
    </w:p>
    <w:p>
      <w:pPr>
        <w:ind w:left="2420" w:hanging="198"/>
        <w:spacing w:after="0" w:line="182" w:lineRule="auto"/>
        <w:tabs>
          <w:tab w:leader="none" w:pos="2420" w:val="left"/>
        </w:tabs>
        <w:numPr>
          <w:ilvl w:val="0"/>
          <w:numId w:val="4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Company has the option to extend the maturity for two additional six-month periods.</w:t>
      </w:r>
    </w:p>
    <w:p>
      <w:pPr>
        <w:spacing w:after="0" w:line="15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declaration of dividends is determined quarterly by, and in the discretion of, our Board of Directors ("Board"). We expect to continue paying an aggregate amount of distributions to our stock and unit holders, that at a minimum, meet the requirements to continue qualifying as a REIT for federal income tax purposes.</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historically generated sufficient cash flow from operations to fund our dividend distributions. During the nine months ended September 30, 2024 and 2023, we generated cash flows from operating activities of $598.8 million and $547.7 million, respectively, and paid $381.5 million in dividends to our common and preferred stock and unit holders, and $334.3 million in dividends to our common stock and unit holders, in the same respective periods.</w:t>
      </w:r>
    </w:p>
    <w:p>
      <w:pPr>
        <w:spacing w:after="0" w:line="12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currently have development and redevelopment projects in various stages of planning, design and construction, along with a pipeline of potential projects for future development or redevelopment. After funding our common and preferred stock dividend payments in October of 2024, we estimate that we will require capital during the next 12 months of approximately $460.7 million related to leasing commissions, tenant improvements, in-process developments and redevelopments, capital contributions to our real estate partnerships, and repaying maturing debt. These capital requirements are being impacted by inflation resulting in increased costs of construction materials, labor, and services from third-party contractors and suppliers. In response, we have implemented mitigation strategies such as entering into fixed cost construction contracts, pre-ordering materials, and other planning efforts. Further, continued challenges from permitting delays and labor shortages may extend the time to completion of these projects.</w:t>
      </w:r>
    </w:p>
    <w:p>
      <w:pPr>
        <w:spacing w:after="0" w:line="13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If we start new developments or redevelopments, commit to property acquisitions, repay debt prior to maturity, declare future dividends, or repurchase shares of our common stock, our cash requirements will increase. If we refinance maturing debt, our cash requirements will decrease.</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endeavor to maintain a high percentage of unencumbered assets. As of September 30, 2024, 88.1% of our wholly-owned real estate assets were unencumbered. Our low level of encumbered assets allows us to more readily access the secured and unsecured debt markets and to maintain borrowing capacity on the Line.</w:t>
      </w:r>
    </w:p>
    <w:p>
      <w:pPr>
        <w:spacing w:after="0" w:line="12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Our Line and unsecured debt require that we remain in compliance with various customary financial covenants, which are described in the Notes to Consolidated Financial Statements included in our 2023 Form 10-K. We were in compliance with these covenants at September 30, 2024, and expect to remain in compliance.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auto"/>
        </w:rPr>
        <w:t>Summary of Cash Flow Activity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net cash flows related to operating, investing, and financing activities of the Company:</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4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60" w:type="dxa"/>
            <w:vAlign w:val="bottom"/>
            <w:gridSpan w:val="4"/>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598,813</w:t>
            </w:r>
          </w:p>
        </w:tc>
        <w:tc>
          <w:tcPr>
            <w:tcW w:w="240" w:type="dxa"/>
            <w:vAlign w:val="bottom"/>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547,685</w:t>
            </w:r>
          </w:p>
        </w:tc>
        <w:tc>
          <w:tcPr>
            <w:tcW w:w="240" w:type="dxa"/>
            <w:vAlign w:val="bottom"/>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51,128</w:t>
            </w:r>
          </w:p>
        </w:tc>
        <w:tc>
          <w:tcPr>
            <w:tcW w:w="80" w:type="dxa"/>
            <w:vAlign w:val="bottom"/>
            <w:shd w:val="clear" w:color="auto" w:fill="CFF0FC"/>
          </w:tcPr>
          <w:p>
            <w:pPr>
              <w:spacing w:after="0"/>
              <w:rPr>
                <w:sz w:val="19"/>
                <w:szCs w:val="19"/>
                <w:color w:val="auto"/>
              </w:rPr>
            </w:pPr>
          </w:p>
        </w:tc>
      </w:tr>
      <w:tr>
        <w:trPr>
          <w:trHeight w:val="220"/>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(209,071 )</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(231,527 )</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22,456</w:t>
            </w:r>
          </w:p>
        </w:tc>
        <w:tc>
          <w:tcPr>
            <w:tcW w:w="80" w:type="dxa"/>
            <w:vAlign w:val="bottom"/>
          </w:tcPr>
          <w:p>
            <w:pPr>
              <w:spacing w:after="0"/>
              <w:rPr>
                <w:sz w:val="19"/>
                <w:szCs w:val="19"/>
                <w:color w:val="auto"/>
              </w:rPr>
            </w:pPr>
          </w:p>
        </w:tc>
      </w:tr>
      <w:tr>
        <w:trPr>
          <w:trHeight w:val="23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4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(366,265 )</w:t>
            </w:r>
          </w:p>
        </w:tc>
        <w:tc>
          <w:tcPr>
            <w:tcW w:w="1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(303,864 )</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(62,401 )</w:t>
            </w:r>
          </w:p>
        </w:tc>
      </w:tr>
      <w:tr>
        <w:trPr>
          <w:trHeight w:val="223"/>
        </w:trPr>
        <w:tc>
          <w:tcPr>
            <w:tcW w:w="4640" w:type="dxa"/>
            <w:vAlign w:val="bottom"/>
            <w:tcBorders>
              <w:top w:val="single" w:sz="8" w:color="CFF0FC"/>
            </w:tcBorders>
          </w:tcPr>
          <w:p>
            <w:pPr>
              <w:ind w:left="36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23,477</w:t>
            </w:r>
          </w:p>
        </w:tc>
        <w:tc>
          <w:tcPr>
            <w:tcW w:w="240" w:type="dxa"/>
            <w:vAlign w:val="bottom"/>
            <w:tcBorders>
              <w:top w:val="single" w:sz="8" w:color="CFF0FC"/>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12,294</w:t>
            </w:r>
          </w:p>
        </w:tc>
        <w:tc>
          <w:tcPr>
            <w:tcW w:w="240" w:type="dxa"/>
            <w:vAlign w:val="bottom"/>
            <w:tcBorders>
              <w:top w:val="single" w:sz="8" w:color="CFF0FC"/>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11,183</w:t>
            </w:r>
          </w:p>
        </w:tc>
        <w:tc>
          <w:tcPr>
            <w:tcW w:w="80" w:type="dxa"/>
            <w:vAlign w:val="bottom"/>
            <w:tcBorders>
              <w:top w:val="single" w:sz="8" w:color="CFF0FC"/>
            </w:tcBorders>
          </w:tcPr>
          <w:p>
            <w:pPr>
              <w:spacing w:after="0"/>
              <w:rPr>
                <w:sz w:val="19"/>
                <w:szCs w:val="19"/>
                <w:color w:val="auto"/>
              </w:rPr>
            </w:pPr>
          </w:p>
        </w:tc>
      </w:tr>
      <w:tr>
        <w:trPr>
          <w:trHeight w:val="20"/>
        </w:trPr>
        <w:tc>
          <w:tcPr>
            <w:tcW w:w="4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64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114,831</w:t>
            </w:r>
          </w:p>
        </w:tc>
        <w:tc>
          <w:tcPr>
            <w:tcW w:w="24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81,070</w:t>
            </w:r>
          </w:p>
        </w:tc>
        <w:tc>
          <w:tcPr>
            <w:tcW w:w="24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33,761</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-350520</wp:posOffset>
            </wp:positionV>
            <wp:extent cx="603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-350520</wp:posOffset>
            </wp:positionV>
            <wp:extent cx="6032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-350520</wp:posOffset>
            </wp:positionV>
            <wp:extent cx="514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6032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-7620</wp:posOffset>
            </wp:positionV>
            <wp:extent cx="6032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032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032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cash provided by operating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increased $51.1 million due to:</w:t>
      </w:r>
    </w:p>
    <w:p>
      <w:pPr>
        <w:spacing w:after="0" w:line="63" w:lineRule="exact"/>
        <w:rPr>
          <w:sz w:val="20"/>
          <w:szCs w:val="20"/>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$49.6 million increase in cash from operations due to the acquisition of UBP, and timing of receipts and payments</w:t>
      </w:r>
    </w:p>
    <w:p>
      <w:pPr>
        <w:spacing w:after="0" w:line="6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increase in operating cash flow distributions from Investments in real estate partnerships.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cash used in investing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changed by $22.5 million as follows: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5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40" w:type="dxa"/>
            <w:vAlign w:val="bottom"/>
            <w:gridSpan w:val="4"/>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5"/>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9"/>
                <w:szCs w:val="19"/>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3"/>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0"/>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 of operating real estate</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(45,205 )</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(2,033 )</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(43,172 )</w:t>
            </w:r>
          </w:p>
        </w:tc>
      </w:tr>
      <w:tr>
        <w:trPr>
          <w:trHeight w:val="239"/>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Acquisition of UBP, net of cash acquired</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(80,488 )</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80,488</w:t>
            </w:r>
          </w:p>
        </w:tc>
        <w:tc>
          <w:tcPr>
            <w:tcW w:w="80" w:type="dxa"/>
            <w:vAlign w:val="bottom"/>
            <w:shd w:val="clear" w:color="auto" w:fill="CFF0FC"/>
          </w:tcPr>
          <w:p>
            <w:pPr>
              <w:spacing w:after="0"/>
              <w:rPr>
                <w:sz w:val="20"/>
                <w:szCs w:val="20"/>
                <w:color w:val="auto"/>
              </w:rPr>
            </w:pPr>
          </w:p>
        </w:tc>
      </w:tr>
      <w:tr>
        <w:trPr>
          <w:trHeight w:val="220"/>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Real estate development and capital improvements</w:t>
            </w: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(235,284 )</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(158,982 )</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(76,302 )</w:t>
            </w:r>
          </w:p>
        </w:tc>
      </w:tr>
      <w:tr>
        <w:trPr>
          <w:trHeight w:val="239"/>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sale of real estate</w:t>
            </w: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103,626</w:t>
            </w: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10,338</w:t>
            </w: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93,288</w:t>
            </w:r>
          </w:p>
        </w:tc>
        <w:tc>
          <w:tcPr>
            <w:tcW w:w="80" w:type="dxa"/>
            <w:vAlign w:val="bottom"/>
            <w:shd w:val="clear" w:color="auto" w:fill="CFF0FC"/>
          </w:tcPr>
          <w:p>
            <w:pPr>
              <w:spacing w:after="0"/>
              <w:rPr>
                <w:sz w:val="20"/>
                <w:szCs w:val="20"/>
                <w:color w:val="auto"/>
              </w:rPr>
            </w:pPr>
          </w:p>
        </w:tc>
      </w:tr>
      <w:tr>
        <w:trPr>
          <w:trHeight w:val="220"/>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property insurance casualty claims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w:t>
            </w:r>
          </w:p>
        </w:tc>
        <w:tc>
          <w:tcPr>
            <w:tcW w:w="80" w:type="dxa"/>
            <w:vAlign w:val="bottom"/>
          </w:tcPr>
          <w:p>
            <w:pPr>
              <w:spacing w:after="0"/>
              <w:rPr>
                <w:sz w:val="19"/>
                <w:szCs w:val="19"/>
                <w:color w:val="auto"/>
              </w:rPr>
            </w:pPr>
          </w:p>
        </w:tc>
      </w:tr>
      <w:tr>
        <w:trPr>
          <w:trHeight w:val="239"/>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Issuance of notes receivable</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(32,651 )</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(4,000 )</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(28,651 )</w:t>
            </w:r>
          </w:p>
        </w:tc>
      </w:tr>
      <w:tr>
        <w:trPr>
          <w:trHeight w:val="220"/>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Collection of notes receivable</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3,052</w:t>
            </w:r>
          </w:p>
        </w:tc>
        <w:tc>
          <w:tcPr>
            <w:tcW w:w="80" w:type="dxa"/>
            <w:vAlign w:val="bottom"/>
          </w:tcPr>
          <w:p>
            <w:pPr>
              <w:spacing w:after="0"/>
              <w:rPr>
                <w:sz w:val="19"/>
                <w:szCs w:val="19"/>
                <w:color w:val="auto"/>
              </w:rPr>
            </w:pPr>
          </w:p>
        </w:tc>
      </w:tr>
      <w:tr>
        <w:trPr>
          <w:trHeight w:val="239"/>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Investments in real estate partnerships</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(25,771 )</w:t>
            </w:r>
          </w:p>
        </w:tc>
        <w:tc>
          <w:tcPr>
            <w:tcW w:w="10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(9,118 )</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(16,653 )</w:t>
            </w:r>
          </w:p>
        </w:tc>
      </w:tr>
      <w:tr>
        <w:trPr>
          <w:trHeight w:val="220"/>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Return of capital from investments in real estate partnerships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12,859</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9,215</w:t>
            </w:r>
          </w:p>
        </w:tc>
        <w:tc>
          <w:tcPr>
            <w:tcW w:w="80" w:type="dxa"/>
            <w:vAlign w:val="bottom"/>
          </w:tcPr>
          <w:p>
            <w:pPr>
              <w:spacing w:after="0"/>
              <w:rPr>
                <w:sz w:val="19"/>
                <w:szCs w:val="19"/>
                <w:color w:val="auto"/>
              </w:rPr>
            </w:pPr>
          </w:p>
        </w:tc>
      </w:tr>
      <w:tr>
        <w:trPr>
          <w:trHeight w:val="239"/>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Dividends on investment securities</w:t>
            </w:r>
          </w:p>
        </w:tc>
        <w:tc>
          <w:tcPr>
            <w:tcW w:w="180" w:type="dxa"/>
            <w:vAlign w:val="bottom"/>
            <w:shd w:val="clear" w:color="auto" w:fill="CFF0FC"/>
          </w:tcPr>
          <w:p>
            <w:pPr>
              <w:spacing w:after="0"/>
              <w:rPr>
                <w:sz w:val="20"/>
                <w:szCs w:val="20"/>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(275 )</w:t>
            </w:r>
          </w:p>
        </w:tc>
      </w:tr>
      <w:tr>
        <w:trPr>
          <w:trHeight w:val="220"/>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Acquisition of investment securities</w:t>
            </w:r>
          </w:p>
        </w:tc>
        <w:tc>
          <w:tcPr>
            <w:tcW w:w="1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(99,035 )</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(5,206 )</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(93,829 )</w:t>
            </w:r>
          </w:p>
        </w:tc>
      </w:tr>
      <w:tr>
        <w:trPr>
          <w:trHeight w:val="233"/>
        </w:trPr>
        <w:tc>
          <w:tcPr>
            <w:tcW w:w="588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sale of investment securities</w:t>
            </w:r>
          </w:p>
        </w:tc>
        <w:tc>
          <w:tcPr>
            <w:tcW w:w="18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103,785</w:t>
            </w:r>
          </w:p>
        </w:tc>
        <w:tc>
          <w:tcPr>
            <w:tcW w:w="18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13,747</w:t>
            </w:r>
          </w:p>
        </w:tc>
        <w:tc>
          <w:tcPr>
            <w:tcW w:w="16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90,038</w:t>
            </w:r>
          </w:p>
        </w:tc>
        <w:tc>
          <w:tcPr>
            <w:tcW w:w="80" w:type="dxa"/>
            <w:vAlign w:val="bottom"/>
            <w:tcBorders>
              <w:bottom w:val="single" w:sz="8" w:color="CFF0FC"/>
            </w:tcBorders>
            <w:shd w:val="clear" w:color="auto" w:fill="CFF0FC"/>
          </w:tcPr>
          <w:p>
            <w:pPr>
              <w:spacing w:after="0"/>
              <w:rPr>
                <w:sz w:val="20"/>
                <w:szCs w:val="20"/>
                <w:color w:val="auto"/>
              </w:rPr>
            </w:pPr>
          </w:p>
        </w:tc>
      </w:tr>
      <w:tr>
        <w:trPr>
          <w:trHeight w:val="223"/>
        </w:trPr>
        <w:tc>
          <w:tcPr>
            <w:tcW w:w="58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(209,071 )</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(231,527 )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22,456</w:t>
            </w:r>
          </w:p>
        </w:tc>
        <w:tc>
          <w:tcPr>
            <w:tcW w:w="8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-179070</wp:posOffset>
            </wp:positionV>
            <wp:extent cx="6032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-179070</wp:posOffset>
            </wp:positionV>
            <wp:extent cx="5143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-179070</wp:posOffset>
            </wp:positionV>
            <wp:extent cx="514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changes in investing activities include:</w:t>
      </w:r>
    </w:p>
    <w:p>
      <w:pPr>
        <w:spacing w:after="0" w:line="63" w:lineRule="exact"/>
        <w:rPr>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$45.2 million in 2024 to purchase one operating property.</w:t>
      </w:r>
    </w:p>
    <w:p>
      <w:pPr>
        <w:spacing w:after="0" w:line="63" w:lineRule="exact"/>
        <w:rPr>
          <w:rFonts w:ascii="Times New Roman" w:cs="Times New Roman" w:eastAsia="Times New Roman" w:hAnsi="Times New Roman"/>
          <w:sz w:val="18"/>
          <w:szCs w:val="18"/>
          <w:color w:val="auto"/>
        </w:rPr>
      </w:pPr>
    </w:p>
    <w:p>
      <w:pPr>
        <w:ind w:left="760" w:right="100" w:hanging="378"/>
        <w:spacing w:after="0" w:line="281"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2023, we invested $80.5 million, net of $14.1 million in cash acquired, for the acquisition of UBP, including $39.3 million for UBP debt repaid at closing, and $55.3 million in direct transaction and other costs.</w:t>
      </w:r>
    </w:p>
    <w:p>
      <w:pPr>
        <w:spacing w:after="0" w:line="1"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we invested $76.3 million more on real estate development, redevelopment, and capital improvements, as further detailed in a table below.</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sold four operating properties in 2024 for proceeds of $103.6 million compared to three land parcels in 2023 for proceeds of $10.3 million.</w:t>
      </w:r>
    </w:p>
    <w:p>
      <w:pPr>
        <w:spacing w:after="0" w:line="63"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additional property insurance claim proceeds of $5.3 million in 2024 primarily attributable to a single property that was impacted by a weather event in 2019.</w:t>
      </w:r>
    </w:p>
    <w:p>
      <w:pPr>
        <w:spacing w:after="0" w:line="1" w:lineRule="exact"/>
        <w:rPr>
          <w:rFonts w:ascii="Times New Roman" w:cs="Times New Roman" w:eastAsia="Times New Roman" w:hAnsi="Times New Roman"/>
          <w:sz w:val="18"/>
          <w:szCs w:val="18"/>
          <w:color w:val="auto"/>
        </w:rPr>
      </w:pPr>
    </w:p>
    <w:p>
      <w:pPr>
        <w:ind w:left="760" w:right="40" w:hanging="378"/>
        <w:spacing w:after="0" w:line="266" w:lineRule="auto"/>
        <w:tabs>
          <w:tab w:leader="none" w:pos="7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in connection with a secured lending transaction entered into by the Company, we issued a note receivable in the amount of $29.8 million at an interest rate of 6.9% maturing in January 2027, secured by a grocery-anchored shopping center. In addition, we issued $2.9 million short-term notes receivable to real estate partners in 2024, as compared to the issuance of a $4.0 million in 2023.</w:t>
      </w:r>
    </w:p>
    <w:p>
      <w:pPr>
        <w:spacing w:after="0" w:line="13"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collected $3.0 million in short-term note receivables from real estate partners in 2024.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4" w:right="359" w:bottom="1440" w:gutter="0" w:footer="0" w:header="0"/>
        </w:sectPr>
      </w:pPr>
    </w:p>
    <w:bookmarkStart w:id="46" w:name="page47"/>
    <w:bookmarkEnd w:id="46"/>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real estate partnerships:</w:t>
      </w:r>
    </w:p>
    <w:p>
      <w:pPr>
        <w:spacing w:after="0" w:line="63" w:lineRule="exact"/>
        <w:rPr>
          <w:sz w:val="20"/>
          <w:szCs w:val="20"/>
          <w:color w:val="auto"/>
        </w:rPr>
      </w:pPr>
    </w:p>
    <w:p>
      <w:pPr>
        <w:ind w:left="1500" w:right="320" w:hanging="369"/>
        <w:spacing w:after="0" w:line="281" w:lineRule="auto"/>
        <w:tabs>
          <w:tab w:leader="none" w:pos="15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we invested $25.8 million to fund our share of development and redevelopment activities, including investing in two new ground up development projects.</w:t>
      </w:r>
    </w:p>
    <w:p>
      <w:pPr>
        <w:spacing w:after="0" w:line="1" w:lineRule="exact"/>
        <w:rPr>
          <w:rFonts w:ascii="Times New Roman" w:cs="Times New Roman" w:eastAsia="Times New Roman" w:hAnsi="Times New Roman"/>
          <w:sz w:val="18"/>
          <w:szCs w:val="18"/>
          <w:color w:val="auto"/>
        </w:rPr>
      </w:pPr>
    </w:p>
    <w:p>
      <w:pPr>
        <w:ind w:left="1500" w:right="60" w:hanging="369"/>
        <w:spacing w:after="0" w:line="281" w:lineRule="auto"/>
        <w:tabs>
          <w:tab w:leader="none" w:pos="15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we invested $9.1 million, including $2.8 million to fund our share of acquiring one operating property within an existing real estate partnership, and $6.3 million to fund our share of development and redevelopment activities.</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of capital from our unconsolidated investments in real estate partnerships includes sales or financing proceeds.</w:t>
      </w:r>
    </w:p>
    <w:p>
      <w:pPr>
        <w:spacing w:after="0" w:line="63" w:lineRule="exact"/>
        <w:rPr>
          <w:rFonts w:ascii="Times New Roman" w:cs="Times New Roman" w:eastAsia="Times New Roman" w:hAnsi="Times New Roman"/>
          <w:sz w:val="18"/>
          <w:szCs w:val="18"/>
          <w:color w:val="auto"/>
        </w:rPr>
      </w:pPr>
    </w:p>
    <w:p>
      <w:pPr>
        <w:ind w:left="1500" w:right="640" w:hanging="369"/>
        <w:spacing w:after="0" w:line="281" w:lineRule="auto"/>
        <w:tabs>
          <w:tab w:leader="none" w:pos="15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nine months ended September 30, 2024 we received $12.9 million from our share of proceeds from debt financing activities and for the partial sale of ownership interest in a real estate partnership.</w:t>
      </w:r>
    </w:p>
    <w:p>
      <w:pPr>
        <w:spacing w:after="0" w:line="1"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same period in 2023, we received $3.6 million from our share of proceeds from debt financing activities.</w:t>
      </w:r>
    </w:p>
    <w:p>
      <w:pPr>
        <w:spacing w:after="0" w:line="63" w:lineRule="exact"/>
        <w:rPr>
          <w:rFonts w:ascii="Times New Roman" w:cs="Times New Roman" w:eastAsia="Times New Roman" w:hAnsi="Times New Roman"/>
          <w:sz w:val="18"/>
          <w:szCs w:val="18"/>
          <w:color w:val="auto"/>
        </w:rPr>
      </w:pPr>
    </w:p>
    <w:p>
      <w:pPr>
        <w:ind w:left="760" w:right="140" w:hanging="378"/>
        <w:spacing w:after="0" w:line="261"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securities and proceeds from sale of securities pertain to investment activities held in our captive insurance company and our deferred compensation plan. Additionally, we invested approximately $90 million in commercial deposits from the proceeds received from the January 2024 public offering of senior unsecured notes. The commercial deposits were subsequently settled at maturity during the second quarter of 2024.</w:t>
      </w:r>
    </w:p>
    <w:p>
      <w:pPr>
        <w:spacing w:after="0" w:line="12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We plan to continue developing and redeveloping shopping centers for long-term investment. During the nine months ended September 30, 2024, we deployed capital of $235.3 million for the development, redevelopment, and improvement of our real estate properties, comprised of the following:</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225"/>
        </w:trPr>
        <w:tc>
          <w:tcPr>
            <w:tcW w:w="46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Pr>
          <w:p>
            <w:pPr>
              <w:spacing w:after="0"/>
              <w:rPr>
                <w:sz w:val="19"/>
                <w:szCs w:val="19"/>
                <w:color w:val="auto"/>
              </w:rPr>
            </w:pPr>
          </w:p>
        </w:tc>
        <w:tc>
          <w:tcPr>
            <w:tcW w:w="11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40" w:type="dxa"/>
            <w:vAlign w:val="bottom"/>
            <w:gridSpan w:val="2"/>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40" w:type="dxa"/>
            <w:vAlign w:val="bottom"/>
          </w:tcPr>
          <w:p>
            <w:pPr>
              <w:spacing w:after="0"/>
              <w:rPr>
                <w:sz w:val="19"/>
                <w:szCs w:val="19"/>
                <w:color w:val="auto"/>
              </w:rPr>
            </w:pPr>
          </w:p>
        </w:tc>
        <w:tc>
          <w:tcPr>
            <w:tcW w:w="13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3"/>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Capital expenditures:</w:t>
            </w:r>
          </w:p>
        </w:tc>
        <w:tc>
          <w:tcPr>
            <w:tcW w:w="1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r>
      <w:tr>
        <w:trPr>
          <w:trHeight w:val="220"/>
        </w:trPr>
        <w:tc>
          <w:tcPr>
            <w:tcW w:w="4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Land acquisitions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13,882</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2,580</w:t>
            </w:r>
          </w:p>
        </w:tc>
        <w:tc>
          <w:tcPr>
            <w:tcW w:w="14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11,302</w:t>
            </w:r>
          </w:p>
        </w:tc>
      </w:tr>
      <w:tr>
        <w:trPr>
          <w:trHeight w:val="239"/>
        </w:trPr>
        <w:tc>
          <w:tcPr>
            <w:tcW w:w="4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Building and tenant improvements</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76,002</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58,549</w:t>
            </w:r>
          </w:p>
        </w:tc>
        <w:tc>
          <w:tcPr>
            <w:tcW w:w="14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17,453</w:t>
            </w:r>
          </w:p>
        </w:tc>
      </w:tr>
      <w:tr>
        <w:trPr>
          <w:trHeight w:val="220"/>
        </w:trPr>
        <w:tc>
          <w:tcPr>
            <w:tcW w:w="4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Redevelopment costs</w:t>
            </w:r>
          </w:p>
        </w:tc>
        <w:tc>
          <w:tcPr>
            <w:tcW w:w="14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85,287</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57,384</w:t>
            </w:r>
          </w:p>
        </w:tc>
        <w:tc>
          <w:tcPr>
            <w:tcW w:w="14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27,903</w:t>
            </w:r>
          </w:p>
        </w:tc>
      </w:tr>
      <w:tr>
        <w:trPr>
          <w:trHeight w:val="239"/>
        </w:trPr>
        <w:tc>
          <w:tcPr>
            <w:tcW w:w="4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Development costs</w:t>
            </w: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45,370</w:t>
            </w:r>
          </w:p>
        </w:tc>
        <w:tc>
          <w:tcPr>
            <w:tcW w:w="15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30,613</w:t>
            </w:r>
          </w:p>
        </w:tc>
        <w:tc>
          <w:tcPr>
            <w:tcW w:w="14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14,757</w:t>
            </w:r>
          </w:p>
        </w:tc>
      </w:tr>
      <w:tr>
        <w:trPr>
          <w:trHeight w:val="220"/>
        </w:trPr>
        <w:tc>
          <w:tcPr>
            <w:tcW w:w="4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Capitalized interest</w:t>
            </w:r>
          </w:p>
        </w:tc>
        <w:tc>
          <w:tcPr>
            <w:tcW w:w="140" w:type="dxa"/>
            <w:vAlign w:val="bottom"/>
          </w:tcPr>
          <w:p>
            <w:pPr>
              <w:spacing w:after="0"/>
              <w:rPr>
                <w:sz w:val="19"/>
                <w:szCs w:val="19"/>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4,709</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3,931</w:t>
            </w:r>
          </w:p>
        </w:tc>
        <w:tc>
          <w:tcPr>
            <w:tcW w:w="14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778</w:t>
            </w:r>
          </w:p>
        </w:tc>
      </w:tr>
      <w:tr>
        <w:trPr>
          <w:trHeight w:val="233"/>
        </w:trPr>
        <w:tc>
          <w:tcPr>
            <w:tcW w:w="46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Capitalized direct compensation</w:t>
            </w:r>
          </w:p>
        </w:tc>
        <w:tc>
          <w:tcPr>
            <w:tcW w:w="14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10,034</w:t>
            </w:r>
          </w:p>
        </w:tc>
        <w:tc>
          <w:tcPr>
            <w:tcW w:w="16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5,925</w:t>
            </w:r>
          </w:p>
        </w:tc>
        <w:tc>
          <w:tcPr>
            <w:tcW w:w="140" w:type="dxa"/>
            <w:vAlign w:val="bottom"/>
            <w:tcBorders>
              <w:bottom w:val="single" w:sz="8" w:color="CFF0FC"/>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4,109</w:t>
            </w:r>
          </w:p>
        </w:tc>
      </w:tr>
      <w:tr>
        <w:trPr>
          <w:trHeight w:val="223"/>
        </w:trPr>
        <w:tc>
          <w:tcPr>
            <w:tcW w:w="46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Real estate development and capital improvements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235,284</w:t>
            </w:r>
          </w:p>
        </w:tc>
        <w:tc>
          <w:tcPr>
            <w:tcW w:w="15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158,982</w:t>
            </w:r>
          </w:p>
        </w:tc>
        <w:tc>
          <w:tcPr>
            <w:tcW w:w="14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76,302</w:t>
            </w:r>
          </w:p>
        </w:tc>
      </w:tr>
      <w:tr>
        <w:trPr>
          <w:trHeight w:val="20"/>
        </w:trPr>
        <w:tc>
          <w:tcPr>
            <w:tcW w:w="4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-179705</wp:posOffset>
            </wp:positionV>
            <wp:extent cx="9461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-179705</wp:posOffset>
            </wp:positionV>
            <wp:extent cx="9461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pacing w:after="0" w:line="16" w:lineRule="exact"/>
        <w:rPr>
          <w:sz w:val="20"/>
          <w:szCs w:val="20"/>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acquired three land parcels for development, and two outparcels in 2024, compared to one land parcel for development in 2023.</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and tenant improvements increased $17.5 million in 2024, primarily related to the timing and volume of capital projects.</w:t>
      </w:r>
    </w:p>
    <w:p>
      <w:pPr>
        <w:spacing w:after="0" w:line="63" w:lineRule="exact"/>
        <w:rPr>
          <w:rFonts w:ascii="Times New Roman" w:cs="Times New Roman" w:eastAsia="Times New Roman" w:hAnsi="Times New Roman"/>
          <w:sz w:val="18"/>
          <w:szCs w:val="18"/>
          <w:color w:val="auto"/>
        </w:rPr>
      </w:pPr>
    </w:p>
    <w:p>
      <w:pPr>
        <w:ind w:left="760" w:right="140" w:hanging="378"/>
        <w:spacing w:after="0" w:line="258"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Redevelopment costs are higher than prior year. We intend to continuously improve our portfolio of shopping centers through redevelopment which can include adjacent land acquisition, existing building expansion, facade renovation, new out-parcel building construction, and redevelopment related tenant improvement costs. The size and magnitude of each redevelopment project varies with each redevelopment plan. The timing and duration of these projects could also result in volatility in NOI. See the tables below for more details about our redevelopment projects.</w:t>
      </w:r>
    </w:p>
    <w:p>
      <w:pPr>
        <w:spacing w:after="0" w:line="21"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costs are higher in 2024 due to the progress towards completion of our development projects in process. See the tables below for more details about our development projects.</w:t>
      </w:r>
    </w:p>
    <w:p>
      <w:pPr>
        <w:spacing w:after="0" w:line="1" w:lineRule="exact"/>
        <w:rPr>
          <w:rFonts w:ascii="Times New Roman" w:cs="Times New Roman" w:eastAsia="Times New Roman" w:hAnsi="Times New Roman"/>
          <w:sz w:val="18"/>
          <w:szCs w:val="18"/>
          <w:color w:val="auto"/>
        </w:rPr>
      </w:pPr>
    </w:p>
    <w:p>
      <w:pPr>
        <w:ind w:left="760" w:hanging="378"/>
        <w:spacing w:after="0" w:line="261"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is capitalized on our development and redevelopment projects and is based on cumulative actual costs expended. We cease interest capitalization when the property is no longer being developed or is available for occupancy upon substantial completion of tenant improvements, but in no event would we capitalize interest on the project beyond 12 months after the anchor tenant opens for business. If we reduce our development and redevelopment activity, the amount of interest that we capitalize may be lower than historical averages.</w:t>
      </w:r>
    </w:p>
    <w:p>
      <w:pPr>
        <w:spacing w:after="0" w:line="17" w:lineRule="exact"/>
        <w:rPr>
          <w:rFonts w:ascii="Times New Roman" w:cs="Times New Roman" w:eastAsia="Times New Roman" w:hAnsi="Times New Roman"/>
          <w:sz w:val="18"/>
          <w:szCs w:val="18"/>
          <w:color w:val="auto"/>
        </w:rPr>
      </w:pPr>
    </w:p>
    <w:p>
      <w:pPr>
        <w:ind w:left="760" w:right="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staff of employees who directly support our development program, which includes redevelopment of our existing properties. Internal compensation costs directly attributable to these activities are capitalized as part of each project.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The following table summarizes our development projects in-process and completed: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thousands, except cost PSF)</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0" w:type="dxa"/>
            <w:vAlign w:val="bottom"/>
            <w:gridSpan w:val="2"/>
          </w:tcPr>
          <w:p>
            <w:pPr>
              <w:jc w:val="center"/>
              <w:ind w:right="71"/>
              <w:spacing w:after="0" w:line="131" w:lineRule="exact"/>
              <w:rPr>
                <w:sz w:val="20"/>
                <w:szCs w:val="20"/>
                <w:color w:val="auto"/>
              </w:rPr>
            </w:pPr>
            <w:r>
              <w:rPr>
                <w:rFonts w:ascii="Times New Roman" w:cs="Times New Roman" w:eastAsia="Times New Roman" w:hAnsi="Times New Roman"/>
                <w:sz w:val="14"/>
                <w:szCs w:val="14"/>
                <w:b w:val="1"/>
                <w:bCs w:val="1"/>
                <w:color w:val="auto"/>
              </w:rPr>
              <w:t>Estimated /</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Start</w:t>
            </w: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131"/>
              <w:spacing w:after="0" w:line="149" w:lineRule="exact"/>
              <w:rPr>
                <w:sz w:val="20"/>
                <w:szCs w:val="20"/>
                <w:color w:val="auto"/>
              </w:rPr>
            </w:pPr>
            <w:r>
              <w:rPr>
                <w:rFonts w:ascii="Times New Roman" w:cs="Times New Roman" w:eastAsia="Times New Roman" w:hAnsi="Times New Roman"/>
                <w:sz w:val="14"/>
                <w:szCs w:val="14"/>
                <w:b w:val="1"/>
                <w:bCs w:val="1"/>
                <w:color w:val="auto"/>
              </w:rPr>
              <w:t>Actual Net</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Cost PSF</w:t>
            </w:r>
          </w:p>
        </w:tc>
        <w:tc>
          <w:tcPr>
            <w:tcW w:w="120" w:type="dxa"/>
            <w:vAlign w:val="bottom"/>
          </w:tcPr>
          <w:p>
            <w:pPr>
              <w:spacing w:after="0"/>
              <w:rPr>
                <w:sz w:val="12"/>
                <w:szCs w:val="12"/>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of Costs</w:t>
            </w:r>
          </w:p>
        </w:tc>
        <w:tc>
          <w:tcPr>
            <w:tcW w:w="0" w:type="dxa"/>
            <w:vAlign w:val="bottom"/>
          </w:tcPr>
          <w:p>
            <w:pPr>
              <w:spacing w:after="0"/>
              <w:rPr>
                <w:sz w:val="1"/>
                <w:szCs w:val="1"/>
                <w:color w:val="auto"/>
              </w:rPr>
            </w:pPr>
          </w:p>
        </w:tc>
      </w:tr>
      <w:tr>
        <w:trPr>
          <w:trHeight w:val="146"/>
        </w:trPr>
        <w:tc>
          <w:tcPr>
            <w:tcW w:w="216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Property Name</w:t>
            </w:r>
          </w:p>
        </w:tc>
        <w:tc>
          <w:tcPr>
            <w:tcW w:w="120" w:type="dxa"/>
            <w:vAlign w:val="bottom"/>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20" w:type="dxa"/>
            <w:vAlign w:val="bottom"/>
          </w:tcPr>
          <w:p>
            <w:pPr>
              <w:spacing w:after="0"/>
              <w:rPr>
                <w:sz w:val="12"/>
                <w:szCs w:val="12"/>
                <w:color w:val="auto"/>
              </w:rPr>
            </w:pPr>
          </w:p>
        </w:tc>
        <w:tc>
          <w:tcPr>
            <w:tcW w:w="11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Ownership </w:t>
            </w:r>
            <w:r>
              <w:rPr>
                <w:rFonts w:ascii="Times New Roman" w:cs="Times New Roman" w:eastAsia="Times New Roman" w:hAnsi="Times New Roman"/>
                <w:sz w:val="19"/>
                <w:szCs w:val="19"/>
                <w:b w:val="1"/>
                <w:bCs w:val="1"/>
                <w:color w:val="auto"/>
                <w:vertAlign w:val="superscript"/>
              </w:rPr>
              <w:t>(3)</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Stabilization</w:t>
            </w:r>
          </w:p>
        </w:tc>
        <w:tc>
          <w:tcPr>
            <w:tcW w:w="1000" w:type="dxa"/>
            <w:vAlign w:val="bottom"/>
            <w:gridSpan w:val="2"/>
          </w:tcPr>
          <w:p>
            <w:pPr>
              <w:jc w:val="center"/>
              <w:ind w:right="31"/>
              <w:spacing w:after="0" w:line="146"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100" w:type="dxa"/>
            <w:vAlign w:val="bottom"/>
          </w:tcPr>
          <w:p>
            <w:pPr>
              <w:spacing w:after="0"/>
              <w:rPr>
                <w:sz w:val="12"/>
                <w:szCs w:val="12"/>
                <w:color w:val="auto"/>
              </w:rPr>
            </w:pPr>
          </w:p>
        </w:tc>
        <w:tc>
          <w:tcPr>
            <w:tcW w:w="7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 xml:space="preserve">GLA </w:t>
            </w:r>
            <w:r>
              <w:rPr>
                <w:rFonts w:ascii="Times New Roman" w:cs="Times New Roman" w:eastAsia="Times New Roman" w:hAnsi="Times New Roman"/>
                <w:sz w:val="19"/>
                <w:szCs w:val="19"/>
                <w:b w:val="1"/>
                <w:bCs w:val="1"/>
                <w:color w:val="auto"/>
                <w:vertAlign w:val="superscript"/>
              </w:rPr>
              <w:t>(3)</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80" w:type="dxa"/>
            <w:vAlign w:val="bottom"/>
          </w:tcPr>
          <w:p>
            <w:pPr>
              <w:spacing w:after="0"/>
              <w:rPr>
                <w:sz w:val="16"/>
                <w:szCs w:val="16"/>
                <w:color w:val="auto"/>
              </w:rPr>
            </w:pPr>
          </w:p>
        </w:tc>
        <w:tc>
          <w:tcPr>
            <w:tcW w:w="1080" w:type="dxa"/>
            <w:vAlign w:val="bottom"/>
            <w:gridSpan w:val="2"/>
          </w:tcPr>
          <w:p>
            <w:pPr>
              <w:jc w:val="center"/>
              <w:ind w:right="120"/>
              <w:spacing w:after="0" w:line="189" w:lineRule="exact"/>
              <w:rPr>
                <w:sz w:val="20"/>
                <w:szCs w:val="20"/>
                <w:color w:val="auto"/>
              </w:rPr>
            </w:pPr>
            <w:r>
              <w:rPr>
                <w:rFonts w:ascii="Times New Roman" w:cs="Times New Roman" w:eastAsia="Times New Roman" w:hAnsi="Times New Roman"/>
                <w:sz w:val="14"/>
                <w:szCs w:val="14"/>
                <w:b w:val="1"/>
                <w:bCs w:val="1"/>
                <w:color w:val="auto"/>
                <w:w w:val="91"/>
              </w:rPr>
              <w:t xml:space="preserve">Year </w:t>
            </w:r>
            <w:r>
              <w:rPr>
                <w:rFonts w:ascii="Times New Roman" w:cs="Times New Roman" w:eastAsia="Times New Roman" w:hAnsi="Times New Roman"/>
                <w:sz w:val="19"/>
                <w:szCs w:val="19"/>
                <w:b w:val="1"/>
                <w:bCs w:val="1"/>
                <w:color w:val="auto"/>
                <w:w w:val="91"/>
                <w:vertAlign w:val="superscript"/>
              </w:rPr>
              <w:t>(1)</w:t>
            </w:r>
          </w:p>
        </w:tc>
        <w:tc>
          <w:tcPr>
            <w:tcW w:w="100" w:type="dxa"/>
            <w:vAlign w:val="bottom"/>
          </w:tcPr>
          <w:p>
            <w:pPr>
              <w:spacing w:after="0"/>
              <w:rPr>
                <w:sz w:val="16"/>
                <w:szCs w:val="16"/>
                <w:color w:val="auto"/>
              </w:rPr>
            </w:pPr>
          </w:p>
        </w:tc>
        <w:tc>
          <w:tcPr>
            <w:tcW w:w="900" w:type="dxa"/>
            <w:vAlign w:val="bottom"/>
          </w:tcPr>
          <w:p>
            <w:pPr>
              <w:jc w:val="center"/>
              <w:ind w:right="131"/>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Costs</w:t>
            </w:r>
            <w:r>
              <w:rPr>
                <w:rFonts w:ascii="Times New Roman" w:cs="Times New Roman" w:eastAsia="Times New Roman" w:hAnsi="Times New Roman"/>
                <w:sz w:val="8"/>
                <w:szCs w:val="8"/>
                <w:b w:val="1"/>
                <w:bCs w:val="1"/>
                <w:color w:val="auto"/>
              </w:rPr>
              <w:t xml:space="preserve"> (2) (3)</w:t>
            </w: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76"/>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of GLA</w:t>
            </w:r>
            <w:r>
              <w:rPr>
                <w:rFonts w:ascii="Times New Roman" w:cs="Times New Roman" w:eastAsia="Times New Roman" w:hAnsi="Times New Roman"/>
                <w:sz w:val="8"/>
                <w:szCs w:val="8"/>
                <w:b w:val="1"/>
                <w:bCs w:val="1"/>
                <w:color w:val="auto"/>
              </w:rPr>
              <w:t xml:space="preserve"> (2) (3)</w:t>
            </w:r>
          </w:p>
        </w:tc>
        <w:tc>
          <w:tcPr>
            <w:tcW w:w="120" w:type="dxa"/>
            <w:vAlign w:val="bottom"/>
          </w:tcPr>
          <w:p>
            <w:pPr>
              <w:spacing w:after="0"/>
              <w:rPr>
                <w:sz w:val="16"/>
                <w:szCs w:val="16"/>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0" w:type="dxa"/>
            <w:vAlign w:val="bottom"/>
          </w:tcPr>
          <w:p>
            <w:pPr>
              <w:spacing w:after="0"/>
              <w:rPr>
                <w:sz w:val="1"/>
                <w:szCs w:val="1"/>
                <w:color w:val="auto"/>
              </w:rPr>
            </w:pPr>
          </w:p>
        </w:tc>
      </w:tr>
      <w:tr>
        <w:trPr>
          <w:trHeight w:val="344"/>
        </w:trPr>
        <w:tc>
          <w:tcPr>
            <w:tcW w:w="2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Developments In-Process</w:t>
            </w:r>
          </w:p>
        </w:tc>
        <w:tc>
          <w:tcPr>
            <w:tcW w:w="12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Baybrook East - Phase 1B</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Houston, TX</w:t>
            </w:r>
          </w:p>
        </w:tc>
        <w:tc>
          <w:tcPr>
            <w:tcW w:w="12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Q2-2022</w:t>
            </w:r>
          </w:p>
        </w:tc>
        <w:tc>
          <w:tcPr>
            <w:tcW w:w="1140" w:type="dxa"/>
            <w:vAlign w:val="bottom"/>
            <w:gridSpan w:val="2"/>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w w:val="99"/>
              </w:rPr>
              <w:t>2026</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9,792</w:t>
            </w:r>
          </w:p>
        </w:tc>
        <w:tc>
          <w:tcPr>
            <w:tcW w:w="8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77</w:t>
            </w:r>
          </w:p>
        </w:tc>
        <w:tc>
          <w:tcPr>
            <w:tcW w:w="10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4"/>
                <w:szCs w:val="14"/>
                <w:color w:val="auto"/>
              </w:rPr>
              <w:t>127</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Sienna Grande - Phase 1</w:t>
            </w:r>
          </w:p>
        </w:tc>
        <w:tc>
          <w:tcPr>
            <w:tcW w:w="1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Houston, TX</w:t>
            </w:r>
          </w:p>
        </w:tc>
        <w:tc>
          <w:tcPr>
            <w:tcW w:w="12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Q2-2023</w:t>
            </w:r>
          </w:p>
        </w:tc>
        <w:tc>
          <w:tcPr>
            <w:tcW w:w="11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2027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9,409</w:t>
            </w:r>
          </w:p>
        </w:tc>
        <w:tc>
          <w:tcPr>
            <w:tcW w:w="8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23</w:t>
            </w:r>
          </w:p>
        </w:tc>
        <w:tc>
          <w:tcPr>
            <w:tcW w:w="104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409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The Shops at SunVet</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Long Island, NY</w:t>
            </w:r>
          </w:p>
        </w:tc>
        <w:tc>
          <w:tcPr>
            <w:tcW w:w="12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Q2-2023</w:t>
            </w:r>
          </w:p>
        </w:tc>
        <w:tc>
          <w:tcPr>
            <w:tcW w:w="1140" w:type="dxa"/>
            <w:vAlign w:val="bottom"/>
            <w:gridSpan w:val="2"/>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w w:val="99"/>
              </w:rPr>
              <w:t>2027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91,159</w:t>
            </w:r>
          </w:p>
        </w:tc>
        <w:tc>
          <w:tcPr>
            <w:tcW w:w="8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170</w:t>
            </w:r>
          </w:p>
        </w:tc>
        <w:tc>
          <w:tcPr>
            <w:tcW w:w="10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4"/>
                <w:szCs w:val="14"/>
                <w:color w:val="auto"/>
              </w:rPr>
              <w:t>536</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Shops at Stone Bridge</w:t>
            </w:r>
          </w:p>
        </w:tc>
        <w:tc>
          <w:tcPr>
            <w:tcW w:w="1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Cheshire, CT</w:t>
            </w:r>
          </w:p>
        </w:tc>
        <w:tc>
          <w:tcPr>
            <w:tcW w:w="12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Q1-2024</w:t>
            </w:r>
          </w:p>
        </w:tc>
        <w:tc>
          <w:tcPr>
            <w:tcW w:w="11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2027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68,277</w:t>
            </w:r>
          </w:p>
        </w:tc>
        <w:tc>
          <w:tcPr>
            <w:tcW w:w="84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155</w:t>
            </w:r>
          </w:p>
        </w:tc>
        <w:tc>
          <w:tcPr>
            <w:tcW w:w="1040" w:type="dxa"/>
            <w:vAlign w:val="bottom"/>
            <w:gridSpan w:val="2"/>
          </w:tcPr>
          <w:p>
            <w:pPr>
              <w:jc w:val="right"/>
              <w:ind w:right="56"/>
              <w:spacing w:after="0"/>
              <w:rPr>
                <w:sz w:val="20"/>
                <w:szCs w:val="20"/>
                <w:color w:val="auto"/>
              </w:rPr>
            </w:pPr>
            <w:r>
              <w:rPr>
                <w:rFonts w:ascii="Times New Roman" w:cs="Times New Roman" w:eastAsia="Times New Roman" w:hAnsi="Times New Roman"/>
                <w:sz w:val="14"/>
                <w:szCs w:val="14"/>
                <w:color w:val="auto"/>
              </w:rPr>
              <w:t>440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Jordan Ranch Market</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Houston, TX</w:t>
            </w:r>
          </w:p>
        </w:tc>
        <w:tc>
          <w:tcPr>
            <w:tcW w:w="12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Q3-2024</w:t>
            </w:r>
          </w:p>
        </w:tc>
        <w:tc>
          <w:tcPr>
            <w:tcW w:w="1140" w:type="dxa"/>
            <w:vAlign w:val="bottom"/>
            <w:gridSpan w:val="2"/>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w w:val="99"/>
              </w:rPr>
              <w:t>2027</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23,006</w:t>
            </w:r>
          </w:p>
        </w:tc>
        <w:tc>
          <w:tcPr>
            <w:tcW w:w="8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w:t>
            </w:r>
          </w:p>
        </w:tc>
        <w:tc>
          <w:tcPr>
            <w:tcW w:w="10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4"/>
                <w:szCs w:val="14"/>
                <w:color w:val="auto"/>
              </w:rPr>
              <w:t>284</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Oakley Shops at Laurel Fields</w:t>
            </w:r>
          </w:p>
        </w:tc>
        <w:tc>
          <w:tcPr>
            <w:tcW w:w="12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Bay Area, CA</w:t>
            </w:r>
          </w:p>
        </w:tc>
        <w:tc>
          <w:tcPr>
            <w:tcW w:w="126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rPr>
              <w:t>100%</w:t>
            </w:r>
          </w:p>
        </w:tc>
        <w:tc>
          <w:tcPr>
            <w:tcW w:w="1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Q3-2024</w:t>
            </w:r>
          </w:p>
        </w:tc>
        <w:tc>
          <w:tcPr>
            <w:tcW w:w="1140" w:type="dxa"/>
            <w:vAlign w:val="bottom"/>
            <w:gridSpan w:val="2"/>
          </w:tcPr>
          <w:p>
            <w:pPr>
              <w:jc w:val="center"/>
              <w:ind w:left="108"/>
              <w:spacing w:after="0"/>
              <w:rPr>
                <w:sz w:val="20"/>
                <w:szCs w:val="20"/>
                <w:color w:val="auto"/>
              </w:rPr>
            </w:pPr>
            <w:r>
              <w:rPr>
                <w:rFonts w:ascii="Times New Roman" w:cs="Times New Roman" w:eastAsia="Times New Roman" w:hAnsi="Times New Roman"/>
                <w:sz w:val="14"/>
                <w:szCs w:val="14"/>
                <w:color w:val="auto"/>
                <w:w w:val="99"/>
              </w:rPr>
              <w:t>2027</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34,984</w:t>
            </w:r>
          </w:p>
        </w:tc>
        <w:tc>
          <w:tcPr>
            <w:tcW w:w="100" w:type="dxa"/>
            <w:vAlign w:val="bottom"/>
          </w:tcPr>
          <w:p>
            <w:pPr>
              <w:spacing w:after="0"/>
              <w:rPr>
                <w:sz w:val="15"/>
                <w:szCs w:val="15"/>
                <w:color w:val="auto"/>
              </w:rPr>
            </w:pPr>
          </w:p>
        </w:tc>
        <w:tc>
          <w:tcPr>
            <w:tcW w:w="7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78</w:t>
            </w:r>
          </w:p>
        </w:tc>
        <w:tc>
          <w:tcPr>
            <w:tcW w:w="120" w:type="dxa"/>
            <w:vAlign w:val="bottom"/>
          </w:tcPr>
          <w:p>
            <w:pPr>
              <w:spacing w:after="0"/>
              <w:rPr>
                <w:sz w:val="15"/>
                <w:szCs w:val="15"/>
                <w:color w:val="auto"/>
              </w:rPr>
            </w:pPr>
          </w:p>
        </w:tc>
        <w:tc>
          <w:tcPr>
            <w:tcW w:w="9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4"/>
                <w:szCs w:val="14"/>
                <w:color w:val="auto"/>
              </w:rPr>
              <w:t>449</w:t>
            </w:r>
          </w:p>
        </w:tc>
        <w:tc>
          <w:tcPr>
            <w:tcW w:w="12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160" w:type="dxa"/>
            <w:vAlign w:val="bottom"/>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Total Developments In-Process</w:t>
            </w:r>
          </w:p>
        </w:tc>
        <w:tc>
          <w:tcPr>
            <w:tcW w:w="1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ind w:right="51"/>
              <w:spacing w:after="0" w:line="155" w:lineRule="exact"/>
              <w:rPr>
                <w:sz w:val="20"/>
                <w:szCs w:val="20"/>
                <w:color w:val="auto"/>
              </w:rPr>
            </w:pPr>
            <w:r>
              <w:rPr>
                <w:rFonts w:ascii="Times New Roman" w:cs="Times New Roman" w:eastAsia="Times New Roman" w:hAnsi="Times New Roman"/>
                <w:sz w:val="14"/>
                <w:szCs w:val="14"/>
                <w:color w:val="auto"/>
              </w:rPr>
              <w:t>236,627</w:t>
            </w:r>
          </w:p>
        </w:tc>
        <w:tc>
          <w:tcPr>
            <w:tcW w:w="840" w:type="dxa"/>
            <w:vAlign w:val="bottom"/>
            <w:gridSpan w:val="2"/>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584</w:t>
            </w:r>
          </w:p>
        </w:tc>
        <w:tc>
          <w:tcPr>
            <w:tcW w:w="1040" w:type="dxa"/>
            <w:vAlign w:val="bottom"/>
            <w:gridSpan w:val="2"/>
            <w:shd w:val="clear" w:color="auto" w:fill="CFF0FC"/>
          </w:tcPr>
          <w:p>
            <w:pPr>
              <w:jc w:val="right"/>
              <w:ind w:right="56"/>
              <w:spacing w:after="0" w:line="155" w:lineRule="exact"/>
              <w:rPr>
                <w:sz w:val="20"/>
                <w:szCs w:val="20"/>
                <w:color w:val="auto"/>
              </w:rPr>
            </w:pPr>
            <w:r>
              <w:rPr>
                <w:rFonts w:ascii="Times New Roman" w:cs="Times New Roman" w:eastAsia="Times New Roman" w:hAnsi="Times New Roman"/>
                <w:sz w:val="14"/>
                <w:szCs w:val="14"/>
                <w:color w:val="auto"/>
              </w:rPr>
              <w:t>405</w:t>
            </w:r>
          </w:p>
        </w:tc>
        <w:tc>
          <w:tcPr>
            <w:tcW w:w="118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Developments Completed</w:t>
            </w:r>
          </w:p>
        </w:tc>
        <w:tc>
          <w:tcPr>
            <w:tcW w:w="120" w:type="dxa"/>
            <w:vAlign w:val="bottom"/>
            <w:tcBorders>
              <w:top w:val="single" w:sz="8" w:color="CFF0FC"/>
            </w:tcBorders>
          </w:tcPr>
          <w:p>
            <w:pPr>
              <w:spacing w:after="0"/>
              <w:rPr>
                <w:sz w:val="24"/>
                <w:szCs w:val="24"/>
                <w:color w:val="auto"/>
              </w:rPr>
            </w:pPr>
          </w:p>
        </w:tc>
        <w:tc>
          <w:tcPr>
            <w:tcW w:w="13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14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92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96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Glenwood Green</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Metro NYC</w:t>
            </w:r>
          </w:p>
        </w:tc>
        <w:tc>
          <w:tcPr>
            <w:tcW w:w="126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FF0FC"/>
          </w:tcPr>
          <w:p>
            <w:pPr>
              <w:spacing w:after="0"/>
              <w:rPr>
                <w:sz w:val="15"/>
                <w:szCs w:val="15"/>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Q1-2022</w:t>
            </w:r>
          </w:p>
        </w:tc>
        <w:tc>
          <w:tcPr>
            <w:tcW w:w="1140" w:type="dxa"/>
            <w:vAlign w:val="bottom"/>
            <w:gridSpan w:val="2"/>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w w:val="99"/>
              </w:rPr>
              <w:t>2025</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45,382</w:t>
            </w:r>
          </w:p>
        </w:tc>
        <w:tc>
          <w:tcPr>
            <w:tcW w:w="8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249</w:t>
            </w:r>
          </w:p>
        </w:tc>
        <w:tc>
          <w:tcPr>
            <w:tcW w:w="10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4"/>
                <w:szCs w:val="14"/>
                <w:color w:val="auto"/>
              </w:rPr>
              <w:t>182</w:t>
            </w: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16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Total Developments Completed</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ind w:right="51"/>
              <w:spacing w:after="0" w:line="155" w:lineRule="exact"/>
              <w:rPr>
                <w:sz w:val="20"/>
                <w:szCs w:val="20"/>
                <w:color w:val="auto"/>
              </w:rPr>
            </w:pPr>
            <w:r>
              <w:rPr>
                <w:rFonts w:ascii="Times New Roman" w:cs="Times New Roman" w:eastAsia="Times New Roman" w:hAnsi="Times New Roman"/>
                <w:sz w:val="14"/>
                <w:szCs w:val="14"/>
                <w:color w:val="auto"/>
              </w:rPr>
              <w:t>45,382</w:t>
            </w:r>
          </w:p>
        </w:tc>
        <w:tc>
          <w:tcPr>
            <w:tcW w:w="100" w:type="dxa"/>
            <w:vAlign w:val="bottom"/>
          </w:tcPr>
          <w:p>
            <w:pPr>
              <w:spacing w:after="0"/>
              <w:rPr>
                <w:sz w:val="14"/>
                <w:szCs w:val="14"/>
                <w:color w:val="auto"/>
              </w:rPr>
            </w:pPr>
          </w:p>
        </w:tc>
        <w:tc>
          <w:tcPr>
            <w:tcW w:w="74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rPr>
              <w:t>249</w:t>
            </w:r>
          </w:p>
        </w:tc>
        <w:tc>
          <w:tcPr>
            <w:tcW w:w="12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56"/>
              <w:spacing w:after="0" w:line="155" w:lineRule="exact"/>
              <w:rPr>
                <w:sz w:val="20"/>
                <w:szCs w:val="20"/>
                <w:color w:val="auto"/>
              </w:rPr>
            </w:pPr>
            <w:r>
              <w:rPr>
                <w:rFonts w:ascii="Times New Roman" w:cs="Times New Roman" w:eastAsia="Times New Roman" w:hAnsi="Times New Roman"/>
                <w:sz w:val="14"/>
                <w:szCs w:val="14"/>
                <w:color w:val="auto"/>
              </w:rPr>
              <w:t>182</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-504825</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-487680</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-504825</wp:posOffset>
            </wp:positionV>
            <wp:extent cx="6858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-487680</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-504825</wp:posOffset>
            </wp:positionV>
            <wp:extent cx="6858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-487680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 w:lineRule="exact"/>
        <w:rPr>
          <w:sz w:val="20"/>
          <w:szCs w:val="20"/>
          <w:color w:val="auto"/>
        </w:rPr>
      </w:pPr>
    </w:p>
    <w:p>
      <w:pPr>
        <w:ind w:left="260" w:hanging="252"/>
        <w:spacing w:after="0"/>
        <w:tabs>
          <w:tab w:leader="none" w:pos="26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Estimated Stabilization Year represents the estimated first full calendar year that the project will reach our expected stabilized yield.</w:t>
      </w:r>
    </w:p>
    <w:p>
      <w:pPr>
        <w:spacing w:after="0" w:line="64" w:lineRule="exact"/>
        <w:rPr>
          <w:rFonts w:ascii="Times New Roman" w:cs="Times New Roman" w:eastAsia="Times New Roman" w:hAnsi="Times New Roman"/>
          <w:sz w:val="22"/>
          <w:szCs w:val="22"/>
          <w:color w:val="auto"/>
          <w:vertAlign w:val="superscript"/>
        </w:rPr>
      </w:pPr>
    </w:p>
    <w:p>
      <w:pPr>
        <w:ind w:left="260" w:hanging="252"/>
        <w:spacing w:after="0" w:line="182" w:lineRule="auto"/>
        <w:tabs>
          <w:tab w:leader="none" w:pos="26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leasing costs and is net of tenant reimbursements.</w:t>
      </w:r>
    </w:p>
    <w:p>
      <w:pPr>
        <w:spacing w:after="0" w:line="64" w:lineRule="exact"/>
        <w:rPr>
          <w:rFonts w:ascii="Times New Roman" w:cs="Times New Roman" w:eastAsia="Times New Roman" w:hAnsi="Times New Roman"/>
          <w:sz w:val="22"/>
          <w:szCs w:val="22"/>
          <w:color w:val="auto"/>
          <w:vertAlign w:val="superscript"/>
        </w:rPr>
      </w:pPr>
    </w:p>
    <w:p>
      <w:pPr>
        <w:ind w:left="260" w:hanging="252"/>
        <w:spacing w:after="0" w:line="182" w:lineRule="auto"/>
        <w:tabs>
          <w:tab w:leader="none" w:pos="26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Estimated Net Development Costs and GLA are reported based on Regency’s ownership interest in the real estate partnership at completion.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redevelopment projects in process and completed: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 thousands, except cost PSF)</w:t>
            </w: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3"/>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Estimated Net</w:t>
            </w:r>
          </w:p>
        </w:tc>
        <w:tc>
          <w:tcPr>
            <w:tcW w:w="100" w:type="dxa"/>
            <w:vAlign w:val="bottom"/>
          </w:tcPr>
          <w:p>
            <w:pPr>
              <w:spacing w:after="0"/>
              <w:rPr>
                <w:sz w:val="11"/>
                <w:szCs w:val="11"/>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of Costs</w:t>
            </w:r>
          </w:p>
        </w:tc>
        <w:tc>
          <w:tcPr>
            <w:tcW w:w="0" w:type="dxa"/>
            <w:vAlign w:val="bottom"/>
          </w:tcPr>
          <w:p>
            <w:pPr>
              <w:spacing w:after="0"/>
              <w:rPr>
                <w:sz w:val="1"/>
                <w:szCs w:val="1"/>
                <w:color w:val="auto"/>
              </w:rPr>
            </w:pPr>
          </w:p>
        </w:tc>
      </w:tr>
      <w:tr>
        <w:trPr>
          <w:trHeight w:val="146"/>
        </w:trPr>
        <w:tc>
          <w:tcPr>
            <w:tcW w:w="326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Property Name</w:t>
            </w:r>
          </w:p>
        </w:tc>
        <w:tc>
          <w:tcPr>
            <w:tcW w:w="16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160" w:type="dxa"/>
            <w:vAlign w:val="bottom"/>
          </w:tcPr>
          <w:p>
            <w:pPr>
              <w:spacing w:after="0"/>
              <w:rPr>
                <w:sz w:val="12"/>
                <w:szCs w:val="12"/>
                <w:color w:val="auto"/>
              </w:rPr>
            </w:pPr>
          </w:p>
        </w:tc>
        <w:tc>
          <w:tcPr>
            <w:tcW w:w="10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Ownership </w:t>
            </w:r>
            <w:r>
              <w:rPr>
                <w:rFonts w:ascii="Times New Roman" w:cs="Times New Roman" w:eastAsia="Times New Roman" w:hAnsi="Times New Roman"/>
                <w:sz w:val="19"/>
                <w:szCs w:val="19"/>
                <w:b w:val="1"/>
                <w:bCs w:val="1"/>
                <w:color w:val="auto"/>
                <w:vertAlign w:val="superscript"/>
              </w:rPr>
              <w:t>(3)</w:t>
            </w:r>
          </w:p>
        </w:tc>
        <w:tc>
          <w:tcPr>
            <w:tcW w:w="1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Start Date</w:t>
            </w:r>
          </w:p>
        </w:tc>
        <w:tc>
          <w:tcPr>
            <w:tcW w:w="160" w:type="dxa"/>
            <w:vAlign w:val="bottom"/>
          </w:tcPr>
          <w:p>
            <w:pPr>
              <w:spacing w:after="0"/>
              <w:rPr>
                <w:sz w:val="12"/>
                <w:szCs w:val="12"/>
                <w:color w:val="auto"/>
              </w:rPr>
            </w:pPr>
          </w:p>
        </w:tc>
        <w:tc>
          <w:tcPr>
            <w:tcW w:w="126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Stabilization</w:t>
            </w: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140"/>
              <w:spacing w:after="0" w:line="189" w:lineRule="exact"/>
              <w:rPr>
                <w:sz w:val="20"/>
                <w:szCs w:val="20"/>
                <w:color w:val="auto"/>
              </w:rPr>
            </w:pPr>
            <w:r>
              <w:rPr>
                <w:rFonts w:ascii="Times New Roman" w:cs="Times New Roman" w:eastAsia="Times New Roman" w:hAnsi="Times New Roman"/>
                <w:sz w:val="14"/>
                <w:szCs w:val="14"/>
                <w:b w:val="1"/>
                <w:bCs w:val="1"/>
                <w:color w:val="auto"/>
                <w:w w:val="91"/>
              </w:rPr>
              <w:t xml:space="preserve">Year </w:t>
            </w:r>
            <w:r>
              <w:rPr>
                <w:rFonts w:ascii="Times New Roman" w:cs="Times New Roman" w:eastAsia="Times New Roman" w:hAnsi="Times New Roman"/>
                <w:sz w:val="19"/>
                <w:szCs w:val="19"/>
                <w:b w:val="1"/>
                <w:bCs w:val="1"/>
                <w:color w:val="auto"/>
                <w:w w:val="91"/>
                <w:vertAlign w:val="superscript"/>
              </w:rPr>
              <w:t>(1)</w:t>
            </w:r>
          </w:p>
        </w:tc>
        <w:tc>
          <w:tcPr>
            <w:tcW w:w="1360" w:type="dxa"/>
            <w:vAlign w:val="bottom"/>
            <w:gridSpan w:val="2"/>
          </w:tcPr>
          <w:p>
            <w:pPr>
              <w:jc w:val="right"/>
              <w:ind w:right="108"/>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Project Costs </w:t>
            </w:r>
            <w:r>
              <w:rPr>
                <w:rFonts w:ascii="Times New Roman" w:cs="Times New Roman" w:eastAsia="Times New Roman" w:hAnsi="Times New Roman"/>
                <w:sz w:val="19"/>
                <w:szCs w:val="19"/>
                <w:b w:val="1"/>
                <w:bCs w:val="1"/>
                <w:color w:val="auto"/>
                <w:vertAlign w:val="superscript"/>
              </w:rPr>
              <w:t>(2) (3)</w:t>
            </w:r>
          </w:p>
        </w:tc>
        <w:tc>
          <w:tcPr>
            <w:tcW w:w="10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Incurred</w:t>
            </w:r>
          </w:p>
        </w:tc>
        <w:tc>
          <w:tcPr>
            <w:tcW w:w="0" w:type="dxa"/>
            <w:vAlign w:val="bottom"/>
          </w:tcPr>
          <w:p>
            <w:pPr>
              <w:spacing w:after="0"/>
              <w:rPr>
                <w:sz w:val="1"/>
                <w:szCs w:val="1"/>
                <w:color w:val="auto"/>
              </w:rPr>
            </w:pPr>
          </w:p>
        </w:tc>
      </w:tr>
      <w:tr>
        <w:trPr>
          <w:trHeight w:val="345"/>
        </w:trPr>
        <w:tc>
          <w:tcPr>
            <w:tcW w:w="3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Redevelopments In-Process</w:t>
            </w:r>
          </w:p>
        </w:tc>
        <w:tc>
          <w:tcPr>
            <w:tcW w:w="160" w:type="dxa"/>
            <w:vAlign w:val="bottom"/>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The Abbot</w:t>
            </w: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Boston, MA</w:t>
            </w:r>
          </w:p>
        </w:tc>
        <w:tc>
          <w:tcPr>
            <w:tcW w:w="116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Q2-2019</w:t>
            </w:r>
          </w:p>
        </w:tc>
        <w:tc>
          <w:tcPr>
            <w:tcW w:w="128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w w:val="99"/>
              </w:rPr>
              <w:t>2026</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59,854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Westbard Square Phase I</w:t>
            </w: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Bethesda, MD</w:t>
            </w:r>
          </w:p>
        </w:tc>
        <w:tc>
          <w:tcPr>
            <w:tcW w:w="11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Q2-2021</w:t>
            </w:r>
          </w:p>
        </w:tc>
        <w:tc>
          <w:tcPr>
            <w:tcW w:w="12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2025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39,500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Buckhead Landing</w:t>
            </w: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Atlanta, GA</w:t>
            </w:r>
          </w:p>
        </w:tc>
        <w:tc>
          <w:tcPr>
            <w:tcW w:w="116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Q2-2022</w:t>
            </w:r>
          </w:p>
        </w:tc>
        <w:tc>
          <w:tcPr>
            <w:tcW w:w="128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w w:val="99"/>
              </w:rPr>
              <w:t>2025</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30,859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Bloom on Third</w:t>
            </w: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Los Angeles, CA</w:t>
            </w:r>
          </w:p>
        </w:tc>
        <w:tc>
          <w:tcPr>
            <w:tcW w:w="11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35%</w:t>
            </w: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Q4-2022</w:t>
            </w:r>
          </w:p>
        </w:tc>
        <w:tc>
          <w:tcPr>
            <w:tcW w:w="12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2027</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24,525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Mandarin Landing</w:t>
            </w: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Jacksonville, FL</w:t>
            </w:r>
          </w:p>
        </w:tc>
        <w:tc>
          <w:tcPr>
            <w:tcW w:w="116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Q2-2023</w:t>
            </w:r>
          </w:p>
        </w:tc>
        <w:tc>
          <w:tcPr>
            <w:tcW w:w="128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w w:val="99"/>
              </w:rPr>
              <w:t>2025</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16,422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Serramonte Center - Phase 3</w:t>
            </w: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San Francisco, CA</w:t>
            </w:r>
          </w:p>
        </w:tc>
        <w:tc>
          <w:tcPr>
            <w:tcW w:w="11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Q2-2023</w:t>
            </w:r>
          </w:p>
        </w:tc>
        <w:tc>
          <w:tcPr>
            <w:tcW w:w="12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2025</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36,989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Circle Marina Center</w:t>
            </w: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Los Angeles, CA</w:t>
            </w:r>
          </w:p>
        </w:tc>
        <w:tc>
          <w:tcPr>
            <w:tcW w:w="116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Q3-2023</w:t>
            </w:r>
          </w:p>
        </w:tc>
        <w:tc>
          <w:tcPr>
            <w:tcW w:w="128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w w:val="99"/>
              </w:rPr>
              <w:t>2025</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14,986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Avenida Biscayne</w:t>
            </w: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Miami, FL</w:t>
            </w:r>
          </w:p>
        </w:tc>
        <w:tc>
          <w:tcPr>
            <w:tcW w:w="11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Q4-2023</w:t>
            </w:r>
          </w:p>
        </w:tc>
        <w:tc>
          <w:tcPr>
            <w:tcW w:w="12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2026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22,743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Cambridge Square</w:t>
            </w: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Atlanta, GA</w:t>
            </w:r>
          </w:p>
        </w:tc>
        <w:tc>
          <w:tcPr>
            <w:tcW w:w="116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Q4-2023</w:t>
            </w:r>
          </w:p>
        </w:tc>
        <w:tc>
          <w:tcPr>
            <w:tcW w:w="128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w w:val="99"/>
              </w:rPr>
              <w:t>2026</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15,002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Anastasia Plaza</w:t>
            </w: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 Augustine, FL</w:t>
            </w:r>
          </w:p>
        </w:tc>
        <w:tc>
          <w:tcPr>
            <w:tcW w:w="11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Q3-2024</w:t>
            </w:r>
          </w:p>
        </w:tc>
        <w:tc>
          <w:tcPr>
            <w:tcW w:w="128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w w:val="99"/>
              </w:rPr>
              <w:t>2026</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15,607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East Meadow Plaza - Phase 1</w:t>
            </w: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Long Island, NY</w:t>
            </w:r>
          </w:p>
        </w:tc>
        <w:tc>
          <w:tcPr>
            <w:tcW w:w="116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Q3-2024</w:t>
            </w:r>
          </w:p>
        </w:tc>
        <w:tc>
          <w:tcPr>
            <w:tcW w:w="1280" w:type="dxa"/>
            <w:vAlign w:val="bottom"/>
            <w:gridSpan w:val="2"/>
            <w:shd w:val="clear" w:color="auto" w:fill="CFF0FC"/>
          </w:tcPr>
          <w:p>
            <w:pPr>
              <w:jc w:val="center"/>
              <w:ind w:left="88"/>
              <w:spacing w:after="0"/>
              <w:rPr>
                <w:sz w:val="20"/>
                <w:szCs w:val="20"/>
                <w:color w:val="auto"/>
              </w:rPr>
            </w:pPr>
            <w:r>
              <w:rPr>
                <w:rFonts w:ascii="Times New Roman" w:cs="Times New Roman" w:eastAsia="Times New Roman" w:hAnsi="Times New Roman"/>
                <w:sz w:val="14"/>
                <w:szCs w:val="14"/>
                <w:color w:val="auto"/>
                <w:w w:val="99"/>
              </w:rPr>
              <w:t>2026</w:t>
            </w: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11,736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Various Redevelopments</w:t>
            </w: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1160" w:type="dxa"/>
            <w:vAlign w:val="bottom"/>
            <w:gridSpan w:val="2"/>
          </w:tcPr>
          <w:p>
            <w:pPr>
              <w:jc w:val="center"/>
              <w:ind w:left="88"/>
              <w:spacing w:after="0"/>
              <w:rPr>
                <w:sz w:val="20"/>
                <w:szCs w:val="20"/>
                <w:color w:val="auto"/>
              </w:rPr>
            </w:pPr>
            <w:r>
              <w:rPr>
                <w:rFonts w:ascii="Times New Roman" w:cs="Times New Roman" w:eastAsia="Times New Roman" w:hAnsi="Times New Roman"/>
                <w:sz w:val="14"/>
                <w:szCs w:val="14"/>
                <w:color w:val="auto"/>
              </w:rPr>
              <w:t>83% - 100%</w:t>
            </w:r>
          </w:p>
        </w:tc>
        <w:tc>
          <w:tcPr>
            <w:tcW w:w="16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160" w:type="dxa"/>
            <w:vAlign w:val="bottom"/>
          </w:tcPr>
          <w:p>
            <w:pPr>
              <w:spacing w:after="0"/>
              <w:rPr>
                <w:sz w:val="15"/>
                <w:szCs w:val="15"/>
                <w:color w:val="auto"/>
              </w:rPr>
            </w:pP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Various</w:t>
            </w:r>
          </w:p>
        </w:tc>
        <w:tc>
          <w:tcPr>
            <w:tcW w:w="14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93,487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26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 Redevelopments In-Process</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56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00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1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381,710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Redevelopments Completed</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Various Properties</w:t>
            </w:r>
          </w:p>
        </w:tc>
        <w:tc>
          <w:tcPr>
            <w:tcW w:w="160" w:type="dxa"/>
            <w:vAlign w:val="bottom"/>
            <w:shd w:val="clear" w:color="auto" w:fill="CFF0FC"/>
          </w:tcPr>
          <w:p>
            <w:pPr>
              <w:spacing w:after="0"/>
              <w:rPr>
                <w:sz w:val="15"/>
                <w:szCs w:val="15"/>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116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100%</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Various</w:t>
            </w:r>
          </w:p>
        </w:tc>
        <w:tc>
          <w:tcPr>
            <w:tcW w:w="1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center"/>
              <w:ind w:right="140"/>
              <w:spacing w:after="0"/>
              <w:rPr>
                <w:sz w:val="20"/>
                <w:szCs w:val="20"/>
                <w:color w:val="auto"/>
              </w:rPr>
            </w:pPr>
            <w:r>
              <w:rPr>
                <w:rFonts w:ascii="Times New Roman" w:cs="Times New Roman" w:eastAsia="Times New Roman" w:hAnsi="Times New Roman"/>
                <w:sz w:val="14"/>
                <w:szCs w:val="14"/>
                <w:color w:val="auto"/>
                <w:w w:val="99"/>
              </w:rPr>
              <w:t>Various</w:t>
            </w: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31,261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Total Redevelopments Completed</w:t>
            </w: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31,261</w:t>
            </w:r>
          </w:p>
        </w:tc>
        <w:tc>
          <w:tcPr>
            <w:tcW w:w="10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6400165</wp:posOffset>
            </wp:positionH>
            <wp:positionV relativeFrom="paragraph">
              <wp:posOffset>-505460</wp:posOffset>
            </wp:positionV>
            <wp:extent cx="6858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-488315</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-624840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 w:lineRule="exact"/>
        <w:rPr>
          <w:sz w:val="20"/>
          <w:szCs w:val="20"/>
          <w:color w:val="auto"/>
        </w:rPr>
      </w:pPr>
    </w:p>
    <w:p>
      <w:pPr>
        <w:ind w:left="260" w:hanging="252"/>
        <w:spacing w:after="0"/>
        <w:tabs>
          <w:tab w:leader="none" w:pos="260" w:val="left"/>
        </w:tabs>
        <w:numPr>
          <w:ilvl w:val="0"/>
          <w:numId w:val="5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Estimated Stabilization Year represents the estimated first full calendar year that the project will reach our expected stabilized yield.</w:t>
      </w:r>
    </w:p>
    <w:p>
      <w:pPr>
        <w:spacing w:after="0" w:line="64" w:lineRule="exact"/>
        <w:rPr>
          <w:rFonts w:ascii="Times New Roman" w:cs="Times New Roman" w:eastAsia="Times New Roman" w:hAnsi="Times New Roman"/>
          <w:sz w:val="22"/>
          <w:szCs w:val="22"/>
          <w:color w:val="auto"/>
          <w:vertAlign w:val="superscript"/>
        </w:rPr>
      </w:pPr>
    </w:p>
    <w:p>
      <w:pPr>
        <w:ind w:left="260" w:hanging="252"/>
        <w:spacing w:after="0" w:line="182" w:lineRule="auto"/>
        <w:tabs>
          <w:tab w:leader="none" w:pos="260" w:val="left"/>
        </w:tabs>
        <w:numPr>
          <w:ilvl w:val="0"/>
          <w:numId w:val="5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leasing costs and is net of tenant reimbursements.</w:t>
      </w:r>
    </w:p>
    <w:p>
      <w:pPr>
        <w:spacing w:after="0" w:line="64" w:lineRule="exact"/>
        <w:rPr>
          <w:rFonts w:ascii="Times New Roman" w:cs="Times New Roman" w:eastAsia="Times New Roman" w:hAnsi="Times New Roman"/>
          <w:sz w:val="22"/>
          <w:szCs w:val="22"/>
          <w:color w:val="auto"/>
          <w:vertAlign w:val="superscript"/>
        </w:rPr>
      </w:pPr>
    </w:p>
    <w:p>
      <w:pPr>
        <w:ind w:left="26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Estimated Net Development Costs and GLA are reported based on Regency’s ownership interest in the real estate partnership at completion.</w:t>
      </w:r>
    </w:p>
    <w:p>
      <w:pPr>
        <w:spacing w:after="0" w:line="2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8"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cash used in financing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financing activities changed by $62.4 million during 2024, as follows:</w:t>
      </w:r>
    </w:p>
    <w:p>
      <w:pPr>
        <w:spacing w:after="0" w:line="228"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5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5"/>
        </w:trPr>
        <w:tc>
          <w:tcPr>
            <w:tcW w:w="5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80" w:type="dxa"/>
            <w:vAlign w:val="bottom"/>
          </w:tcPr>
          <w:p>
            <w:pPr>
              <w:spacing w:after="0"/>
              <w:rPr>
                <w:sz w:val="19"/>
                <w:szCs w:val="19"/>
                <w:color w:val="auto"/>
              </w:rPr>
            </w:pPr>
          </w:p>
        </w:tc>
        <w:tc>
          <w:tcPr>
            <w:tcW w:w="78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80" w:type="dxa"/>
            <w:vAlign w:val="bottom"/>
            <w:gridSpan w:val="2"/>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9"/>
                <w:szCs w:val="19"/>
                <w:color w:val="auto"/>
              </w:rPr>
            </w:pP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23"/>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r>
      <w:tr>
        <w:trPr>
          <w:trHeight w:val="220"/>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proceeds from common stock issuances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39"/>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Repurchase of common shares in conjunction with equity award plans</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(8,776 )</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(7,653 )</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(1,123 )</w:t>
            </w:r>
          </w:p>
        </w:tc>
      </w:tr>
      <w:tr>
        <w:trPr>
          <w:trHeight w:val="220"/>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shares repurchased through share repurchase program</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(200,066 )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(20,006 )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(180,060 )</w:t>
            </w:r>
          </w:p>
        </w:tc>
      </w:tr>
      <w:tr>
        <w:trPr>
          <w:trHeight w:val="239"/>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6,533</w:t>
            </w:r>
          </w:p>
        </w:tc>
        <w:tc>
          <w:tcPr>
            <w:tcW w:w="10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3,167</w:t>
            </w:r>
          </w:p>
        </w:tc>
        <w:tc>
          <w:tcPr>
            <w:tcW w:w="10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3,366</w:t>
            </w:r>
          </w:p>
        </w:tc>
      </w:tr>
      <w:tr>
        <w:trPr>
          <w:trHeight w:val="220"/>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to and redemptions of non-controlling interests</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(9,435 )</w:t>
            </w:r>
          </w:p>
        </w:tc>
        <w:tc>
          <w:tcPr>
            <w:tcW w:w="10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(9,435 )</w:t>
            </w:r>
          </w:p>
        </w:tc>
      </w:tr>
      <w:tr>
        <w:trPr>
          <w:trHeight w:val="239"/>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Dividend payments and operating partnership distributions</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(381,453 )</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(334,293 )</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(47,160 )</w:t>
            </w:r>
          </w:p>
        </w:tc>
      </w:tr>
      <w:tr>
        <w:trPr>
          <w:trHeight w:val="220"/>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Proceeds from unsecured credit facilities, net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(122,000 )</w:t>
            </w:r>
          </w:p>
        </w:tc>
        <w:tc>
          <w:tcPr>
            <w:tcW w:w="10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77,000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(199,000 )</w:t>
            </w:r>
          </w:p>
        </w:tc>
      </w:tr>
      <w:tr>
        <w:trPr>
          <w:trHeight w:val="239"/>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Proceeds from issuance of fixed rate unsecured notes, net of debt discount</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734,860</w:t>
            </w:r>
          </w:p>
        </w:tc>
        <w:tc>
          <w:tcPr>
            <w:tcW w:w="108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46,500</w:t>
            </w:r>
          </w:p>
        </w:tc>
        <w:tc>
          <w:tcPr>
            <w:tcW w:w="10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688,360</w:t>
            </w:r>
          </w:p>
        </w:tc>
      </w:tr>
      <w:tr>
        <w:trPr>
          <w:trHeight w:val="220"/>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Debt repayment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(369,578 )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(68,234 )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(301,344 )</w:t>
            </w:r>
          </w:p>
        </w:tc>
      </w:tr>
      <w:tr>
        <w:trPr>
          <w:trHeight w:val="239"/>
        </w:trPr>
        <w:tc>
          <w:tcPr>
            <w:tcW w:w="58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Payment of loan costs</w:t>
            </w:r>
          </w:p>
        </w:tc>
        <w:tc>
          <w:tcPr>
            <w:tcW w:w="18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(16,560 )</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(411 )</w:t>
            </w: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(16,149 )</w:t>
            </w:r>
          </w:p>
        </w:tc>
      </w:tr>
      <w:tr>
        <w:trPr>
          <w:trHeight w:val="223"/>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treasury stock</w:t>
            </w: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148</w:t>
            </w:r>
          </w:p>
        </w:tc>
      </w:tr>
      <w:tr>
        <w:trPr>
          <w:trHeight w:val="263"/>
        </w:trPr>
        <w:tc>
          <w:tcPr>
            <w:tcW w:w="588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(366,265 )</w:t>
            </w:r>
          </w:p>
        </w:tc>
        <w:tc>
          <w:tcPr>
            <w:tcW w:w="10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(303,864 )</w:t>
            </w:r>
          </w:p>
        </w:tc>
        <w:tc>
          <w:tcPr>
            <w:tcW w:w="8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(62,401 )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6032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6032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-25400</wp:posOffset>
            </wp:positionV>
            <wp:extent cx="5143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5143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financing activities during the nine months ended September 30, 2024 and 2023, include the following:</w:t>
      </w:r>
    </w:p>
    <w:p>
      <w:pPr>
        <w:spacing w:after="0" w:line="63" w:lineRule="exact"/>
        <w:rPr>
          <w:sz w:val="20"/>
          <w:szCs w:val="20"/>
          <w:color w:val="auto"/>
        </w:rPr>
      </w:pPr>
    </w:p>
    <w:p>
      <w:pPr>
        <w:ind w:left="760" w:right="660" w:hanging="378"/>
        <w:spacing w:after="0" w:line="281"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repurchased a portion of the common stock granted to employees for stock based compensation to satisfy employee tax withholding requirements, which totaled $8.8 million and $7.7 million during 2024 and 2023, respectively.</w:t>
      </w:r>
    </w:p>
    <w:p>
      <w:pPr>
        <w:spacing w:after="0" w:line="1" w:lineRule="exact"/>
        <w:rPr>
          <w:rFonts w:ascii="Times New Roman" w:cs="Times New Roman" w:eastAsia="Times New Roman" w:hAnsi="Times New Roman"/>
          <w:sz w:val="18"/>
          <w:szCs w:val="18"/>
          <w:color w:val="auto"/>
        </w:rPr>
      </w:pPr>
    </w:p>
    <w:p>
      <w:pPr>
        <w:ind w:left="760" w:hanging="378"/>
        <w:spacing w:after="0" w:line="281"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we paid $200.0 million to repurchase 3,306,709 shares of our common stock under our Repurchase Program, as compared to $20.0 million to repurchase 349,519 shares of our common stock during 2023.</w:t>
      </w:r>
    </w:p>
    <w:p>
      <w:pPr>
        <w:spacing w:after="0" w:line="1" w:lineRule="exact"/>
        <w:rPr>
          <w:rFonts w:ascii="Times New Roman" w:cs="Times New Roman" w:eastAsia="Times New Roman" w:hAnsi="Times New Roman"/>
          <w:sz w:val="18"/>
          <w:szCs w:val="18"/>
          <w:color w:val="auto"/>
        </w:rPr>
      </w:pPr>
    </w:p>
    <w:p>
      <w:pPr>
        <w:ind w:left="760" w:right="440" w:hanging="378"/>
        <w:spacing w:after="0" w:line="266"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we received $6.5 million in contributions for the limited partners' share of development funding. During 2023, received $3.2 million net from limited partners, including $8.3 million of contributions from limited partners for their share of debt repayments and development funding, partially offset by $5.1 million in distributions to limited partners.</w:t>
      </w:r>
    </w:p>
    <w:p>
      <w:pPr>
        <w:spacing w:after="0" w:line="13"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2024, we distributed $9.4 million to limited partners, including proceeds to partially redeem a non-controlling interest in one real estate partnership.</w:t>
      </w:r>
    </w:p>
    <w:p>
      <w:pPr>
        <w:spacing w:after="0" w:line="1" w:lineRule="exact"/>
        <w:rPr>
          <w:rFonts w:ascii="Times New Roman" w:cs="Times New Roman" w:eastAsia="Times New Roman" w:hAnsi="Times New Roman"/>
          <w:sz w:val="18"/>
          <w:szCs w:val="18"/>
          <w:color w:val="auto"/>
        </w:rPr>
      </w:pPr>
    </w:p>
    <w:p>
      <w:pPr>
        <w:ind w:left="760" w:right="100" w:hanging="378"/>
        <w:spacing w:after="0" w:line="281"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$47.2 million more in dividends as a result of an increase in our dividend rate per share and the number of shares of our common stock outstanding, as well as preferred dividends which commenced in late 2023 as a result of the UBP acquisition.</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the following debt related activity during 2024:</w:t>
      </w:r>
    </w:p>
    <w:p>
      <w:pPr>
        <w:spacing w:after="0" w:line="63" w:lineRule="exact"/>
        <w:rPr>
          <w:sz w:val="20"/>
          <w:szCs w:val="20"/>
          <w:color w:val="auto"/>
        </w:rPr>
      </w:pPr>
    </w:p>
    <w:p>
      <w:pPr>
        <w:ind w:left="1500" w:hanging="369"/>
        <w:spacing w:after="0"/>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repaid $122.0 million in net proceeds from our Line,</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$734.9 million in proceeds from issuing unsecured public debt,</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$369.6 million for debt repayments, including:</w:t>
      </w:r>
    </w:p>
    <w:p>
      <w:pPr>
        <w:spacing w:after="0" w:line="63"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 million in unsecured public debt repayments,</w:t>
      </w:r>
    </w:p>
    <w:p>
      <w:pPr>
        <w:spacing w:after="0" w:line="63"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$110.9 million for repaying three mortgage loans at maturity, and</w:t>
      </w:r>
    </w:p>
    <w:p>
      <w:pPr>
        <w:spacing w:after="0" w:line="63"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 million in principal mortgage payments.</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$16.6 million in loan costs relating to the recast of the Line as well as the unsecured public debt offering.</w:t>
      </w:r>
    </w:p>
    <w:p>
      <w:pPr>
        <w:spacing w:after="0" w:line="6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had the following debt related activity during 2023:</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$46.5 million in proceeds from a mortgage refinancing,</w:t>
      </w:r>
    </w:p>
    <w:p>
      <w:pPr>
        <w:spacing w:after="0" w:line="63"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$68.2 million for debt repayments, including:</w:t>
      </w:r>
    </w:p>
    <w:p>
      <w:pPr>
        <w:spacing w:after="0" w:line="63" w:lineRule="exact"/>
        <w:rPr>
          <w:rFonts w:ascii="Times New Roman" w:cs="Times New Roman" w:eastAsia="Times New Roman" w:hAnsi="Times New Roman"/>
          <w:sz w:val="18"/>
          <w:szCs w:val="18"/>
          <w:color w:val="auto"/>
        </w:rPr>
      </w:pPr>
    </w:p>
    <w:p>
      <w:pPr>
        <w:ind w:left="2260" w:hanging="380"/>
        <w:spacing w:after="0"/>
        <w:tabs>
          <w:tab w:leader="none" w:pos="2260" w:val="left"/>
        </w:tabs>
        <w:numPr>
          <w:ilvl w:val="2"/>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$7.9 million in principal mortgage payments, and</w:t>
      </w:r>
    </w:p>
    <w:p>
      <w:pPr>
        <w:spacing w:after="0" w:line="63" w:lineRule="exact"/>
        <w:rPr>
          <w:rFonts w:ascii="Times New Roman" w:cs="Times New Roman" w:eastAsia="Times New Roman" w:hAnsi="Times New Roman"/>
          <w:sz w:val="18"/>
          <w:szCs w:val="18"/>
          <w:color w:val="auto"/>
        </w:rPr>
      </w:pPr>
    </w:p>
    <w:p>
      <w:pPr>
        <w:ind w:left="2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$60.3 million for a combination of repaying or refinancing five mortgage loans at maturity.</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2" w:right="3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Investments in Real Estate Partnerships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summary of the unconsolidated combined assets and liabilities of our real estate partnerships and our Pro-rata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35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40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6"/>
                <w:szCs w:val="16"/>
                <w:b w:val="1"/>
                <w:bCs w:val="1"/>
                <w:color w:val="auto"/>
              </w:rPr>
              <w:t>Combined</w:t>
            </w:r>
          </w:p>
        </w:tc>
        <w:tc>
          <w:tcPr>
            <w:tcW w:w="12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720" w:type="dxa"/>
            <w:vAlign w:val="bottom"/>
            <w:tcBorders>
              <w:bottom w:val="single" w:sz="8" w:color="auto"/>
            </w:tcBorders>
            <w:gridSpan w:val="3"/>
          </w:tcPr>
          <w:p>
            <w:pPr>
              <w:jc w:val="right"/>
              <w:ind w:right="1279"/>
              <w:spacing w:after="0"/>
              <w:rPr>
                <w:sz w:val="20"/>
                <w:szCs w:val="20"/>
                <w:color w:val="auto"/>
              </w:rPr>
            </w:pPr>
            <w:r>
              <w:rPr>
                <w:rFonts w:ascii="Times New Roman" w:cs="Times New Roman" w:eastAsia="Times New Roman" w:hAnsi="Times New Roman"/>
                <w:sz w:val="16"/>
                <w:szCs w:val="16"/>
                <w:b w:val="1"/>
                <w:bCs w:val="1"/>
                <w:color w:val="auto"/>
              </w:rPr>
              <w:t xml:space="preserve">Regency's Share </w:t>
            </w:r>
            <w:r>
              <w:rPr>
                <w:rFonts w:ascii="Times New Roman" w:cs="Times New Roman" w:eastAsia="Times New Roman" w:hAnsi="Times New Roman"/>
                <w:sz w:val="21"/>
                <w:szCs w:val="21"/>
                <w:b w:val="1"/>
                <w:bCs w:val="1"/>
                <w:color w:val="auto"/>
                <w:vertAlign w:val="superscript"/>
              </w:rPr>
              <w:t>(1)</w:t>
            </w: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thousands)</w:t>
            </w:r>
          </w:p>
        </w:tc>
        <w:tc>
          <w:tcPr>
            <w:tcW w:w="1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Pr>
          <w:p>
            <w:pPr>
              <w:spacing w:after="0"/>
              <w:rPr>
                <w:sz w:val="19"/>
                <w:szCs w:val="19"/>
                <w:color w:val="auto"/>
              </w:rPr>
            </w:pPr>
          </w:p>
        </w:tc>
        <w:tc>
          <w:tcPr>
            <w:tcW w:w="180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Number of real estate partnerships</w:t>
            </w:r>
          </w:p>
        </w:tc>
        <w:tc>
          <w:tcPr>
            <w:tcW w:w="140" w:type="dxa"/>
            <w:vAlign w:val="bottom"/>
            <w:shd w:val="clear" w:color="auto" w:fill="CFF0FC"/>
          </w:tcPr>
          <w:p>
            <w:pPr>
              <w:spacing w:after="0"/>
              <w:rPr>
                <w:sz w:val="19"/>
                <w:szCs w:val="19"/>
                <w:color w:val="auto"/>
              </w:rPr>
            </w:pP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r>
      <w:tr>
        <w:trPr>
          <w:trHeight w:val="22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Regency's ownership</w:t>
            </w:r>
          </w:p>
        </w:tc>
        <w:tc>
          <w:tcPr>
            <w:tcW w:w="140" w:type="dxa"/>
            <w:vAlign w:val="bottom"/>
          </w:tcPr>
          <w:p>
            <w:pPr>
              <w:spacing w:after="0"/>
              <w:rPr>
                <w:sz w:val="19"/>
                <w:szCs w:val="19"/>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 - 83%</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 - 67%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9"/>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Number of properties</w:t>
            </w:r>
          </w:p>
        </w:tc>
        <w:tc>
          <w:tcPr>
            <w:tcW w:w="140" w:type="dxa"/>
            <w:vAlign w:val="bottom"/>
            <w:shd w:val="clear" w:color="auto" w:fill="CFF0FC"/>
          </w:tcPr>
          <w:p>
            <w:pPr>
              <w:spacing w:after="0"/>
              <w:rPr>
                <w:sz w:val="20"/>
                <w:szCs w:val="20"/>
                <w:color w:val="auto"/>
              </w:rPr>
            </w:pP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0" w:type="dxa"/>
            <w:vAlign w:val="bottom"/>
            <w:shd w:val="clear" w:color="auto" w:fill="CFF0FC"/>
          </w:tcPr>
          <w:p>
            <w:pPr>
              <w:spacing w:after="0"/>
              <w:rPr>
                <w:sz w:val="20"/>
                <w:szCs w:val="20"/>
                <w:color w:val="auto"/>
              </w:rPr>
            </w:pPr>
          </w:p>
        </w:tc>
      </w:tr>
      <w:tr>
        <w:trPr>
          <w:trHeight w:val="22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2,772,964</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2,689,993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1,044,870</w:t>
            </w:r>
          </w:p>
        </w:tc>
        <w:tc>
          <w:tcPr>
            <w:tcW w:w="19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984,027</w:t>
            </w:r>
          </w:p>
        </w:tc>
      </w:tr>
      <w:tr>
        <w:trPr>
          <w:trHeight w:val="239"/>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40" w:type="dxa"/>
            <w:vAlign w:val="bottom"/>
            <w:shd w:val="clear" w:color="auto" w:fill="CFF0FC"/>
          </w:tcPr>
          <w:p>
            <w:pPr>
              <w:spacing w:after="0"/>
              <w:rPr>
                <w:sz w:val="20"/>
                <w:szCs w:val="20"/>
                <w:color w:val="auto"/>
              </w:rPr>
            </w:pPr>
          </w:p>
        </w:tc>
        <w:tc>
          <w:tcPr>
            <w:tcW w:w="16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1,669,155</w:t>
            </w: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1,595,271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611,583</w:t>
            </w:r>
          </w:p>
        </w:tc>
        <w:tc>
          <w:tcPr>
            <w:tcW w:w="19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565,822</w:t>
            </w:r>
          </w:p>
        </w:tc>
      </w:tr>
      <w:tr>
        <w:trPr>
          <w:trHeight w:val="220"/>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140" w:type="dxa"/>
            <w:vAlign w:val="bottom"/>
          </w:tcPr>
          <w:p>
            <w:pPr>
              <w:spacing w:after="0"/>
              <w:rPr>
                <w:sz w:val="19"/>
                <w:szCs w:val="19"/>
                <w:color w:val="auto"/>
              </w:rPr>
            </w:pPr>
          </w:p>
        </w:tc>
        <w:tc>
          <w:tcPr>
            <w:tcW w:w="16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1,103,809</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1,094,722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433,287</w:t>
            </w:r>
          </w:p>
        </w:tc>
        <w:tc>
          <w:tcPr>
            <w:tcW w:w="19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418,205</w:t>
            </w:r>
          </w:p>
        </w:tc>
      </w:tr>
      <w:tr>
        <w:trPr>
          <w:trHeight w:val="239"/>
        </w:trPr>
        <w:tc>
          <w:tcPr>
            <w:tcW w:w="35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Basis difference</w:t>
            </w:r>
          </w:p>
        </w:tc>
        <w:tc>
          <w:tcPr>
            <w:tcW w:w="14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(45,874 )</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(47,600 )</w:t>
            </w:r>
          </w:p>
        </w:tc>
      </w:tr>
      <w:tr>
        <w:trPr>
          <w:trHeight w:val="217"/>
        </w:trPr>
        <w:tc>
          <w:tcPr>
            <w:tcW w:w="35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Investments in real estate partnerships</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387,413</w:t>
            </w:r>
          </w:p>
        </w:tc>
        <w:tc>
          <w:tcPr>
            <w:tcW w:w="100" w:type="dxa"/>
            <w:vAlign w:val="bottom"/>
          </w:tcPr>
          <w:p>
            <w:pPr>
              <w:spacing w:after="0"/>
              <w:rPr>
                <w:sz w:val="18"/>
                <w:szCs w:val="18"/>
                <w:color w:val="auto"/>
              </w:rPr>
            </w:pPr>
          </w:p>
        </w:tc>
        <w:tc>
          <w:tcPr>
            <w:tcW w:w="18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370,605</w:t>
            </w:r>
          </w:p>
        </w:tc>
      </w:tr>
      <w:tr>
        <w:trPr>
          <w:trHeight w:val="20"/>
        </w:trPr>
        <w:tc>
          <w:tcPr>
            <w:tcW w:w="3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260" w:right="160" w:hanging="252"/>
        <w:spacing w:after="0" w:line="237" w:lineRule="auto"/>
        <w:tabs>
          <w:tab w:leader="none" w:pos="260" w:val="left"/>
        </w:tabs>
        <w:numPr>
          <w:ilvl w:val="0"/>
          <w:numId w:val="5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Pro-rata financial information is not, and is not intended to be, a presentation in accordance with GAAP. However, management believes that providing such information is useful to investors in assessing the impact of its investments in real estate partnership activities on our operations, which includes such items on a single line presentation under the equity method in our Consolidated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equity method investments in real estate partnerships consist of the following:</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2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Regency's Ownership</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23"/>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GRI - Regency, LLC (GRIR)</w:t>
            </w: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40%</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137,536</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144,371</w:t>
            </w:r>
          </w:p>
        </w:tc>
      </w:tr>
      <w:tr>
        <w:trPr>
          <w:trHeight w:val="229"/>
        </w:trPr>
        <w:tc>
          <w:tcPr>
            <w:tcW w:w="49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Columbia Regency Partners II, LLC (Columbia II) </w:t>
            </w:r>
            <w:r>
              <w:rPr>
                <w:rFonts w:ascii="Times New Roman" w:cs="Times New Roman" w:eastAsia="Times New Roman" w:hAnsi="Times New Roman"/>
                <w:sz w:val="21"/>
                <w:szCs w:val="21"/>
                <w:color w:val="auto"/>
                <w:vertAlign w:val="superscript"/>
              </w:rPr>
              <w:t>(1)</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49,388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50,039</w:t>
            </w:r>
          </w:p>
        </w:tc>
      </w:tr>
      <w:tr>
        <w:trPr>
          <w:trHeight w:val="229"/>
        </w:trPr>
        <w:tc>
          <w:tcPr>
            <w:tcW w:w="4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Columbia Village District, LLC</w:t>
            </w: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30%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6,361</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6,123</w:t>
            </w:r>
          </w:p>
        </w:tc>
      </w:tr>
      <w:tr>
        <w:trPr>
          <w:trHeight w:val="22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Individual Investors</w:t>
            </w: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9"/>
        </w:trPr>
        <w:tc>
          <w:tcPr>
            <w:tcW w:w="49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Ballard Blocks</w:t>
            </w:r>
          </w:p>
        </w:tc>
        <w:tc>
          <w:tcPr>
            <w:tcW w:w="2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8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60,424</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7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62,140</w:t>
            </w:r>
          </w:p>
        </w:tc>
      </w:tr>
      <w:tr>
        <w:trPr>
          <w:trHeight w:val="220"/>
        </w:trPr>
        <w:tc>
          <w:tcPr>
            <w:tcW w:w="49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Bloom on Third</w:t>
            </w:r>
          </w:p>
        </w:tc>
        <w:tc>
          <w:tcPr>
            <w:tcW w:w="2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44,174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42,074</w:t>
            </w:r>
          </w:p>
        </w:tc>
      </w:tr>
      <w:tr>
        <w:trPr>
          <w:trHeight w:val="236"/>
        </w:trPr>
        <w:tc>
          <w:tcPr>
            <w:tcW w:w="49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Others</w:t>
            </w:r>
          </w:p>
        </w:tc>
        <w:tc>
          <w:tcPr>
            <w:tcW w:w="20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12% - 83%</w:t>
            </w:r>
          </w:p>
        </w:tc>
        <w:tc>
          <w:tcPr>
            <w:tcW w:w="2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8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89,530</w:t>
            </w: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7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65,858</w:t>
            </w:r>
          </w:p>
        </w:tc>
      </w:tr>
      <w:tr>
        <w:trPr>
          <w:trHeight w:val="220"/>
        </w:trPr>
        <w:tc>
          <w:tcPr>
            <w:tcW w:w="4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Investment in real estate partnerships</w:t>
            </w:r>
          </w:p>
        </w:tc>
        <w:tc>
          <w:tcPr>
            <w:tcW w:w="2000" w:type="dxa"/>
            <w:vAlign w:val="bottom"/>
          </w:tcPr>
          <w:p>
            <w:pPr>
              <w:spacing w:after="0"/>
              <w:rPr>
                <w:sz w:val="19"/>
                <w:szCs w:val="19"/>
                <w:color w:val="auto"/>
              </w:rPr>
            </w:pP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387,413</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370,605</w:t>
            </w:r>
          </w:p>
        </w:tc>
      </w:tr>
      <w:tr>
        <w:trPr>
          <w:trHeight w:val="20"/>
        </w:trPr>
        <w:tc>
          <w:tcPr>
            <w:tcW w:w="49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-179070</wp:posOffset>
            </wp:positionV>
            <wp:extent cx="12001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20" w:lineRule="exact"/>
        <w:rPr>
          <w:sz w:val="20"/>
          <w:szCs w:val="20"/>
          <w:color w:val="auto"/>
        </w:rPr>
      </w:pPr>
    </w:p>
    <w:p>
      <w:pPr>
        <w:ind w:left="260" w:right="20" w:hanging="252"/>
        <w:spacing w:after="0" w:line="226" w:lineRule="auto"/>
        <w:tabs>
          <w:tab w:leader="none" w:pos="260" w:val="left"/>
        </w:tabs>
        <w:numPr>
          <w:ilvl w:val="0"/>
          <w:numId w:val="5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Effective September 1, 2024, Columbia Regency Retail Partners, LLC (Columbia I) merged with and into Columbia II with Columbia II being the surviving entity in the merger.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Notes Payable - Investments in Real Estate Partnerships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Scheduled principal repayments on notes payable held by our investments in real estate partnerships were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194"/>
        </w:trPr>
        <w:tc>
          <w:tcPr>
            <w:tcW w:w="4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Scheduled</w:t>
            </w:r>
          </w:p>
        </w:tc>
        <w:tc>
          <w:tcPr>
            <w:tcW w:w="1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Mortgage</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Regency’s</w:t>
            </w:r>
          </w:p>
        </w:tc>
      </w:tr>
      <w:tr>
        <w:trPr>
          <w:trHeight w:val="203"/>
        </w:trPr>
        <w:tc>
          <w:tcPr>
            <w:tcW w:w="4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Loan</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Unsecured</w:t>
            </w: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Pro-Rata</w:t>
            </w:r>
          </w:p>
        </w:tc>
      </w:tr>
      <w:tr>
        <w:trPr>
          <w:trHeight w:val="225"/>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Scheduled Principal Payments and Maturities by Year:</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8"/>
              </w:rPr>
              <w:t>Payments</w:t>
            </w:r>
          </w:p>
        </w:tc>
        <w:tc>
          <w:tcPr>
            <w:tcW w:w="12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Maturities</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Maturities</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9"/>
                <w:szCs w:val="19"/>
                <w:color w:val="auto"/>
              </w:rPr>
            </w:pPr>
          </w:p>
        </w:tc>
        <w:tc>
          <w:tcPr>
            <w:tcW w:w="12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Share</w:t>
            </w:r>
          </w:p>
        </w:tc>
      </w:tr>
      <w:tr>
        <w:trPr>
          <w:trHeight w:val="230"/>
        </w:trPr>
        <w:tc>
          <w:tcPr>
            <w:tcW w:w="4400" w:type="dxa"/>
            <w:vAlign w:val="bottom"/>
            <w:shd w:val="clear" w:color="auto" w:fill="CFF0FC"/>
          </w:tcPr>
          <w:p>
            <w:pPr>
              <w:ind w:left="20"/>
              <w:spacing w:after="0" w:line="230" w:lineRule="exact"/>
              <w:rPr>
                <w:sz w:val="20"/>
                <w:szCs w:val="20"/>
                <w:color w:val="auto"/>
              </w:rPr>
            </w:pPr>
            <w:r>
              <w:rPr>
                <w:rFonts w:ascii="Times New Roman" w:cs="Times New Roman" w:eastAsia="Times New Roman" w:hAnsi="Times New Roman"/>
                <w:sz w:val="16"/>
                <w:szCs w:val="16"/>
                <w:color w:val="auto"/>
              </w:rPr>
              <w:t xml:space="preserve">2024 </w:t>
            </w:r>
            <w:r>
              <w:rPr>
                <w:rFonts w:ascii="Times New Roman" w:cs="Times New Roman" w:eastAsia="Times New Roman" w:hAnsi="Times New Roman"/>
                <w:sz w:val="21"/>
                <w:szCs w:val="21"/>
                <w:color w:val="auto"/>
                <w:vertAlign w:val="superscript"/>
              </w:rPr>
              <w:t>(1)</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1,055</w:t>
            </w:r>
          </w:p>
        </w:tc>
        <w:tc>
          <w:tcPr>
            <w:tcW w:w="13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7,008</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8,063</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3,818</w:t>
            </w: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6,727</w:t>
            </w: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147,512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154,239</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49,031</w:t>
            </w:r>
          </w:p>
        </w:tc>
      </w:tr>
      <w:tr>
        <w:trPr>
          <w:trHeight w:val="23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7,393</w:t>
            </w:r>
          </w:p>
        </w:tc>
        <w:tc>
          <w:tcPr>
            <w:tcW w:w="13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263,220</w:t>
            </w:r>
          </w:p>
        </w:tc>
        <w:tc>
          <w:tcPr>
            <w:tcW w:w="1400" w:type="dxa"/>
            <w:vAlign w:val="bottom"/>
            <w:gridSpan w:val="3"/>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42,800</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313,413</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105,320</w:t>
            </w:r>
          </w:p>
        </w:tc>
      </w:tr>
      <w:tr>
        <w:trPr>
          <w:trHeight w:val="22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7,576</w:t>
            </w: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32,800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40,376</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13,669</w:t>
            </w:r>
          </w:p>
        </w:tc>
      </w:tr>
      <w:tr>
        <w:trPr>
          <w:trHeight w:val="239"/>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4,267</w:t>
            </w:r>
          </w:p>
        </w:tc>
        <w:tc>
          <w:tcPr>
            <w:tcW w:w="1360" w:type="dxa"/>
            <w:vAlign w:val="bottom"/>
            <w:gridSpan w:val="2"/>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246,605</w:t>
            </w: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250,872</w:t>
            </w:r>
          </w:p>
        </w:tc>
        <w:tc>
          <w:tcPr>
            <w:tcW w:w="1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92,027</w:t>
            </w:r>
          </w:p>
        </w:tc>
      </w:tr>
      <w:tr>
        <w:trPr>
          <w:trHeight w:val="22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Beyond 5 Years</w:t>
            </w:r>
          </w:p>
        </w:tc>
        <w:tc>
          <w:tcPr>
            <w:tcW w:w="1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6,688</w:t>
            </w: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797,323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804,011</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311,328</w:t>
            </w:r>
          </w:p>
        </w:tc>
      </w:tr>
      <w:tr>
        <w:trPr>
          <w:trHeight w:val="236"/>
        </w:trPr>
        <w:tc>
          <w:tcPr>
            <w:tcW w:w="45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unamortized loan costs, debt premium / (discount)</w:t>
            </w:r>
          </w:p>
        </w:tc>
        <w:tc>
          <w:tcPr>
            <w:tcW w:w="1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(9,137 )</w:t>
            </w:r>
          </w:p>
        </w:tc>
        <w:tc>
          <w:tcPr>
            <w:tcW w:w="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(9,137 )</w:t>
            </w:r>
          </w:p>
        </w:tc>
        <w:tc>
          <w:tcPr>
            <w:tcW w:w="1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(3,372 )</w:t>
            </w:r>
          </w:p>
        </w:tc>
      </w:tr>
      <w:tr>
        <w:trPr>
          <w:trHeight w:val="220"/>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33,706</w:t>
            </w: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1,485,331</w:t>
            </w:r>
          </w:p>
        </w:tc>
        <w:tc>
          <w:tcPr>
            <w:tcW w:w="1400" w:type="dxa"/>
            <w:vAlign w:val="bottom"/>
            <w:gridSpan w:val="3"/>
          </w:tcPr>
          <w:p>
            <w:pPr>
              <w:jc w:val="right"/>
              <w:ind w:right="39"/>
              <w:spacing w:after="0"/>
              <w:rPr>
                <w:sz w:val="20"/>
                <w:szCs w:val="20"/>
                <w:color w:val="auto"/>
              </w:rPr>
            </w:pPr>
            <w:r>
              <w:rPr>
                <w:rFonts w:ascii="Times New Roman" w:cs="Times New Roman" w:eastAsia="Times New Roman" w:hAnsi="Times New Roman"/>
                <w:sz w:val="16"/>
                <w:szCs w:val="16"/>
                <w:color w:val="auto"/>
              </w:rPr>
              <w:t>42,800</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1,561,837</w:t>
            </w:r>
          </w:p>
        </w:tc>
        <w:tc>
          <w:tcPr>
            <w:tcW w:w="13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571,821</w:t>
            </w:r>
          </w:p>
        </w:tc>
      </w:tr>
      <w:tr>
        <w:trPr>
          <w:trHeight w:val="20"/>
        </w:trPr>
        <w:tc>
          <w:tcPr>
            <w:tcW w:w="4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-179705</wp:posOffset>
            </wp:positionV>
            <wp:extent cx="76835"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-179705</wp:posOffset>
            </wp:positionV>
            <wp:extent cx="7683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-179705</wp:posOffset>
            </wp:positionV>
            <wp:extent cx="685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-179705</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260" w:hanging="252"/>
        <w:spacing w:after="0" w:line="237" w:lineRule="auto"/>
        <w:tabs>
          <w:tab w:leader="none" w:pos="260" w:val="left"/>
        </w:tabs>
        <w:numPr>
          <w:ilvl w:val="0"/>
          <w:numId w:val="6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Reflects scheduled principal payments and maturities for the remainder of the year.</w:t>
      </w:r>
    </w:p>
    <w:p>
      <w:pPr>
        <w:spacing w:after="0" w:line="150"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At September 30, 2024, our investments in real estate partnerships had notes payable of $1.6 billion maturing through 2034, of which 93.4% had a weighted average fixed interest rate of 3.9%. The remaining notes payable float with SOFR and had a weighted average variable interest rate of 7.3%, based on rates as of September 30, 2024. These fixed and variable rate notes payable are all non-recourse, and our Pro-rata share was $571.8 million as of September 30, 2024. As notes payable mature, they are expected to be repaid from proceeds from new borrowings and/or partner capital contributions. Refinancing debt at maturity in the current interest rate environment could result in higher interest expense in future periods if rates remain elevated.</w:t>
      </w:r>
    </w:p>
    <w:p>
      <w:pPr>
        <w:spacing w:after="0" w:line="1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believe that our partners are financially sound and have sufficient capital or access thereto to fund future capital requirements. In the event that a real estate investment partner is unable to fund its share of the capital requirements of the real estate partnership, we would have the right, but not the obligation, to loan the defaulting partner the amount of its capital call which would be secured by the partner's membership interest.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Management fee income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earning our Pro-rata share of net income or loss in each of these real estate partnerships, we earned fees as shown below:</w:t>
      </w:r>
    </w:p>
    <w:p>
      <w:pPr>
        <w:spacing w:after="0" w:line="187"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3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25"/>
        </w:trPr>
        <w:tc>
          <w:tcPr>
            <w:tcW w:w="3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30,</w:t>
            </w:r>
          </w:p>
        </w:tc>
        <w:tc>
          <w:tcPr>
            <w:tcW w:w="1100" w:type="dxa"/>
            <w:vAlign w:val="bottom"/>
            <w:tcBorders>
              <w:bottom w:val="single" w:sz="8" w:color="auto"/>
            </w:tcBorders>
          </w:tcPr>
          <w:p>
            <w:pPr>
              <w:spacing w:after="0"/>
              <w:rPr>
                <w:sz w:val="19"/>
                <w:szCs w:val="19"/>
                <w:color w:val="auto"/>
              </w:rPr>
            </w:pPr>
          </w:p>
        </w:tc>
      </w:tr>
      <w:tr>
        <w:trPr>
          <w:trHeight w:val="223"/>
        </w:trPr>
        <w:tc>
          <w:tcPr>
            <w:tcW w:w="3640" w:type="dxa"/>
            <w:vAlign w:val="bottom"/>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100" w:type="dxa"/>
            <w:vAlign w:val="bottom"/>
          </w:tcPr>
          <w:p>
            <w:pPr>
              <w:spacing w:after="0"/>
              <w:rPr>
                <w:sz w:val="19"/>
                <w:szCs w:val="19"/>
                <w:color w:val="auto"/>
              </w:rPr>
            </w:pPr>
          </w:p>
        </w:tc>
        <w:tc>
          <w:tcPr>
            <w:tcW w:w="130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80" w:type="dxa"/>
            <w:vAlign w:val="bottom"/>
            <w:gridSpan w:val="2"/>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60" w:type="dxa"/>
            <w:vAlign w:val="bottom"/>
            <w:gridSpan w:val="3"/>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2"/>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Asset management, property management, leasing,</w:t>
            </w:r>
          </w:p>
        </w:tc>
        <w:tc>
          <w:tcPr>
            <w:tcW w:w="100" w:type="dxa"/>
            <w:vAlign w:val="bottom"/>
            <w:tcBorders>
              <w:top w:val="single" w:sz="8" w:color="auto"/>
            </w:tcBorders>
            <w:shd w:val="clear" w:color="auto" w:fill="CFF0FC"/>
          </w:tcPr>
          <w:p>
            <w:pPr>
              <w:spacing w:after="0"/>
              <w:rPr>
                <w:sz w:val="17"/>
                <w:szCs w:val="17"/>
                <w:color w:val="auto"/>
              </w:rPr>
            </w:pPr>
          </w:p>
        </w:tc>
        <w:tc>
          <w:tcPr>
            <w:tcW w:w="13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r>
      <w:tr>
        <w:trPr>
          <w:trHeight w:val="230"/>
        </w:trPr>
        <w:tc>
          <w:tcPr>
            <w:tcW w:w="36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and other transaction fees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6,765</w:t>
            </w: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6,322</w:t>
            </w:r>
          </w:p>
        </w:tc>
        <w:tc>
          <w:tcPr>
            <w:tcW w:w="38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19,896</w:t>
            </w:r>
          </w:p>
        </w:tc>
        <w:tc>
          <w:tcPr>
            <w:tcW w:w="136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19,465</w:t>
            </w: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17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Estimates from the information provided in the "Critical Accounting Estimates" section of "Item 7. Management's Discussion and Analysis of Financial Condition and Results of Operations" in our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two significant components of interest rate risk:</w:t>
      </w:r>
    </w:p>
    <w:p>
      <w:pPr>
        <w:spacing w:after="0" w:line="63" w:lineRule="exact"/>
        <w:rPr>
          <w:sz w:val="20"/>
          <w:szCs w:val="20"/>
          <w:color w:val="auto"/>
        </w:rPr>
      </w:pPr>
    </w:p>
    <w:p>
      <w:pPr>
        <w:ind w:left="760" w:right="340" w:hanging="378"/>
        <w:spacing w:after="0" w:line="266"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Line, we have a variable interest rate that, as of September 30, 2024, was based upon an annual rate of SOFR plus a 0.10% market adjustment ("Adjusted SOFR") plus an applicable margin of 0.715%. SOFR rates charged on our Line change monthly, and the applicable margin on the Line is dependent upon the Company's maintenance of specific credit ratings and leverage parameters.</w:t>
      </w:r>
    </w:p>
    <w:p>
      <w:pPr>
        <w:spacing w:after="0" w:line="13"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also exposed to the impact of interest rate changes on future earnings and cash flows. To mitigate that risk, we generally borrow with fixed rate debt and we may use derivative instruments to fix the interest rate on our variable rate debt.</w:t>
      </w:r>
    </w:p>
    <w:p>
      <w:pPr>
        <w:spacing w:after="0" w:line="10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table below presents the principal cash flows, weighted average interest rates of remaining debt, and the fair value of total debt as of September 30, 2024. For variable rate mortgages and unsecured credit facilities for which we have interest rate swaps in place to fix the interest rate, they are included in the Fixed rate debt section below at their all-in fixed rate. The table is presented by year of expected maturity to evaluate the expected cash flows and sensitivity to interest rate changes. Although the average interest rate for variable rate debt is included in the table, those rates represent rates that existed as of September 30, 2024, and are subject to change. In addition, we continually assess the market risk for floating rate debt and believe that an increase of 100 basis points in interest rates would decrease future earnings and cash flows by approximately $0.3 million per year based on $33.8 million of floating rate mortgage debt and floating rate line of credit balances outstanding at September 30, 2024.</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Further, the table below incorporates only those exposures that exist as of September 30, 2024, and does not consider exposures or positions that could arise after that date or obligations repaid before maturity. Since firm commitments are not presented, the table has limited predictive value. As a result, our ultimate realized gain or loss with respect to interest rate fluctuations will depend on the exposures that arise during the period, our hedging strategies at that time, and actual interest rates.</w:t>
      </w:r>
    </w:p>
    <w:p>
      <w:pPr>
        <w:spacing w:after="0" w:line="126"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The table below presents the principal cash flow payments associated with our outstanding debt by year, weighted average interest rates on debt outstanding at each year-end, and fair value of total debt as of September 30, 2024.</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(dollars in thousands)</w:t>
            </w: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9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2027</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2028</w:t>
            </w:r>
          </w:p>
        </w:tc>
        <w:tc>
          <w:tcPr>
            <w:tcW w:w="100" w:type="dxa"/>
            <w:vAlign w:val="bottom"/>
          </w:tcPr>
          <w:p>
            <w:pPr>
              <w:spacing w:after="0"/>
              <w:rPr>
                <w:sz w:val="16"/>
                <w:szCs w:val="16"/>
                <w:color w:val="auto"/>
              </w:rPr>
            </w:pPr>
          </w:p>
        </w:tc>
        <w:tc>
          <w:tcPr>
            <w:tcW w:w="10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6"/>
                <w:szCs w:val="16"/>
                <w:color w:val="auto"/>
              </w:rPr>
            </w:pPr>
          </w:p>
        </w:tc>
        <w:tc>
          <w:tcPr>
            <w:tcW w:w="9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69"/>
        </w:trPr>
        <w:tc>
          <w:tcPr>
            <w:tcW w:w="2740" w:type="dxa"/>
            <w:vAlign w:val="bottom"/>
            <w:shd w:val="clear" w:color="auto" w:fill="CFF0FC"/>
          </w:tcPr>
          <w:p>
            <w:pPr>
              <w:ind w:left="20"/>
              <w:spacing w:after="0" w:line="169" w:lineRule="exact"/>
              <w:rPr>
                <w:sz w:val="20"/>
                <w:szCs w:val="20"/>
                <w:color w:val="auto"/>
              </w:rPr>
            </w:pPr>
            <w:r>
              <w:rPr>
                <w:rFonts w:ascii="Times New Roman" w:cs="Times New Roman" w:eastAsia="Times New Roman" w:hAnsi="Times New Roman"/>
                <w:sz w:val="14"/>
                <w:szCs w:val="14"/>
                <w:color w:val="auto"/>
              </w:rPr>
              <w:t xml:space="preserve">Fixed rate debt </w:t>
            </w:r>
            <w:r>
              <w:rPr>
                <w:rFonts w:ascii="Times New Roman" w:cs="Times New Roman" w:eastAsia="Times New Roman" w:hAnsi="Times New Roman"/>
                <w:sz w:val="19"/>
                <w:szCs w:val="19"/>
                <w:color w:val="auto"/>
                <w:vertAlign w:val="superscript"/>
              </w:rPr>
              <w:t>(1)</w:t>
            </w: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32,775</w:t>
            </w:r>
          </w:p>
        </w:tc>
        <w:tc>
          <w:tcPr>
            <w:tcW w:w="12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308,465</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357,769</w:t>
            </w: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754,572</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341,882</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2,601,042</w:t>
            </w: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4,396,505</w:t>
            </w:r>
          </w:p>
        </w:tc>
        <w:tc>
          <w:tcPr>
            <w:tcW w:w="10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4,263,804</w:t>
            </w:r>
          </w:p>
        </w:tc>
        <w:tc>
          <w:tcPr>
            <w:tcW w:w="0" w:type="dxa"/>
            <w:vAlign w:val="bottom"/>
          </w:tcPr>
          <w:p>
            <w:pPr>
              <w:spacing w:after="0"/>
              <w:rPr>
                <w:sz w:val="1"/>
                <w:szCs w:val="1"/>
                <w:color w:val="auto"/>
              </w:rPr>
            </w:pPr>
          </w:p>
        </w:tc>
      </w:tr>
      <w:tr>
        <w:trPr>
          <w:trHeight w:val="176"/>
        </w:trPr>
        <w:tc>
          <w:tcPr>
            <w:tcW w:w="2740" w:type="dxa"/>
            <w:vAlign w:val="bottom"/>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Average interest rate for all fixed rate debt </w:t>
            </w:r>
            <w:r>
              <w:rPr>
                <w:rFonts w:ascii="Times New Roman" w:cs="Times New Roman" w:eastAsia="Times New Roman" w:hAnsi="Times New Roman"/>
                <w:sz w:val="19"/>
                <w:szCs w:val="19"/>
                <w:color w:val="auto"/>
                <w:vertAlign w:val="superscript"/>
              </w:rPr>
              <w:t>(2)</w:t>
            </w:r>
          </w:p>
        </w:tc>
        <w:tc>
          <w:tcPr>
            <w:tcW w:w="18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4.09 %</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4.11 %</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4.13 %</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4.24 %</w:t>
            </w: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4.23 %</w:t>
            </w: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4.47 %</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740" w:type="dxa"/>
            <w:vAlign w:val="bottom"/>
            <w:shd w:val="clear" w:color="auto" w:fill="CFF0FC"/>
          </w:tcPr>
          <w:p>
            <w:pPr>
              <w:ind w:left="20"/>
              <w:spacing w:after="0" w:line="175" w:lineRule="exact"/>
              <w:rPr>
                <w:sz w:val="20"/>
                <w:szCs w:val="20"/>
                <w:color w:val="auto"/>
              </w:rPr>
            </w:pPr>
            <w:r>
              <w:rPr>
                <w:rFonts w:ascii="Times New Roman" w:cs="Times New Roman" w:eastAsia="Times New Roman" w:hAnsi="Times New Roman"/>
                <w:sz w:val="14"/>
                <w:szCs w:val="14"/>
                <w:color w:val="auto"/>
              </w:rPr>
              <w:t xml:space="preserve">Variable rate SOFR debt </w:t>
            </w:r>
            <w:r>
              <w:rPr>
                <w:rFonts w:ascii="Times New Roman" w:cs="Times New Roman" w:eastAsia="Times New Roman" w:hAnsi="Times New Roman"/>
                <w:sz w:val="19"/>
                <w:szCs w:val="19"/>
                <w:color w:val="auto"/>
                <w:vertAlign w:val="superscript"/>
              </w:rPr>
              <w:t>(1)</w:t>
            </w:r>
          </w:p>
        </w:tc>
        <w:tc>
          <w:tcPr>
            <w:tcW w:w="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3,750</w:t>
            </w:r>
          </w:p>
        </w:tc>
        <w:tc>
          <w:tcPr>
            <w:tcW w:w="1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33,750</w:t>
            </w:r>
          </w:p>
        </w:tc>
        <w:tc>
          <w:tcPr>
            <w:tcW w:w="10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33,750</w:t>
            </w:r>
          </w:p>
        </w:tc>
        <w:tc>
          <w:tcPr>
            <w:tcW w:w="0" w:type="dxa"/>
            <w:vAlign w:val="bottom"/>
          </w:tcPr>
          <w:p>
            <w:pPr>
              <w:spacing w:after="0"/>
              <w:rPr>
                <w:sz w:val="1"/>
                <w:szCs w:val="1"/>
                <w:color w:val="auto"/>
              </w:rPr>
            </w:pPr>
          </w:p>
        </w:tc>
      </w:tr>
      <w:tr>
        <w:trPr>
          <w:trHeight w:val="135"/>
        </w:trPr>
        <w:tc>
          <w:tcPr>
            <w:tcW w:w="27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Average interest rate for all variable rate</w:t>
            </w:r>
          </w:p>
        </w:tc>
        <w:tc>
          <w:tcPr>
            <w:tcW w:w="180" w:type="dxa"/>
            <w:vAlign w:val="bottom"/>
          </w:tcPr>
          <w:p>
            <w:pPr>
              <w:spacing w:after="0"/>
              <w:rPr>
                <w:sz w:val="11"/>
                <w:szCs w:val="11"/>
                <w:color w:val="auto"/>
              </w:rPr>
            </w:pPr>
          </w:p>
        </w:tc>
        <w:tc>
          <w:tcPr>
            <w:tcW w:w="9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5.88 %</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5.78 %</w:t>
            </w:r>
          </w:p>
        </w:tc>
        <w:tc>
          <w:tcPr>
            <w:tcW w:w="10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5.78 %</w:t>
            </w:r>
          </w:p>
        </w:tc>
        <w:tc>
          <w:tcPr>
            <w:tcW w:w="10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5.78 %</w:t>
            </w:r>
          </w:p>
        </w:tc>
        <w:tc>
          <w:tcPr>
            <w:tcW w:w="10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5.78 %</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debt </w:t>
            </w:r>
            <w:r>
              <w:rPr>
                <w:rFonts w:ascii="Times New Roman" w:cs="Times New Roman" w:eastAsia="Times New Roman" w:hAnsi="Times New Roman"/>
                <w:sz w:val="19"/>
                <w:szCs w:val="19"/>
                <w:color w:val="auto"/>
                <w:vertAlign w:val="superscript"/>
              </w:rPr>
              <w:t>(2)</w:t>
            </w:r>
          </w:p>
        </w:tc>
        <w:tc>
          <w:tcPr>
            <w:tcW w:w="180" w:type="dxa"/>
            <w:vAlign w:val="bottom"/>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1080" w:type="dxa"/>
            <w:vAlign w:val="bottom"/>
            <w:gridSpan w:val="2"/>
            <w:vMerge w:val="continue"/>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00" w:hanging="292"/>
        <w:spacing w:after="0"/>
        <w:tabs>
          <w:tab w:leader="none" w:pos="300" w:val="left"/>
        </w:tabs>
        <w:numPr>
          <w:ilvl w:val="0"/>
          <w:numId w:val="6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Reflects amount of debt maturities during each of the years presented as of September 30, 2024.</w:t>
      </w:r>
    </w:p>
    <w:p>
      <w:pPr>
        <w:spacing w:after="0" w:line="30" w:lineRule="exact"/>
        <w:rPr>
          <w:rFonts w:ascii="Times New Roman" w:cs="Times New Roman" w:eastAsia="Times New Roman" w:hAnsi="Times New Roman"/>
          <w:sz w:val="19"/>
          <w:szCs w:val="19"/>
          <w:color w:val="auto"/>
          <w:vertAlign w:val="superscript"/>
        </w:rPr>
      </w:pPr>
    </w:p>
    <w:p>
      <w:pPr>
        <w:ind w:left="300" w:right="180"/>
        <w:spacing w:after="0" w:line="239"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Reflects weighted average interest rates of debt outstanding at the end of each year presented. For variable rate debt, the rate as of September 30, 2024, was used to determine the average interest rate for all future periods.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2"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(Regency Centers Corporation)</w:t>
      </w:r>
    </w:p>
    <w:p>
      <w:pPr>
        <w:spacing w:after="0" w:line="17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the Parent Company's management, including its chief executive officer and chief financial officer, the Parent Company conducted an evaluation of its disclosure controls and procedures, as such term is defined under Rule 13a-15(e) and 15d-15(e) promulgated under the Securities Exchange Act of 1934, as amended (the "Exchange Act"). Based on this evaluation, the Parent Company's chief executive officer and chief financial officer concluded that its disclosure controls and procedures were effective as of the end of the periods covered by this quarterly report on Form 10-Q to ensure information required to be disclosed in the reports filed or submitted under the Exchange Act is recorded, processed, summarized and reported, within the time period specified in the SEC's rules and forms. These disclosure controls and procedures include controls and procedures designed to ensure that information required to be disclosed by the Parent Company in the reports it files or submits is accumulated and communicated to management, including its chief executive officer and chief financial officer, as appropriate, to allow timely decisions regarding required disclosure.</w:t>
      </w:r>
    </w:p>
    <w:p>
      <w:pPr>
        <w:spacing w:after="0" w:line="13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Parent Company's internal controls over financial reporting identified in connection with this evaluation that occurred during the quarter ended September 30, 2024 which have materially affected, or are reasonably likely to materially affect, our internal controls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 (Regency Centers, L.P.)</w:t>
      </w:r>
    </w:p>
    <w:p>
      <w:pPr>
        <w:spacing w:after="0" w:line="17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Under the supervision and with the participation of the Operating Partnership's management, including the chief executive officer and chief financial officer of its general partner, the Operating Partnership conducted an evaluation of its disclosure controls and procedures, as such term is defined under Rule 13a-15(e) and 15d-15(e) promulgated under the Exchange Act. Based on this evaluation, the chief executive officer and chief financial officer of its general partner concluded that its disclosure controls and procedures were effective as of the end of the periods covered by this quarterly report on Form 10-Q to ensure information required to be disclosed in the reports filed or submitted under the Exchange Act is recorded, processed, summarized and reported, within the time period specified in the SEC's rules and forms. These disclosure controls and procedures include controls and procedures designed to ensure that information required to be disclosed by the Operating Partnership in the reports it files or submits is accumulated and communicated to management, including the chief executive officer and chief financial officer of its general partner, as appropriate, to allow timely decisions regarding required disclosure.</w:t>
      </w:r>
    </w:p>
    <w:p>
      <w:pPr>
        <w:spacing w:after="0" w:line="13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There have been no changes in the Operating Partnership's internal controls over financial reporting identified in connection with this evaluation that occurred during the quarter ended September 30, 2024 which have materially affected, or are reasonably likely to materially affect, our internal controls over financial reporting.</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See Note 12 — Commitments and Contingencies in the Notes for discussion regarding material legal proceedings and contingencies. Except as set forth in such discussion, there have been no material developments in legal proceedings as reported in Item 3. "Legal Proceedings" of our 2023 Form 10-K.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disclosed in Item 1A. of Part I of our Annual Report on Form 10-K for the year ended December 31, 2023 ("2023 Annual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three months ended September 30, 2024.</w:t>
      </w:r>
    </w:p>
    <w:p>
      <w:pPr>
        <w:spacing w:after="0" w:line="17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following table represents information with respect to purchases by the Parent Company of its common stock, by month, during the three months ended September 30,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Maximum number or</w:t>
            </w:r>
          </w:p>
        </w:tc>
      </w:tr>
      <w:tr>
        <w:trPr>
          <w:trHeight w:val="203"/>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approximate dollar</w:t>
            </w:r>
          </w:p>
        </w:tc>
      </w:tr>
      <w:tr>
        <w:trPr>
          <w:trHeight w:val="203"/>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value of shares that</w:t>
            </w:r>
          </w:p>
        </w:tc>
      </w:tr>
      <w:tr>
        <w:trPr>
          <w:trHeight w:val="203"/>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60" w:type="dxa"/>
            <w:vAlign w:val="bottom"/>
          </w:tcPr>
          <w:p>
            <w:pPr>
              <w:spacing w:after="0"/>
              <w:rPr>
                <w:sz w:val="17"/>
                <w:szCs w:val="17"/>
                <w:color w:val="auto"/>
              </w:rPr>
            </w:pPr>
          </w:p>
        </w:tc>
        <w:tc>
          <w:tcPr>
            <w:tcW w:w="164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may yet be purchased</w:t>
            </w:r>
          </w:p>
        </w:tc>
      </w:tr>
      <w:tr>
        <w:trPr>
          <w:trHeight w:val="203"/>
        </w:trPr>
        <w:tc>
          <w:tcPr>
            <w:tcW w:w="3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purchased as part of</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under the plans or</w:t>
            </w:r>
          </w:p>
        </w:tc>
      </w:tr>
      <w:tr>
        <w:trPr>
          <w:trHeight w:val="175"/>
        </w:trPr>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2"/>
          </w:tcPr>
          <w:p>
            <w:pPr>
              <w:ind w:left="80"/>
              <w:spacing w:after="0" w:line="175" w:lineRule="exact"/>
              <w:rPr>
                <w:sz w:val="20"/>
                <w:szCs w:val="20"/>
                <w:color w:val="auto"/>
              </w:rPr>
            </w:pPr>
            <w:r>
              <w:rPr>
                <w:rFonts w:ascii="Times New Roman" w:cs="Times New Roman" w:eastAsia="Times New Roman" w:hAnsi="Times New Roman"/>
                <w:sz w:val="16"/>
                <w:szCs w:val="16"/>
                <w:b w:val="1"/>
                <w:bCs w:val="1"/>
                <w:color w:val="auto"/>
              </w:rPr>
              <w:t>Total number of shares</w:t>
            </w:r>
          </w:p>
        </w:tc>
        <w:tc>
          <w:tcPr>
            <w:tcW w:w="140" w:type="dxa"/>
            <w:vAlign w:val="bottom"/>
          </w:tcPr>
          <w:p>
            <w:pPr>
              <w:spacing w:after="0"/>
              <w:rPr>
                <w:sz w:val="15"/>
                <w:szCs w:val="15"/>
                <w:color w:val="auto"/>
              </w:rPr>
            </w:pPr>
          </w:p>
        </w:tc>
        <w:tc>
          <w:tcPr>
            <w:tcW w:w="130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b w:val="1"/>
                <w:bCs w:val="1"/>
                <w:color w:val="auto"/>
              </w:rPr>
              <w:t>Average price</w:t>
            </w:r>
          </w:p>
        </w:tc>
        <w:tc>
          <w:tcPr>
            <w:tcW w:w="160" w:type="dxa"/>
            <w:vAlign w:val="bottom"/>
          </w:tcPr>
          <w:p>
            <w:pPr>
              <w:spacing w:after="0"/>
              <w:rPr>
                <w:sz w:val="15"/>
                <w:szCs w:val="15"/>
                <w:color w:val="auto"/>
              </w:rPr>
            </w:pPr>
          </w:p>
        </w:tc>
        <w:tc>
          <w:tcPr>
            <w:tcW w:w="1760" w:type="dxa"/>
            <w:vAlign w:val="bottom"/>
          </w:tcPr>
          <w:p>
            <w:pPr>
              <w:jc w:val="center"/>
              <w:ind w:right="79"/>
              <w:spacing w:after="0" w:line="175"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jc w:val="center"/>
              <w:ind w:right="159"/>
              <w:spacing w:after="0" w:line="175" w:lineRule="exact"/>
              <w:rPr>
                <w:sz w:val="20"/>
                <w:szCs w:val="20"/>
                <w:color w:val="auto"/>
              </w:rPr>
            </w:pPr>
            <w:r>
              <w:rPr>
                <w:rFonts w:ascii="Times New Roman" w:cs="Times New Roman" w:eastAsia="Times New Roman" w:hAnsi="Times New Roman"/>
                <w:sz w:val="16"/>
                <w:szCs w:val="16"/>
                <w:b w:val="1"/>
                <w:bCs w:val="1"/>
                <w:color w:val="auto"/>
              </w:rPr>
              <w:t>programs (in</w:t>
            </w:r>
          </w:p>
        </w:tc>
      </w:tr>
      <w:tr>
        <w:trPr>
          <w:trHeight w:val="259"/>
        </w:trPr>
        <w:tc>
          <w:tcPr>
            <w:tcW w:w="354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80" w:type="dxa"/>
            <w:vAlign w:val="bottom"/>
          </w:tcPr>
          <w:p>
            <w:pPr>
              <w:spacing w:after="0"/>
              <w:rPr>
                <w:sz w:val="22"/>
                <w:szCs w:val="22"/>
                <w:color w:val="auto"/>
              </w:rPr>
            </w:pPr>
          </w:p>
        </w:tc>
        <w:tc>
          <w:tcPr>
            <w:tcW w:w="1900" w:type="dxa"/>
            <w:vAlign w:val="bottom"/>
            <w:tcBorders>
              <w:bottom w:val="single" w:sz="8" w:color="auto"/>
            </w:tcBorders>
          </w:tcPr>
          <w:p>
            <w:pPr>
              <w:jc w:val="right"/>
              <w:ind w:right="567"/>
              <w:spacing w:after="0"/>
              <w:rPr>
                <w:sz w:val="20"/>
                <w:szCs w:val="20"/>
                <w:color w:val="auto"/>
              </w:rPr>
            </w:pPr>
            <w:r>
              <w:rPr>
                <w:rFonts w:ascii="Times New Roman" w:cs="Times New Roman" w:eastAsia="Times New Roman" w:hAnsi="Times New Roman"/>
                <w:sz w:val="16"/>
                <w:szCs w:val="16"/>
                <w:b w:val="1"/>
                <w:bCs w:val="1"/>
                <w:color w:val="auto"/>
              </w:rPr>
              <w:t>purchased</w:t>
            </w:r>
          </w:p>
        </w:tc>
        <w:tc>
          <w:tcPr>
            <w:tcW w:w="4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paid per share</w:t>
            </w:r>
          </w:p>
        </w:tc>
        <w:tc>
          <w:tcPr>
            <w:tcW w:w="160" w:type="dxa"/>
            <w:vAlign w:val="bottom"/>
          </w:tcPr>
          <w:p>
            <w:pPr>
              <w:spacing w:after="0"/>
              <w:rPr>
                <w:sz w:val="22"/>
                <w:szCs w:val="22"/>
                <w:color w:val="auto"/>
              </w:rPr>
            </w:pPr>
          </w:p>
        </w:tc>
        <w:tc>
          <w:tcPr>
            <w:tcW w:w="176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8"/>
              </w:rPr>
              <w:t xml:space="preserve">plans or programs </w:t>
            </w:r>
            <w:r>
              <w:rPr>
                <w:rFonts w:ascii="Times New Roman" w:cs="Times New Roman" w:eastAsia="Times New Roman" w:hAnsi="Times New Roman"/>
                <w:sz w:val="21"/>
                <w:szCs w:val="21"/>
                <w:b w:val="1"/>
                <w:bCs w:val="1"/>
                <w:color w:val="auto"/>
                <w:w w:val="98"/>
                <w:vertAlign w:val="superscript"/>
              </w:rPr>
              <w:t>(2)</w:t>
            </w:r>
          </w:p>
        </w:tc>
        <w:tc>
          <w:tcPr>
            <w:tcW w:w="16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6"/>
              </w:rPr>
              <w:t xml:space="preserve">thousands) </w:t>
            </w:r>
            <w:r>
              <w:rPr>
                <w:rFonts w:ascii="Times New Roman" w:cs="Times New Roman" w:eastAsia="Times New Roman" w:hAnsi="Times New Roman"/>
                <w:sz w:val="21"/>
                <w:szCs w:val="21"/>
                <w:b w:val="1"/>
                <w:bCs w:val="1"/>
                <w:color w:val="auto"/>
                <w:w w:val="96"/>
                <w:vertAlign w:val="superscript"/>
              </w:rPr>
              <w:t>(2)</w:t>
            </w:r>
          </w:p>
        </w:tc>
      </w:tr>
      <w:tr>
        <w:trPr>
          <w:trHeight w:val="223"/>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July 1 through July 31, 2024</w:t>
            </w:r>
          </w:p>
        </w:tc>
        <w:tc>
          <w:tcPr>
            <w:tcW w:w="180" w:type="dxa"/>
            <w:vAlign w:val="bottom"/>
            <w:shd w:val="clear" w:color="auto" w:fill="CFF0FC"/>
          </w:tcPr>
          <w:p>
            <w:pPr>
              <w:spacing w:after="0"/>
              <w:rPr>
                <w:sz w:val="19"/>
                <w:szCs w:val="19"/>
                <w:color w:val="auto"/>
              </w:rPr>
            </w:pPr>
          </w:p>
        </w:tc>
        <w:tc>
          <w:tcPr>
            <w:tcW w:w="2360" w:type="dxa"/>
            <w:vAlign w:val="bottom"/>
            <w:gridSpan w:val="2"/>
            <w:shd w:val="clear" w:color="auto" w:fill="CFF0FC"/>
          </w:tcPr>
          <w:p>
            <w:pPr>
              <w:ind w:left="1600"/>
              <w:spacing w:after="0" w:line="223"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0"/>
                <w:szCs w:val="10"/>
                <w:color w:val="auto"/>
              </w:rPr>
              <w:t xml:space="preserve">  (1)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9"/>
                <w:szCs w:val="19"/>
                <w:color w:val="auto"/>
              </w:rPr>
            </w:pPr>
          </w:p>
        </w:tc>
        <w:tc>
          <w:tcPr>
            <w:tcW w:w="1760" w:type="dxa"/>
            <w:vAlign w:val="bottom"/>
            <w:shd w:val="clear" w:color="auto" w:fill="CFF0FC"/>
          </w:tcPr>
          <w:p>
            <w:pPr>
              <w:ind w:left="14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250,000</w:t>
            </w:r>
          </w:p>
        </w:tc>
      </w:tr>
      <w:tr>
        <w:trPr>
          <w:trHeight w:val="220"/>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August 1 through August 31, 2024</w:t>
            </w:r>
          </w:p>
        </w:tc>
        <w:tc>
          <w:tcPr>
            <w:tcW w:w="180" w:type="dxa"/>
            <w:vAlign w:val="bottom"/>
          </w:tcPr>
          <w:p>
            <w:pPr>
              <w:spacing w:after="0"/>
              <w:rPr>
                <w:sz w:val="19"/>
                <w:szCs w:val="19"/>
                <w:color w:val="auto"/>
              </w:rPr>
            </w:pPr>
          </w:p>
        </w:tc>
        <w:tc>
          <w:tcPr>
            <w:tcW w:w="236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760" w:type="dxa"/>
            <w:vAlign w:val="bottom"/>
          </w:tcPr>
          <w:p>
            <w:pPr>
              <w:ind w:left="14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250,000</w:t>
            </w:r>
          </w:p>
        </w:tc>
      </w:tr>
      <w:tr>
        <w:trPr>
          <w:trHeight w:val="239"/>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September 1 through September 30, 2024</w:t>
            </w:r>
          </w:p>
        </w:tc>
        <w:tc>
          <w:tcPr>
            <w:tcW w:w="208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6"/>
                <w:szCs w:val="16"/>
                <w:color w:val="auto"/>
              </w:rPr>
              <w:t>678</w:t>
            </w:r>
          </w:p>
        </w:tc>
        <w:tc>
          <w:tcPr>
            <w:tcW w:w="4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72.39</w:t>
            </w:r>
          </w:p>
        </w:tc>
        <w:tc>
          <w:tcPr>
            <w:tcW w:w="160" w:type="dxa"/>
            <w:vAlign w:val="bottom"/>
            <w:shd w:val="clear" w:color="auto" w:fill="CFF0FC"/>
          </w:tcPr>
          <w:p>
            <w:pPr>
              <w:spacing w:after="0"/>
              <w:rPr>
                <w:sz w:val="20"/>
                <w:szCs w:val="20"/>
                <w:color w:val="auto"/>
              </w:rPr>
            </w:pPr>
          </w:p>
        </w:tc>
        <w:tc>
          <w:tcPr>
            <w:tcW w:w="1760" w:type="dxa"/>
            <w:vAlign w:val="bottom"/>
            <w:shd w:val="clear" w:color="auto" w:fill="CFF0FC"/>
          </w:tcPr>
          <w:p>
            <w:pPr>
              <w:ind w:left="14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250,000</w:t>
            </w:r>
          </w:p>
        </w:tc>
      </w:tr>
    </w:tbl>
    <w:p>
      <w:pPr>
        <w:spacing w:after="0" w:line="94" w:lineRule="exact"/>
        <w:rPr>
          <w:sz w:val="20"/>
          <w:szCs w:val="20"/>
          <w:color w:val="auto"/>
        </w:rPr>
      </w:pPr>
    </w:p>
    <w:p>
      <w:pPr>
        <w:ind w:left="260" w:right="140" w:hanging="252"/>
        <w:spacing w:after="0" w:line="226" w:lineRule="auto"/>
        <w:tabs>
          <w:tab w:leader="none" w:pos="260" w:val="left"/>
        </w:tabs>
        <w:numPr>
          <w:ilvl w:val="0"/>
          <w:numId w:val="6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Represents shares repurchased to cover payment of withholding taxes in connection with restricted stock vesting by participants under Regency’s Long-Term Omnibus Plan.</w:t>
      </w:r>
    </w:p>
    <w:p>
      <w:pPr>
        <w:spacing w:after="0" w:line="47" w:lineRule="exact"/>
        <w:rPr>
          <w:rFonts w:ascii="Times New Roman" w:cs="Times New Roman" w:eastAsia="Times New Roman" w:hAnsi="Times New Roman"/>
          <w:sz w:val="22"/>
          <w:szCs w:val="22"/>
          <w:color w:val="auto"/>
          <w:vertAlign w:val="superscript"/>
        </w:rPr>
      </w:pPr>
    </w:p>
    <w:p>
      <w:pPr>
        <w:ind w:left="260" w:right="260" w:hanging="252"/>
        <w:spacing w:after="0" w:line="247" w:lineRule="auto"/>
        <w:tabs>
          <w:tab w:leader="none" w:pos="260" w:val="left"/>
        </w:tabs>
        <w:numPr>
          <w:ilvl w:val="0"/>
          <w:numId w:val="6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Our Board has authorized a common stock repurchase program under which we may purchase up to a maximum of $250 million of our outstanding common stock through open market purchases, and/or in privately negotiated transactions. The timing and price of stock repurchases will be dependent upon market conditions and other factors. Any stock repurchased, if not retired, will be treated as treasury stock. This program was to expire on February 7, 2025, unless modified, extended or earlier terminated by the Board in its discretion</w:t>
      </w:r>
      <w:r>
        <w:rPr>
          <w:rFonts w:ascii="Times New Roman" w:cs="Times New Roman" w:eastAsia="Times New Roman" w:hAnsi="Times New Roman"/>
          <w:sz w:val="17"/>
          <w:szCs w:val="17"/>
          <w:color w:val="auto"/>
        </w:rPr>
        <w:t>.</w:t>
      </w:r>
    </w:p>
    <w:p>
      <w:pPr>
        <w:spacing w:after="0" w:line="37" w:lineRule="exact"/>
        <w:rPr>
          <w:sz w:val="20"/>
          <w:szCs w:val="20"/>
          <w:color w:val="auto"/>
        </w:rPr>
      </w:pPr>
    </w:p>
    <w:p>
      <w:pPr>
        <w:ind w:right="200"/>
        <w:spacing w:after="0" w:line="275" w:lineRule="auto"/>
        <w:rPr>
          <w:sz w:val="20"/>
          <w:szCs w:val="20"/>
          <w:color w:val="auto"/>
        </w:rPr>
      </w:pPr>
      <w:r>
        <w:rPr>
          <w:rFonts w:ascii="Times New Roman" w:cs="Times New Roman" w:eastAsia="Times New Roman" w:hAnsi="Times New Roman"/>
          <w:sz w:val="16"/>
          <w:szCs w:val="16"/>
          <w:color w:val="auto"/>
        </w:rPr>
        <w:t>On July 31, 2024, the Board authorized and approved a new common stock repurchase program that replaces and supercedes, in all respects, the current program noted above. Under the new program we may repurchase up to $250 million in shares of our outstanding common stock. We intend for repurchases, if any, to be through open market transactions in accordance with applicable federal securities laws, including Rule 10b-18 of the Exchange Act. The new program expires on June 30, 2026, unless modified, extended or earlier terminated by the Board at its discretion.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7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During the fiscal quarter ended September 30, 2024, none of our directors or officers (as defined in Rule 16a-1 under the Exchange Act) adopted or terminated a "Rule 10b5-1 trading arrangement" or "non-Rule 10b5-1 trading arrangement" (as those terms are defined in Item 408 of Regulation S-K).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reviewing any agreements included as exhibits to this Report, please remember they are included to provide you with information regarding their terms and are not intended to provide any other factual or disclosure information about the Company, its subsidiaries or other parties to the agreements. Each agreement contains representations and warranties by each of the parties to the applicable agreement. These representations and warranties have been made solely for the benefit of the other parties to the applicable agreement and:</w:t>
      </w:r>
    </w:p>
    <w:p>
      <w:pPr>
        <w:spacing w:after="0" w:line="18" w:lineRule="exact"/>
        <w:rPr>
          <w:sz w:val="20"/>
          <w:szCs w:val="20"/>
          <w:color w:val="auto"/>
        </w:rPr>
      </w:pPr>
    </w:p>
    <w:p>
      <w:pPr>
        <w:ind w:left="760" w:right="480" w:hanging="378"/>
        <w:spacing w:after="0" w:line="281"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not in all instances be treated as categorical statements of fact, but rather as a way of allocating the risk to one of the parties if those statements prove to be inaccurate;</w:t>
      </w:r>
    </w:p>
    <w:p>
      <w:pPr>
        <w:spacing w:after="0" w:line="1" w:lineRule="exact"/>
        <w:rPr>
          <w:rFonts w:ascii="Times New Roman" w:cs="Times New Roman" w:eastAsia="Times New Roman" w:hAnsi="Times New Roman"/>
          <w:sz w:val="18"/>
          <w:szCs w:val="18"/>
          <w:color w:val="auto"/>
        </w:rPr>
      </w:pPr>
    </w:p>
    <w:p>
      <w:pPr>
        <w:ind w:left="760" w:right="500" w:hanging="378"/>
        <w:spacing w:after="0" w:line="281"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qualified by disclosures that were made to the other party in connection with the negotiation of the applicable agreement, which disclosures are not necessarily reflected in the agreement;</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standards of materiality in a way that is different from what may be viewed as material to you or other investors; and</w:t>
      </w:r>
    </w:p>
    <w:p>
      <w:pPr>
        <w:spacing w:after="0" w:line="63"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made only as of the date of the applicable agreement or such other date or dates as may be specified in the agreement and are subject to more recent developments.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Accordingly, these representations and warranties may not describe the actual state of affairs as of the date they were made or at any other time. We acknowledge that, notwithstanding the inclusion of the foregoing cautionary statements, we are responsible for considering whether additional specific disclosures of material information regarding material contractual provisions are required to make the statements in this Report not misleading. Additional information about the Company may be found elsewhere in this Report and the Company's other public filings, which are available without charge through the SEC's website at http://www.sec.gov. Unless otherwise indicated below, the Commission file number to the exhibit is No. 001-12298 (Regency Centers Corporation) and 000-24763 (Regency Centers, L.P.).</w:t>
      </w:r>
    </w:p>
    <w:p>
      <w:pPr>
        <w:spacing w:after="0" w:line="129" w:lineRule="exact"/>
        <w:rPr>
          <w:sz w:val="20"/>
          <w:szCs w:val="20"/>
          <w:color w:val="auto"/>
        </w:rPr>
      </w:pPr>
    </w:p>
    <w:p>
      <w:pPr>
        <w:ind w:left="80"/>
        <w:spacing w:after="0"/>
        <w:tabs>
          <w:tab w:leader="none" w:pos="4040" w:val="left"/>
        </w:tabs>
        <w:rPr>
          <w:sz w:val="20"/>
          <w:szCs w:val="20"/>
          <w:color w:val="auto"/>
        </w:rPr>
      </w:pPr>
      <w:r>
        <w:rPr>
          <w:rFonts w:ascii="Times New Roman" w:cs="Times New Roman" w:eastAsia="Times New Roman" w:hAnsi="Times New Roman"/>
          <w:sz w:val="18"/>
          <w:szCs w:val="18"/>
          <w:b w:val="1"/>
          <w:bCs w:val="1"/>
          <w:color w:val="auto"/>
        </w:rPr>
        <w:t>Ex #</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121" w:lineRule="exact"/>
        <w:rPr>
          <w:sz w:val="20"/>
          <w:szCs w:val="20"/>
          <w:color w:val="auto"/>
        </w:rPr>
      </w:pPr>
    </w:p>
    <w:p>
      <w:pPr>
        <w:ind w:left="700" w:hanging="618"/>
        <w:spacing w:after="0"/>
        <w:tabs>
          <w:tab w:leader="none" w:pos="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Instruments defining the rights of securities holders, including indentures</w:t>
      </w:r>
    </w:p>
    <w:p>
      <w:pPr>
        <w:spacing w:after="0" w:line="63"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4.1</w:t>
            </w:r>
          </w:p>
        </w:tc>
        <w:tc>
          <w:tcPr>
            <w:tcW w:w="95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524">
              <w:r>
                <w:rPr>
                  <w:rFonts w:ascii="Times New Roman" w:cs="Times New Roman" w:eastAsia="Times New Roman" w:hAnsi="Times New Roman"/>
                  <w:sz w:val="18"/>
                  <w:szCs w:val="18"/>
                  <w:color w:val="0000FF"/>
                  <w:w w:val="99"/>
                </w:rPr>
                <w:t>First Amendment to Sixth Amended and Restated Credit Agreement (incorporated by reference to Exhibit 4.1 to the Form 8-K filed</w:t>
              </w:r>
            </w:hyperlink>
          </w:p>
        </w:tc>
      </w:tr>
      <w:tr>
        <w:trPr>
          <w:trHeight w:val="196"/>
        </w:trPr>
        <w:tc>
          <w:tcPr>
            <w:tcW w:w="880" w:type="dxa"/>
            <w:vAlign w:val="bottom"/>
          </w:tcPr>
          <w:p>
            <w:pPr>
              <w:spacing w:after="0"/>
              <w:rPr>
                <w:sz w:val="17"/>
                <w:szCs w:val="17"/>
                <w:color w:val="auto"/>
              </w:rPr>
            </w:pPr>
          </w:p>
        </w:tc>
        <w:tc>
          <w:tcPr>
            <w:tcW w:w="9500" w:type="dxa"/>
            <w:vAlign w:val="bottom"/>
            <w:gridSpan w:val="7"/>
          </w:tcPr>
          <w:p>
            <w:pPr>
              <w:spacing w:after="0" w:line="196" w:lineRule="exact"/>
              <w:rPr>
                <w:rFonts w:ascii="Times New Roman" w:cs="Times New Roman" w:eastAsia="Times New Roman" w:hAnsi="Times New Roman"/>
                <w:sz w:val="18"/>
                <w:szCs w:val="18"/>
                <w:color w:val="0000FF"/>
              </w:rPr>
            </w:pPr>
            <w:hyperlink r:id="rId524">
              <w:r>
                <w:rPr>
                  <w:rFonts w:ascii="Times New Roman" w:cs="Times New Roman" w:eastAsia="Times New Roman" w:hAnsi="Times New Roman"/>
                  <w:sz w:val="18"/>
                  <w:szCs w:val="18"/>
                  <w:color w:val="0000FF"/>
                </w:rPr>
                <w:t>on July 10, 2024)</w:t>
              </w:r>
            </w:hyperlink>
          </w:p>
        </w:tc>
      </w:tr>
      <w:tr>
        <w:trPr>
          <w:trHeight w:val="20"/>
        </w:trPr>
        <w:tc>
          <w:tcPr>
            <w:tcW w:w="8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64"/>
        </w:trPr>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4.2</w:t>
            </w:r>
          </w:p>
        </w:tc>
        <w:tc>
          <w:tcPr>
            <w:tcW w:w="824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525">
              <w:r>
                <w:rPr>
                  <w:rFonts w:ascii="Times New Roman" w:cs="Times New Roman" w:eastAsia="Times New Roman" w:hAnsi="Times New Roman"/>
                  <w:sz w:val="18"/>
                  <w:szCs w:val="18"/>
                  <w:color w:val="0000FF"/>
                  <w:w w:val="99"/>
                </w:rPr>
                <w:t>Form of Global Note (incorporated by reference reference to Exhibit 4.1 to the Form 8-K file on August 12, 2024)</w:t>
              </w:r>
            </w:hyperlink>
          </w:p>
        </w:tc>
        <w:tc>
          <w:tcPr>
            <w:tcW w:w="20" w:type="dxa"/>
            <w:vAlign w:val="bottom"/>
            <w:tcBorders>
              <w:bottom w:val="single" w:sz="8" w:color="0000EE"/>
            </w:tcBorders>
          </w:tcPr>
          <w:p>
            <w:pPr>
              <w:spacing w:after="0"/>
              <w:rPr>
                <w:sz w:val="22"/>
                <w:szCs w:val="22"/>
                <w:color w:val="auto"/>
              </w:rPr>
            </w:pPr>
          </w:p>
        </w:tc>
        <w:tc>
          <w:tcPr>
            <w:tcW w:w="1240" w:type="dxa"/>
            <w:vAlign w:val="bottom"/>
            <w:gridSpan w:val="2"/>
          </w:tcPr>
          <w:p>
            <w:pPr>
              <w:spacing w:after="0"/>
              <w:rPr>
                <w:sz w:val="22"/>
                <w:szCs w:val="22"/>
                <w:color w:val="auto"/>
              </w:rPr>
            </w:pPr>
          </w:p>
        </w:tc>
      </w:tr>
      <w:tr>
        <w:trPr>
          <w:trHeight w:val="263"/>
        </w:trPr>
        <w:tc>
          <w:tcPr>
            <w:tcW w:w="8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4.3</w:t>
            </w:r>
          </w:p>
        </w:tc>
        <w:tc>
          <w:tcPr>
            <w:tcW w:w="9500" w:type="dxa"/>
            <w:vAlign w:val="bottom"/>
            <w:gridSpan w:val="7"/>
          </w:tcPr>
          <w:p>
            <w:pPr>
              <w:spacing w:after="0"/>
              <w:rPr>
                <w:rFonts w:ascii="Times New Roman" w:cs="Times New Roman" w:eastAsia="Times New Roman" w:hAnsi="Times New Roman"/>
                <w:sz w:val="18"/>
                <w:szCs w:val="18"/>
                <w:color w:val="0000FF"/>
              </w:rPr>
            </w:pPr>
            <w:hyperlink r:id="rId525">
              <w:r>
                <w:rPr>
                  <w:rFonts w:ascii="Times New Roman" w:cs="Times New Roman" w:eastAsia="Times New Roman" w:hAnsi="Times New Roman"/>
                  <w:sz w:val="18"/>
                  <w:szCs w:val="18"/>
                  <w:color w:val="0000FF"/>
                </w:rPr>
                <w:t>Guarantee of Regency Centers Corporation (incorporated by reference reference to Exhibit 4.2 to the Form 8-K filed August 12,</w:t>
              </w:r>
            </w:hyperlink>
          </w:p>
        </w:tc>
      </w:tr>
      <w:tr>
        <w:trPr>
          <w:trHeight w:val="196"/>
        </w:trPr>
        <w:tc>
          <w:tcPr>
            <w:tcW w:w="88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525">
              <w:r>
                <w:rPr>
                  <w:rFonts w:ascii="Times New Roman" w:cs="Times New Roman" w:eastAsia="Times New Roman" w:hAnsi="Times New Roman"/>
                  <w:sz w:val="18"/>
                  <w:szCs w:val="18"/>
                  <w:color w:val="0000FF"/>
                  <w:w w:val="95"/>
                </w:rPr>
                <w:t>2024)</w:t>
              </w:r>
            </w:hyperlink>
          </w:p>
        </w:tc>
        <w:tc>
          <w:tcPr>
            <w:tcW w:w="20" w:type="dxa"/>
            <w:vAlign w:val="bottom"/>
            <w:tcBorders>
              <w:top w:val="single" w:sz="8" w:color="0000FF"/>
              <w:bottom w:val="single" w:sz="8" w:color="0000EE"/>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69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220" w:type="dxa"/>
            <w:vAlign w:val="bottom"/>
          </w:tcPr>
          <w:p>
            <w:pPr>
              <w:spacing w:after="0"/>
              <w:rPr>
                <w:sz w:val="17"/>
                <w:szCs w:val="17"/>
                <w:color w:val="auto"/>
              </w:rPr>
            </w:pPr>
          </w:p>
        </w:tc>
      </w:tr>
    </w:tbl>
    <w:p>
      <w:pPr>
        <w:spacing w:after="0" w:line="117" w:lineRule="exact"/>
        <w:rPr>
          <w:sz w:val="20"/>
          <w:szCs w:val="20"/>
          <w:color w:val="auto"/>
        </w:rPr>
      </w:pPr>
    </w:p>
    <w:p>
      <w:pPr>
        <w:ind w:left="640" w:hanging="558"/>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13a-14(a)/15d-14(a) Certifications</w:t>
      </w:r>
    </w:p>
    <w:p>
      <w:pPr>
        <w:spacing w:after="0" w:line="77" w:lineRule="exact"/>
        <w:rPr>
          <w:sz w:val="20"/>
          <w:szCs w:val="20"/>
          <w:color w:val="auto"/>
        </w:rPr>
      </w:pPr>
    </w:p>
    <w:p>
      <w:pPr>
        <w:ind w:left="780"/>
        <w:spacing w:after="0"/>
        <w:tabs>
          <w:tab w:leader="none" w:pos="164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7"/>
          <w:szCs w:val="17"/>
          <w:u w:val="single" w:color="auto"/>
          <w:color w:val="0000FF"/>
        </w:rPr>
        <w:t>Rule 13a-14 Certification of Chief Executive Officer for Regency Centers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-7620</wp:posOffset>
            </wp:positionV>
            <wp:extent cx="399224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6">
                      <a:extLst>
                        <a:ext uri="{28A0092B-C50C-407E-A947-70E740481C1C}"/>
                      </a:extLst>
                    </a:blip>
                    <a:srcRect/>
                    <a:stretch>
                      <a:fillRect/>
                    </a:stretch>
                  </pic:blipFill>
                  <pic:spPr bwMode="auto">
                    <a:xfrm>
                      <a:off x="0" y="0"/>
                      <a:ext cx="3992245" cy="8890"/>
                    </a:xfrm>
                    <a:prstGeom prst="rect">
                      <a:avLst/>
                    </a:prstGeom>
                    <a:noFill/>
                  </pic:spPr>
                </pic:pic>
              </a:graphicData>
            </a:graphic>
          </wp:anchor>
        </w:drawing>
      </w:r>
    </w:p>
    <w:p>
      <w:pPr>
        <w:spacing w:after="0" w:line="57" w:lineRule="exact"/>
        <w:rPr>
          <w:sz w:val="20"/>
          <w:szCs w:val="20"/>
          <w:color w:val="auto"/>
        </w:rPr>
      </w:pPr>
    </w:p>
    <w:p>
      <w:pPr>
        <w:ind w:left="780"/>
        <w:spacing w:after="0"/>
        <w:tabs>
          <w:tab w:leader="none" w:pos="164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7"/>
          <w:szCs w:val="17"/>
          <w:u w:val="single" w:color="auto"/>
          <w:color w:val="0000FF"/>
        </w:rPr>
        <w:t>Rule 13a-14 Certification of Chief Financial Officer for Regency Centers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-7620</wp:posOffset>
            </wp:positionV>
            <wp:extent cx="396049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7">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57" w:lineRule="exact"/>
        <w:rPr>
          <w:sz w:val="20"/>
          <w:szCs w:val="20"/>
          <w:color w:val="auto"/>
        </w:rPr>
      </w:pPr>
    </w:p>
    <w:p>
      <w:pPr>
        <w:ind w:left="780"/>
        <w:spacing w:after="0"/>
        <w:tabs>
          <w:tab w:leader="none" w:pos="164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7"/>
          <w:szCs w:val="17"/>
          <w:u w:val="single" w:color="auto"/>
          <w:color w:val="0000FF"/>
        </w:rPr>
        <w:t>Rule 13a-14 Certification of Chief Executive Officer for Regency Centers,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-7620</wp:posOffset>
            </wp:positionV>
            <wp:extent cx="361823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8">
                      <a:extLst>
                        <a:ext uri="{28A0092B-C50C-407E-A947-70E740481C1C}"/>
                      </a:extLst>
                    </a:blip>
                    <a:srcRect/>
                    <a:stretch>
                      <a:fillRect/>
                    </a:stretch>
                  </pic:blipFill>
                  <pic:spPr bwMode="auto">
                    <a:xfrm>
                      <a:off x="0" y="0"/>
                      <a:ext cx="3618230" cy="8255"/>
                    </a:xfrm>
                    <a:prstGeom prst="rect">
                      <a:avLst/>
                    </a:prstGeom>
                    <a:noFill/>
                  </pic:spPr>
                </pic:pic>
              </a:graphicData>
            </a:graphic>
          </wp:anchor>
        </w:drawing>
      </w:r>
    </w:p>
    <w:p>
      <w:pPr>
        <w:spacing w:after="0" w:line="57" w:lineRule="exact"/>
        <w:rPr>
          <w:sz w:val="20"/>
          <w:szCs w:val="20"/>
          <w:color w:val="auto"/>
        </w:rPr>
      </w:pPr>
    </w:p>
    <w:p>
      <w:pPr>
        <w:ind w:left="780"/>
        <w:spacing w:after="0"/>
        <w:tabs>
          <w:tab w:leader="none" w:pos="164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7"/>
          <w:szCs w:val="17"/>
          <w:u w:val="single" w:color="auto"/>
          <w:color w:val="0000FF"/>
        </w:rPr>
        <w:t>Rule 13a-14 Certification of Chief Financial Officer for Regency Centers,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-7620</wp:posOffset>
            </wp:positionV>
            <wp:extent cx="358648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9">
                      <a:extLst>
                        <a:ext uri="{28A0092B-C50C-407E-A947-70E740481C1C}"/>
                      </a:extLst>
                    </a:blip>
                    <a:srcRect/>
                    <a:stretch>
                      <a:fillRect/>
                    </a:stretch>
                  </pic:blipFill>
                  <pic:spPr bwMode="auto">
                    <a:xfrm>
                      <a:off x="0" y="0"/>
                      <a:ext cx="3586480" cy="8890"/>
                    </a:xfrm>
                    <a:prstGeom prst="rect">
                      <a:avLst/>
                    </a:prstGeom>
                    <a:noFill/>
                  </pic:spPr>
                </pic:pic>
              </a:graphicData>
            </a:graphic>
          </wp:anchor>
        </w:drawing>
      </w:r>
    </w:p>
    <w:p>
      <w:pPr>
        <w:spacing w:after="0" w:line="97" w:lineRule="exact"/>
        <w:rPr>
          <w:sz w:val="20"/>
          <w:szCs w:val="20"/>
          <w:color w:val="auto"/>
        </w:rPr>
      </w:pPr>
    </w:p>
    <w:p>
      <w:pPr>
        <w:ind w:left="640" w:hanging="558"/>
        <w:spacing w:after="0"/>
        <w:tabs>
          <w:tab w:leader="none" w:pos="6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1350 Certifications</w:t>
      </w:r>
    </w:p>
    <w:p>
      <w:pPr>
        <w:spacing w:after="0" w:line="77" w:lineRule="exact"/>
        <w:rPr>
          <w:sz w:val="20"/>
          <w:szCs w:val="20"/>
          <w:color w:val="auto"/>
        </w:rPr>
      </w:pPr>
    </w:p>
    <w:p>
      <w:pPr>
        <w:ind w:left="780"/>
        <w:spacing w:after="0"/>
        <w:tabs>
          <w:tab w:leader="none" w:pos="1640" w:val="left"/>
        </w:tabs>
        <w:rPr>
          <w:sz w:val="20"/>
          <w:szCs w:val="20"/>
          <w:color w:val="auto"/>
        </w:rPr>
      </w:pPr>
      <w:r>
        <w:rPr>
          <w:rFonts w:ascii="Times New Roman" w:cs="Times New Roman" w:eastAsia="Times New Roman" w:hAnsi="Times New Roman"/>
          <w:sz w:val="18"/>
          <w:szCs w:val="18"/>
          <w:color w:val="auto"/>
        </w:rPr>
        <w:t>32.1 *</w:t>
      </w:r>
      <w:r>
        <w:rPr>
          <w:sz w:val="20"/>
          <w:szCs w:val="20"/>
          <w:color w:val="auto"/>
        </w:rPr>
        <w:tab/>
      </w:r>
      <w:r>
        <w:rPr>
          <w:rFonts w:ascii="Times New Roman" w:cs="Times New Roman" w:eastAsia="Times New Roman" w:hAnsi="Times New Roman"/>
          <w:sz w:val="18"/>
          <w:szCs w:val="18"/>
          <w:u w:val="single" w:color="auto"/>
          <w:color w:val="0000FF"/>
        </w:rPr>
        <w:t>18 U.S.C. § 1350 Certification of Chief Executive Officer for Regency Centers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-7620</wp:posOffset>
            </wp:positionV>
            <wp:extent cx="422402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0">
                      <a:extLst>
                        <a:ext uri="{28A0092B-C50C-407E-A947-70E740481C1C}"/>
                      </a:extLst>
                    </a:blip>
                    <a:srcRect/>
                    <a:stretch>
                      <a:fillRect/>
                    </a:stretch>
                  </pic:blipFill>
                  <pic:spPr bwMode="auto">
                    <a:xfrm>
                      <a:off x="0" y="0"/>
                      <a:ext cx="4224020" cy="8255"/>
                    </a:xfrm>
                    <a:prstGeom prst="rect">
                      <a:avLst/>
                    </a:prstGeom>
                    <a:noFill/>
                  </pic:spPr>
                </pic:pic>
              </a:graphicData>
            </a:graphic>
          </wp:anchor>
        </w:drawing>
      </w:r>
    </w:p>
    <w:p>
      <w:pPr>
        <w:spacing w:after="0" w:line="57" w:lineRule="exact"/>
        <w:rPr>
          <w:sz w:val="20"/>
          <w:szCs w:val="20"/>
          <w:color w:val="auto"/>
        </w:rPr>
      </w:pPr>
    </w:p>
    <w:p>
      <w:pPr>
        <w:ind w:left="780"/>
        <w:spacing w:after="0"/>
        <w:tabs>
          <w:tab w:leader="none" w:pos="1640" w:val="left"/>
        </w:tabs>
        <w:rPr>
          <w:sz w:val="20"/>
          <w:szCs w:val="20"/>
          <w:color w:val="auto"/>
        </w:rPr>
      </w:pPr>
      <w:r>
        <w:rPr>
          <w:rFonts w:ascii="Times New Roman" w:cs="Times New Roman" w:eastAsia="Times New Roman" w:hAnsi="Times New Roman"/>
          <w:sz w:val="18"/>
          <w:szCs w:val="18"/>
          <w:color w:val="auto"/>
        </w:rPr>
        <w:t>32.2 *</w:t>
      </w:r>
      <w:r>
        <w:rPr>
          <w:sz w:val="20"/>
          <w:szCs w:val="20"/>
          <w:color w:val="auto"/>
        </w:rPr>
        <w:tab/>
      </w:r>
      <w:r>
        <w:rPr>
          <w:rFonts w:ascii="Times New Roman" w:cs="Times New Roman" w:eastAsia="Times New Roman" w:hAnsi="Times New Roman"/>
          <w:sz w:val="17"/>
          <w:szCs w:val="17"/>
          <w:u w:val="single" w:color="auto"/>
          <w:color w:val="0000FF"/>
        </w:rPr>
        <w:t>18 U.S.C. § 1350 Certification of Chief Financial Officer for Regency Centers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-7620</wp:posOffset>
            </wp:positionV>
            <wp:extent cx="419290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1">
                      <a:extLst>
                        <a:ext uri="{28A0092B-C50C-407E-A947-70E740481C1C}"/>
                      </a:extLst>
                    </a:blip>
                    <a:srcRect/>
                    <a:stretch>
                      <a:fillRect/>
                    </a:stretch>
                  </pic:blipFill>
                  <pic:spPr bwMode="auto">
                    <a:xfrm>
                      <a:off x="0" y="0"/>
                      <a:ext cx="4192905" cy="8890"/>
                    </a:xfrm>
                    <a:prstGeom prst="rect">
                      <a:avLst/>
                    </a:prstGeom>
                    <a:noFill/>
                  </pic:spPr>
                </pic:pic>
              </a:graphicData>
            </a:graphic>
          </wp:anchor>
        </w:drawing>
      </w:r>
    </w:p>
    <w:p>
      <w:pPr>
        <w:spacing w:after="0" w:line="57" w:lineRule="exact"/>
        <w:rPr>
          <w:sz w:val="20"/>
          <w:szCs w:val="20"/>
          <w:color w:val="auto"/>
        </w:rPr>
      </w:pPr>
    </w:p>
    <w:p>
      <w:pPr>
        <w:ind w:left="780"/>
        <w:spacing w:after="0"/>
        <w:tabs>
          <w:tab w:leader="none" w:pos="1640" w:val="left"/>
        </w:tabs>
        <w:rPr>
          <w:sz w:val="20"/>
          <w:szCs w:val="20"/>
          <w:color w:val="auto"/>
        </w:rPr>
      </w:pPr>
      <w:r>
        <w:rPr>
          <w:rFonts w:ascii="Times New Roman" w:cs="Times New Roman" w:eastAsia="Times New Roman" w:hAnsi="Times New Roman"/>
          <w:sz w:val="18"/>
          <w:szCs w:val="18"/>
          <w:color w:val="auto"/>
        </w:rPr>
        <w:t>32.3 *</w:t>
      </w:r>
      <w:r>
        <w:rPr>
          <w:sz w:val="20"/>
          <w:szCs w:val="20"/>
          <w:color w:val="auto"/>
        </w:rPr>
        <w:tab/>
      </w:r>
      <w:r>
        <w:rPr>
          <w:rFonts w:ascii="Times New Roman" w:cs="Times New Roman" w:eastAsia="Times New Roman" w:hAnsi="Times New Roman"/>
          <w:sz w:val="17"/>
          <w:szCs w:val="17"/>
          <w:u w:val="single" w:color="auto"/>
          <w:color w:val="0000FF"/>
        </w:rPr>
        <w:t>18 U.S.C. § 1350 Certification of Chief Executive Officer for Regency Centers,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-7620</wp:posOffset>
            </wp:positionV>
            <wp:extent cx="385000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2">
                      <a:extLst>
                        <a:ext uri="{28A0092B-C50C-407E-A947-70E740481C1C}"/>
                      </a:extLst>
                    </a:blip>
                    <a:srcRect/>
                    <a:stretch>
                      <a:fillRect/>
                    </a:stretch>
                  </pic:blipFill>
                  <pic:spPr bwMode="auto">
                    <a:xfrm>
                      <a:off x="0" y="0"/>
                      <a:ext cx="3850005" cy="8255"/>
                    </a:xfrm>
                    <a:prstGeom prst="rect">
                      <a:avLst/>
                    </a:prstGeom>
                    <a:noFill/>
                  </pic:spPr>
                </pic:pic>
              </a:graphicData>
            </a:graphic>
          </wp:anchor>
        </w:drawing>
      </w:r>
    </w:p>
    <w:p>
      <w:pPr>
        <w:spacing w:after="0" w:line="57" w:lineRule="exact"/>
        <w:rPr>
          <w:sz w:val="20"/>
          <w:szCs w:val="20"/>
          <w:color w:val="auto"/>
        </w:rPr>
      </w:pPr>
    </w:p>
    <w:p>
      <w:pPr>
        <w:ind w:left="780"/>
        <w:spacing w:after="0"/>
        <w:tabs>
          <w:tab w:leader="none" w:pos="1640" w:val="left"/>
        </w:tabs>
        <w:rPr>
          <w:sz w:val="20"/>
          <w:szCs w:val="20"/>
          <w:color w:val="auto"/>
        </w:rPr>
      </w:pPr>
      <w:r>
        <w:rPr>
          <w:rFonts w:ascii="Times New Roman" w:cs="Times New Roman" w:eastAsia="Times New Roman" w:hAnsi="Times New Roman"/>
          <w:sz w:val="18"/>
          <w:szCs w:val="18"/>
          <w:color w:val="auto"/>
        </w:rPr>
        <w:t>32.4 *</w:t>
      </w:r>
      <w:r>
        <w:rPr>
          <w:sz w:val="20"/>
          <w:szCs w:val="20"/>
          <w:color w:val="auto"/>
        </w:rPr>
        <w:tab/>
      </w:r>
      <w:r>
        <w:rPr>
          <w:rFonts w:ascii="Times New Roman" w:cs="Times New Roman" w:eastAsia="Times New Roman" w:hAnsi="Times New Roman"/>
          <w:sz w:val="17"/>
          <w:szCs w:val="17"/>
          <w:u w:val="single" w:color="auto"/>
          <w:color w:val="0000FF"/>
        </w:rPr>
        <w:t>18 U.S.C. § 1350 Certification of Chief Financial Officer for Regency Centers,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-7620</wp:posOffset>
            </wp:positionV>
            <wp:extent cx="381825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3">
                      <a:extLst>
                        <a:ext uri="{28A0092B-C50C-407E-A947-70E740481C1C}"/>
                      </a:extLst>
                    </a:blip>
                    <a:srcRect/>
                    <a:stretch>
                      <a:fillRect/>
                    </a:stretch>
                  </pic:blipFill>
                  <pic:spPr bwMode="auto">
                    <a:xfrm>
                      <a:off x="0" y="0"/>
                      <a:ext cx="3818255" cy="8890"/>
                    </a:xfrm>
                    <a:prstGeom prst="rect">
                      <a:avLst/>
                    </a:prstGeom>
                    <a:noFill/>
                  </pic:spPr>
                </pic:pic>
              </a:graphicData>
            </a:graphic>
          </wp:anchor>
        </w:drawing>
      </w:r>
    </w:p>
    <w:p>
      <w:pPr>
        <w:spacing w:after="0" w:line="97" w:lineRule="exact"/>
        <w:rPr>
          <w:sz w:val="20"/>
          <w:szCs w:val="20"/>
          <w:color w:val="auto"/>
        </w:rPr>
      </w:pPr>
    </w:p>
    <w:p>
      <w:pPr>
        <w:ind w:left="640" w:hanging="558"/>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w:t>
      </w:r>
    </w:p>
    <w:p>
      <w:pPr>
        <w:spacing w:after="0" w:line="77"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w:t>
            </w:r>
          </w:p>
        </w:tc>
      </w:tr>
      <w:tr>
        <w:trPr>
          <w:trHeight w:val="234"/>
        </w:trPr>
        <w:tc>
          <w:tcPr>
            <w:tcW w:w="760" w:type="dxa"/>
            <w:vAlign w:val="bottom"/>
          </w:tcPr>
          <w:p>
            <w:pPr>
              <w:spacing w:after="0"/>
              <w:rPr>
                <w:sz w:val="20"/>
                <w:szCs w:val="20"/>
                <w:color w:val="auto"/>
              </w:rPr>
            </w:pP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3"/>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linkbases document</w:t>
            </w:r>
          </w:p>
        </w:tc>
      </w:tr>
    </w:tbl>
    <w:p>
      <w:pPr>
        <w:spacing w:after="0" w:line="49" w:lineRule="exact"/>
        <w:rPr>
          <w:sz w:val="20"/>
          <w:szCs w:val="20"/>
          <w:color w:val="auto"/>
        </w:rPr>
      </w:pPr>
    </w:p>
    <w:p>
      <w:pPr>
        <w:ind w:left="640" w:hanging="558"/>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17" w:lineRule="exact"/>
        <w:rPr>
          <w:rFonts w:ascii="Times New Roman" w:cs="Times New Roman" w:eastAsia="Times New Roman" w:hAnsi="Times New Roman"/>
          <w:sz w:val="18"/>
          <w:szCs w:val="18"/>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7"/>
          <w:szCs w:val="17"/>
          <w:color w:val="auto"/>
        </w:rPr>
        <w:t>Furnished, not filed.</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2024</w:t>
            </w:r>
          </w:p>
        </w:tc>
        <w:tc>
          <w:tcPr>
            <w:tcW w:w="7800" w:type="dxa"/>
            <w:vAlign w:val="bottom"/>
            <w:gridSpan w:val="2"/>
          </w:tcPr>
          <w:p>
            <w:pPr>
              <w:ind w:left="2760"/>
              <w:spacing w:after="0"/>
              <w:rPr>
                <w:sz w:val="20"/>
                <w:szCs w:val="20"/>
                <w:color w:val="auto"/>
              </w:rPr>
            </w:pPr>
            <w:r>
              <w:rPr>
                <w:rFonts w:ascii="Times New Roman" w:cs="Times New Roman" w:eastAsia="Times New Roman" w:hAnsi="Times New Roman"/>
                <w:sz w:val="18"/>
                <w:szCs w:val="18"/>
                <w:b w:val="1"/>
                <w:bCs w:val="1"/>
                <w:color w:val="auto"/>
              </w:rPr>
              <w:t>REGENCY CENTERS CORPORATION</w:t>
            </w:r>
          </w:p>
        </w:tc>
      </w:tr>
      <w:tr>
        <w:trPr>
          <w:trHeight w:val="418"/>
        </w:trPr>
        <w:tc>
          <w:tcPr>
            <w:tcW w:w="3440" w:type="dxa"/>
            <w:vAlign w:val="bottom"/>
          </w:tcPr>
          <w:p>
            <w:pPr>
              <w:spacing w:after="0"/>
              <w:rPr>
                <w:sz w:val="24"/>
                <w:szCs w:val="24"/>
                <w:color w:val="auto"/>
              </w:rPr>
            </w:pPr>
          </w:p>
        </w:tc>
        <w:tc>
          <w:tcPr>
            <w:tcW w:w="33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Michael J. Mas</w:t>
            </w:r>
          </w:p>
        </w:tc>
      </w:tr>
      <w:tr>
        <w:trPr>
          <w:trHeight w:val="245"/>
        </w:trPr>
        <w:tc>
          <w:tcPr>
            <w:tcW w:w="34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J. Mas, Executive Vice President and Chief</w:t>
            </w:r>
          </w:p>
        </w:tc>
      </w:tr>
      <w:tr>
        <w:trPr>
          <w:trHeight w:val="234"/>
        </w:trPr>
        <w:tc>
          <w:tcPr>
            <w:tcW w:w="3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Officer (Principal Financial Officer)</w:t>
            </w:r>
          </w:p>
        </w:tc>
      </w:tr>
      <w:tr>
        <w:trPr>
          <w:trHeight w:val="499"/>
        </w:trPr>
        <w:tc>
          <w:tcPr>
            <w:tcW w:w="3440" w:type="dxa"/>
            <w:vAlign w:val="bottom"/>
          </w:tcPr>
          <w:p>
            <w:pPr>
              <w:spacing w:after="0"/>
              <w:rPr>
                <w:sz w:val="24"/>
                <w:szCs w:val="24"/>
                <w:color w:val="auto"/>
              </w:rPr>
            </w:pPr>
          </w:p>
        </w:tc>
        <w:tc>
          <w:tcPr>
            <w:tcW w:w="33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Terah L. Devereaux</w:t>
            </w:r>
          </w:p>
        </w:tc>
      </w:tr>
      <w:tr>
        <w:trPr>
          <w:trHeight w:val="245"/>
        </w:trPr>
        <w:tc>
          <w:tcPr>
            <w:tcW w:w="34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Terah L. Devereaux, Senior Vice President, Chief Accounting</w:t>
            </w:r>
          </w:p>
        </w:tc>
      </w:tr>
      <w:tr>
        <w:trPr>
          <w:trHeight w:val="234"/>
        </w:trPr>
        <w:tc>
          <w:tcPr>
            <w:tcW w:w="3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(Principal Accounting Officer)</w:t>
            </w:r>
          </w:p>
        </w:tc>
      </w:tr>
      <w:tr>
        <w:trPr>
          <w:trHeight w:val="446"/>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2024</w:t>
            </w:r>
          </w:p>
        </w:tc>
        <w:tc>
          <w:tcPr>
            <w:tcW w:w="7800" w:type="dxa"/>
            <w:vAlign w:val="bottom"/>
            <w:gridSpan w:val="2"/>
          </w:tcPr>
          <w:p>
            <w:pPr>
              <w:ind w:left="2760"/>
              <w:spacing w:after="0"/>
              <w:rPr>
                <w:sz w:val="20"/>
                <w:szCs w:val="20"/>
                <w:color w:val="auto"/>
              </w:rPr>
            </w:pPr>
            <w:r>
              <w:rPr>
                <w:rFonts w:ascii="Times New Roman" w:cs="Times New Roman" w:eastAsia="Times New Roman" w:hAnsi="Times New Roman"/>
                <w:sz w:val="18"/>
                <w:szCs w:val="18"/>
                <w:b w:val="1"/>
                <w:bCs w:val="1"/>
                <w:color w:val="auto"/>
              </w:rPr>
              <w:t>REGENCY CENTERS, L.P.</w:t>
            </w:r>
          </w:p>
        </w:tc>
      </w:tr>
      <w:tr>
        <w:trPr>
          <w:trHeight w:val="405"/>
        </w:trPr>
        <w:tc>
          <w:tcPr>
            <w:tcW w:w="3440" w:type="dxa"/>
            <w:vAlign w:val="bottom"/>
          </w:tcPr>
          <w:p>
            <w:pPr>
              <w:spacing w:after="0"/>
              <w:rPr>
                <w:sz w:val="24"/>
                <w:szCs w:val="24"/>
                <w:color w:val="auto"/>
              </w:rPr>
            </w:pPr>
          </w:p>
        </w:tc>
        <w:tc>
          <w:tcPr>
            <w:tcW w:w="33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Regency Centers Corporation, General Partner</w:t>
            </w:r>
          </w:p>
        </w:tc>
      </w:tr>
      <w:tr>
        <w:trPr>
          <w:trHeight w:val="499"/>
        </w:trPr>
        <w:tc>
          <w:tcPr>
            <w:tcW w:w="3440" w:type="dxa"/>
            <w:vAlign w:val="bottom"/>
          </w:tcPr>
          <w:p>
            <w:pPr>
              <w:spacing w:after="0"/>
              <w:rPr>
                <w:sz w:val="24"/>
                <w:szCs w:val="24"/>
                <w:color w:val="auto"/>
              </w:rPr>
            </w:pPr>
          </w:p>
        </w:tc>
        <w:tc>
          <w:tcPr>
            <w:tcW w:w="33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Michael J. Mas</w:t>
            </w:r>
          </w:p>
        </w:tc>
      </w:tr>
      <w:tr>
        <w:trPr>
          <w:trHeight w:val="245"/>
        </w:trPr>
        <w:tc>
          <w:tcPr>
            <w:tcW w:w="34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J. Mas, Executive Vice President and Chief</w:t>
            </w:r>
          </w:p>
        </w:tc>
      </w:tr>
      <w:tr>
        <w:trPr>
          <w:trHeight w:val="234"/>
        </w:trPr>
        <w:tc>
          <w:tcPr>
            <w:tcW w:w="3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Officer (Principal Financial Officer)</w:t>
            </w:r>
          </w:p>
        </w:tc>
      </w:tr>
      <w:tr>
        <w:trPr>
          <w:trHeight w:val="500"/>
        </w:trPr>
        <w:tc>
          <w:tcPr>
            <w:tcW w:w="3440" w:type="dxa"/>
            <w:vAlign w:val="bottom"/>
          </w:tcPr>
          <w:p>
            <w:pPr>
              <w:spacing w:after="0"/>
              <w:rPr>
                <w:sz w:val="24"/>
                <w:szCs w:val="24"/>
                <w:color w:val="auto"/>
              </w:rPr>
            </w:pPr>
          </w:p>
        </w:tc>
        <w:tc>
          <w:tcPr>
            <w:tcW w:w="33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Terah L. Devereaux</w:t>
            </w:r>
          </w:p>
        </w:tc>
      </w:tr>
      <w:tr>
        <w:trPr>
          <w:trHeight w:val="245"/>
        </w:trPr>
        <w:tc>
          <w:tcPr>
            <w:tcW w:w="344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Terah L. Devereaux, Senior Vice President, Chief Accounting</w:t>
            </w:r>
          </w:p>
        </w:tc>
      </w:tr>
      <w:tr>
        <w:trPr>
          <w:trHeight w:val="234"/>
        </w:trPr>
        <w:tc>
          <w:tcPr>
            <w:tcW w:w="34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 (Principal Accounting Officer)</w:t>
            </w:r>
          </w:p>
        </w:tc>
      </w:tr>
      <w:tr>
        <w:trPr>
          <w:trHeight w:val="662"/>
        </w:trPr>
        <w:tc>
          <w:tcPr>
            <w:tcW w:w="3440" w:type="dxa"/>
            <w:vAlign w:val="bottom"/>
          </w:tcPr>
          <w:p>
            <w:pPr>
              <w:spacing w:after="0"/>
              <w:rPr>
                <w:sz w:val="24"/>
                <w:szCs w:val="24"/>
                <w:color w:val="auto"/>
              </w:rPr>
            </w:pPr>
          </w:p>
        </w:tc>
        <w:tc>
          <w:tcPr>
            <w:tcW w:w="332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51</w:t>
            </w:r>
          </w:p>
        </w:tc>
        <w:tc>
          <w:tcPr>
            <w:tcW w:w="4480" w:type="dxa"/>
            <w:vAlign w:val="bottom"/>
          </w:tcPr>
          <w:p>
            <w:pPr>
              <w:spacing w:after="0"/>
              <w:rPr>
                <w:sz w:val="24"/>
                <w:szCs w:val="24"/>
                <w:color w:val="auto"/>
              </w:rPr>
            </w:pPr>
          </w:p>
        </w:tc>
      </w:tr>
      <w:tr>
        <w:trPr>
          <w:trHeight w:val="763"/>
        </w:trPr>
        <w:tc>
          <w:tcPr>
            <w:tcW w:w="34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and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15d-14(a) under the Securities Exchange Act of 1934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Lisa Palmer</w:t>
      </w:r>
      <w:r>
        <w:rPr>
          <w:rFonts w:ascii="Times New Roman" w:cs="Times New Roman" w:eastAsia="Times New Roman" w:hAnsi="Times New Roman"/>
          <w:sz w:val="18"/>
          <w:szCs w:val="18"/>
          <w:color w:val="auto"/>
        </w:rPr>
        <w:t>, certify that:</w:t>
      </w:r>
    </w:p>
    <w:p>
      <w:pPr>
        <w:spacing w:after="0" w:line="117" w:lineRule="exact"/>
        <w:rPr>
          <w:sz w:val="20"/>
          <w:szCs w:val="20"/>
          <w:color w:val="auto"/>
        </w:rPr>
      </w:pPr>
    </w:p>
    <w:p>
      <w:pPr>
        <w:ind w:left="520" w:hanging="512"/>
        <w:spacing w:after="0"/>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have reviewed this Quarterly Report on Form 10-Q of </w:t>
      </w:r>
      <w:r>
        <w:rPr>
          <w:rFonts w:ascii="Times New Roman" w:cs="Times New Roman" w:eastAsia="Times New Roman" w:hAnsi="Times New Roman"/>
          <w:sz w:val="18"/>
          <w:szCs w:val="18"/>
          <w:b w:val="1"/>
          <w:bCs w:val="1"/>
          <w:color w:val="auto"/>
        </w:rPr>
        <w:t>Regency Centers Corporation</w:t>
      </w:r>
      <w:r>
        <w:rPr>
          <w:rFonts w:ascii="Times New Roman" w:cs="Times New Roman" w:eastAsia="Times New Roman" w:hAnsi="Times New Roman"/>
          <w:sz w:val="18"/>
          <w:szCs w:val="18"/>
          <w:color w:val="auto"/>
        </w:rPr>
        <w:t xml:space="preserve"> ("registrant");</w:t>
      </w:r>
    </w:p>
    <w:p>
      <w:pPr>
        <w:spacing w:after="0" w:line="12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00" w:right="80" w:hanging="483"/>
        <w:spacing w:after="0" w:line="266" w:lineRule="auto"/>
        <w:tabs>
          <w:tab w:leader="none" w:pos="94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000" w:right="360" w:hanging="483"/>
        <w:spacing w:after="0" w:line="266" w:lineRule="auto"/>
        <w:tabs>
          <w:tab w:leader="none" w:pos="95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6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970" w:val="left"/>
        </w:tabs>
        <w:numPr>
          <w:ilvl w:val="2"/>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020" w:right="800" w:hanging="479"/>
        <w:spacing w:after="0" w:line="282" w:lineRule="auto"/>
        <w:tabs>
          <w:tab w:leader="none" w:pos="96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70"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Lisa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35153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Lisa Palmer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and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15d-14(a) under the Securities Exchange Act of 1934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Michael J. Mas,</w:t>
      </w:r>
      <w:r>
        <w:rPr>
          <w:rFonts w:ascii="Times New Roman" w:cs="Times New Roman" w:eastAsia="Times New Roman" w:hAnsi="Times New Roman"/>
          <w:sz w:val="18"/>
          <w:szCs w:val="18"/>
          <w:color w:val="auto"/>
        </w:rPr>
        <w:t xml:space="preserve"> certify that:</w:t>
      </w:r>
    </w:p>
    <w:p>
      <w:pPr>
        <w:spacing w:after="0" w:line="360"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have reviewed this Quarterly Report on Form 10-Q of </w:t>
      </w:r>
      <w:r>
        <w:rPr>
          <w:rFonts w:ascii="Times New Roman" w:cs="Times New Roman" w:eastAsia="Times New Roman" w:hAnsi="Times New Roman"/>
          <w:sz w:val="18"/>
          <w:szCs w:val="18"/>
          <w:b w:val="1"/>
          <w:bCs w:val="1"/>
          <w:color w:val="auto"/>
        </w:rPr>
        <w:t>Regency Centers Corporation</w:t>
      </w:r>
      <w:r>
        <w:rPr>
          <w:rFonts w:ascii="Times New Roman" w:cs="Times New Roman" w:eastAsia="Times New Roman" w:hAnsi="Times New Roman"/>
          <w:sz w:val="18"/>
          <w:szCs w:val="18"/>
          <w:color w:val="auto"/>
        </w:rPr>
        <w:t xml:space="preserve"> ("registrant");</w:t>
      </w:r>
    </w:p>
    <w:p>
      <w:pPr>
        <w:spacing w:after="0" w:line="12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00" w:right="80" w:hanging="483"/>
        <w:spacing w:after="0" w:line="266" w:lineRule="auto"/>
        <w:tabs>
          <w:tab w:leader="none" w:pos="94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000" w:right="360" w:hanging="483"/>
        <w:spacing w:after="0" w:line="266" w:lineRule="auto"/>
        <w:tabs>
          <w:tab w:leader="none" w:pos="956"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6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970" w:val="left"/>
        </w:tabs>
        <w:numPr>
          <w:ilvl w:val="2"/>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020" w:right="800" w:hanging="479"/>
        <w:spacing w:after="0" w:line="282" w:lineRule="auto"/>
        <w:tabs>
          <w:tab w:leader="none" w:pos="96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70"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Michael J.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35153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J. Mas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and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15d-14(a) under the Securities Exchange Act of 1934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Lisa Palmer</w:t>
      </w:r>
      <w:r>
        <w:rPr>
          <w:rFonts w:ascii="Times New Roman" w:cs="Times New Roman" w:eastAsia="Times New Roman" w:hAnsi="Times New Roman"/>
          <w:sz w:val="18"/>
          <w:szCs w:val="18"/>
          <w:color w:val="auto"/>
        </w:rPr>
        <w:t>, certify that:</w:t>
      </w:r>
    </w:p>
    <w:p>
      <w:pPr>
        <w:spacing w:after="0" w:line="117"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have reviewed this Quarterly Report on Form 10-Q of </w:t>
      </w:r>
      <w:r>
        <w:rPr>
          <w:rFonts w:ascii="Times New Roman" w:cs="Times New Roman" w:eastAsia="Times New Roman" w:hAnsi="Times New Roman"/>
          <w:sz w:val="18"/>
          <w:szCs w:val="18"/>
          <w:b w:val="1"/>
          <w:bCs w:val="1"/>
          <w:color w:val="auto"/>
        </w:rPr>
        <w:t>Regency Centers, L.P.</w:t>
      </w:r>
      <w:r>
        <w:rPr>
          <w:rFonts w:ascii="Times New Roman" w:cs="Times New Roman" w:eastAsia="Times New Roman" w:hAnsi="Times New Roman"/>
          <w:sz w:val="18"/>
          <w:szCs w:val="18"/>
          <w:color w:val="auto"/>
        </w:rPr>
        <w:t xml:space="preserve"> ("registrant");</w:t>
      </w:r>
    </w:p>
    <w:p>
      <w:pPr>
        <w:spacing w:after="0" w:line="12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00" w:right="80" w:hanging="483"/>
        <w:spacing w:after="0" w:line="266" w:lineRule="auto"/>
        <w:tabs>
          <w:tab w:leader="none" w:pos="94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000" w:right="360" w:hanging="483"/>
        <w:spacing w:after="0" w:line="266" w:lineRule="auto"/>
        <w:tabs>
          <w:tab w:leader="none" w:pos="95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6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970" w:val="left"/>
        </w:tabs>
        <w:numPr>
          <w:ilvl w:val="2"/>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020" w:right="800" w:hanging="479"/>
        <w:spacing w:after="0" w:line="282" w:lineRule="auto"/>
        <w:tabs>
          <w:tab w:leader="none" w:pos="96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70" w:val="left"/>
        </w:tabs>
        <w:numPr>
          <w:ilvl w:val="2"/>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Lisa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35153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Lisa Palmer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of Regency Centers Corporation,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partner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and Rule 13a-14(a)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 15d-14(a) under the Securities Exchange Act of 1934</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Michael J. Mas,</w:t>
      </w:r>
      <w:r>
        <w:rPr>
          <w:rFonts w:ascii="Times New Roman" w:cs="Times New Roman" w:eastAsia="Times New Roman" w:hAnsi="Times New Roman"/>
          <w:sz w:val="18"/>
          <w:szCs w:val="18"/>
          <w:color w:val="auto"/>
        </w:rPr>
        <w:t xml:space="preserve"> certify that:</w:t>
      </w:r>
    </w:p>
    <w:p>
      <w:pPr>
        <w:spacing w:after="0" w:line="117" w:lineRule="exact"/>
        <w:rPr>
          <w:sz w:val="20"/>
          <w:szCs w:val="20"/>
          <w:color w:val="auto"/>
        </w:rPr>
      </w:pPr>
    </w:p>
    <w:p>
      <w:pPr>
        <w:ind w:left="520" w:hanging="512"/>
        <w:spacing w:after="0"/>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have reviewed this Quarterly Report on Form 10-Q of </w:t>
      </w:r>
      <w:r>
        <w:rPr>
          <w:rFonts w:ascii="Times New Roman" w:cs="Times New Roman" w:eastAsia="Times New Roman" w:hAnsi="Times New Roman"/>
          <w:sz w:val="18"/>
          <w:szCs w:val="18"/>
          <w:b w:val="1"/>
          <w:bCs w:val="1"/>
          <w:color w:val="auto"/>
        </w:rPr>
        <w:t>Regency Centers, L.P.</w:t>
      </w:r>
      <w:r>
        <w:rPr>
          <w:rFonts w:ascii="Times New Roman" w:cs="Times New Roman" w:eastAsia="Times New Roman" w:hAnsi="Times New Roman"/>
          <w:sz w:val="18"/>
          <w:szCs w:val="18"/>
          <w:color w:val="auto"/>
        </w:rPr>
        <w:t xml:space="preserve"> ("registrant");</w:t>
      </w:r>
    </w:p>
    <w:p>
      <w:pPr>
        <w:spacing w:after="0" w:line="12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00" w:right="80" w:hanging="483"/>
        <w:spacing w:after="0" w:line="266" w:lineRule="auto"/>
        <w:tabs>
          <w:tab w:leader="none" w:pos="94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000" w:right="360" w:hanging="483"/>
        <w:spacing w:after="0" w:line="266" w:lineRule="auto"/>
        <w:tabs>
          <w:tab w:leader="none" w:pos="956"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6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97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020" w:right="800" w:hanging="479"/>
        <w:spacing w:after="0" w:line="282" w:lineRule="auto"/>
        <w:tabs>
          <w:tab w:leader="none" w:pos="96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97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Michael J.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35153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J. Mas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of Regency Centers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Corporation, general partner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14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 xml:space="preserve">Solely for the purposes of complying with 18 U.S.C. §1350, I, the undersigned Chief Executive Officer of </w:t>
      </w:r>
      <w:r>
        <w:rPr>
          <w:rFonts w:ascii="Times New Roman" w:cs="Times New Roman" w:eastAsia="Times New Roman" w:hAnsi="Times New Roman"/>
          <w:sz w:val="18"/>
          <w:szCs w:val="18"/>
          <w:b w:val="1"/>
          <w:bCs w:val="1"/>
          <w:color w:val="auto"/>
        </w:rPr>
        <w:t>Regency Centers Corporation</w:t>
      </w:r>
      <w:r>
        <w:rPr>
          <w:rFonts w:ascii="Times New Roman" w:cs="Times New Roman" w:eastAsia="Times New Roman" w:hAnsi="Times New Roman"/>
          <w:sz w:val="18"/>
          <w:szCs w:val="18"/>
          <w:color w:val="auto"/>
        </w:rPr>
        <w:t>, hereby certify, based on my knowledge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Quarterly Report on Form 10-Q of Regency Centers Corporation for the quarter ended September 30, 2024 (the "Report") fully complies with the requirements of Section 13(a) of the Securities Exchange Act of 1934 and that information contained in the Report fairly presents, in all material respects, the financial condition and results of operations of Regency Centers Corporation.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 Lisa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35153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Lisa Palmer</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14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 xml:space="preserve">Solely for the purposes of complying with 18 U.S.C. §1350, I, the undersigned Chief Financial Officer of </w:t>
      </w:r>
      <w:r>
        <w:rPr>
          <w:rFonts w:ascii="Times New Roman" w:cs="Times New Roman" w:eastAsia="Times New Roman" w:hAnsi="Times New Roman"/>
          <w:sz w:val="18"/>
          <w:szCs w:val="18"/>
          <w:b w:val="1"/>
          <w:bCs w:val="1"/>
          <w:color w:val="auto"/>
        </w:rPr>
        <w:t>Regency Centers Corporation</w:t>
      </w:r>
      <w:r>
        <w:rPr>
          <w:rFonts w:ascii="Times New Roman" w:cs="Times New Roman" w:eastAsia="Times New Roman" w:hAnsi="Times New Roman"/>
          <w:sz w:val="18"/>
          <w:szCs w:val="18"/>
          <w:color w:val="auto"/>
        </w:rPr>
        <w:t>, hereby certify, based on my knowledge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Quarterly Report on Form 10-Q of Regency Centers Corporation for the quarter ended September 30, 2024 (the "Report") fully complies with the requirements of Section 13(a) of the Securities Exchange Act of 1934 and that information contained in the Report fairly presents, in all material respects, the financial condition and results of operations of Regency Centers Corporation.</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 Michael J.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35153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Michael J. Mas</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32.3</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149"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 xml:space="preserve">Solely for the purposes of complying with 18 U.S.C. §1350, I, the undersigned Chief Executive Officer of </w:t>
      </w:r>
      <w:r>
        <w:rPr>
          <w:rFonts w:ascii="Times New Roman" w:cs="Times New Roman" w:eastAsia="Times New Roman" w:hAnsi="Times New Roman"/>
          <w:sz w:val="18"/>
          <w:szCs w:val="18"/>
          <w:b w:val="1"/>
          <w:bCs w:val="1"/>
          <w:color w:val="auto"/>
        </w:rPr>
        <w:t>Regency Centers, L.P.</w:t>
      </w:r>
      <w:r>
        <w:rPr>
          <w:rFonts w:ascii="Times New Roman" w:cs="Times New Roman" w:eastAsia="Times New Roman" w:hAnsi="Times New Roman"/>
          <w:sz w:val="18"/>
          <w:szCs w:val="18"/>
          <w:color w:val="auto"/>
        </w:rPr>
        <w:t>, hereby certify, based on my knowledge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Quarterly Report on Form 10-Q of Regency Centers, L.P. for the quarter ended September 30, 2024 (the "Report") fully complies with the requirements of Section 13(a) of the Securities Exchange Act of 1934 and that information contained in the Report fairly presents, in all material respects, the financial condition and results of operations of Regency Centers, L.P.</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Lisa Palmer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35153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Lisa Palmer</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of Regency Centers Corporation,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partner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32.4</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Written Statement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149"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color w:val="auto"/>
        </w:rPr>
        <w:t xml:space="preserve">Solely for the purposes of complying with 18 U.S.C. §1350, I, the undersigned Chief Financial Officer of </w:t>
      </w:r>
      <w:r>
        <w:rPr>
          <w:rFonts w:ascii="Times New Roman" w:cs="Times New Roman" w:eastAsia="Times New Roman" w:hAnsi="Times New Roman"/>
          <w:sz w:val="18"/>
          <w:szCs w:val="18"/>
          <w:b w:val="1"/>
          <w:bCs w:val="1"/>
          <w:color w:val="auto"/>
        </w:rPr>
        <w:t>Regency Centers, L.P.</w:t>
      </w:r>
      <w:r>
        <w:rPr>
          <w:rFonts w:ascii="Times New Roman" w:cs="Times New Roman" w:eastAsia="Times New Roman" w:hAnsi="Times New Roman"/>
          <w:sz w:val="18"/>
          <w:szCs w:val="18"/>
          <w:color w:val="auto"/>
        </w:rPr>
        <w:t>, hereby certify, based on my knowledge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Quarterly Report on Form 10-Q of Regency Centers, L.P. for the quarter ended September 30, 2024 (the "Report") fully complies with the requirements of Section 13(a) of the Securities Exchange Act of 1934 and that information contained in the Report fairly presents, in all material respects, the financial condition and results of operations of Regency Centers, L.P.</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 Michael J. Mas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335153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Michael J. Mas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 of Regency Centers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Corporation, general partner of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1030605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E884ADC"/>
    <w:multiLevelType w:val="hybridMultilevel"/>
    <w:lvl w:ilvl="0">
      <w:lvlJc w:val="left"/>
      <w:lvlText w:val="☒"/>
      <w:numFmt w:val="bullet"/>
      <w:start w:val="1"/>
    </w:lvl>
  </w:abstractNum>
  <w:abstractNum w:abstractNumId="1">
    <w:nsid w:val="51EAD36B"/>
    <w:multiLevelType w:val="hybridMultilevel"/>
    <w:lvl w:ilvl="0">
      <w:lvlJc w:val="left"/>
      <w:lvlText w:val="☐"/>
      <w:numFmt w:val="bullet"/>
      <w:start w:val="1"/>
    </w:lvl>
  </w:abstractNum>
  <w:abstractNum w:abstractNumId="2">
    <w:nsid w:val="2D517796"/>
    <w:multiLevelType w:val="hybridMultilevel"/>
    <w:lvl w:ilvl="0">
      <w:lvlJc w:val="left"/>
      <w:lvlText w:val="•"/>
      <w:numFmt w:val="bullet"/>
      <w:start w:val="1"/>
    </w:lvl>
  </w:abstractNum>
  <w:abstractNum w:abstractNumId="3">
    <w:nsid w:val="580BD78F"/>
    <w:multiLevelType w:val="hybridMultilevel"/>
    <w:lvl w:ilvl="0">
      <w:lvlJc w:val="left"/>
      <w:lvlText w:val="%1."/>
      <w:numFmt w:val="decimal"/>
      <w:start w:val="1"/>
    </w:lvl>
  </w:abstractNum>
  <w:abstractNum w:abstractNumId="4">
    <w:nsid w:val="153EA438"/>
    <w:multiLevelType w:val="hybridMultilevel"/>
    <w:lvl w:ilvl="0">
      <w:lvlJc w:val="left"/>
      <w:lvlText w:val="%1."/>
      <w:numFmt w:val="decimal"/>
      <w:start w:val="2"/>
    </w:lvl>
  </w:abstractNum>
  <w:abstractNum w:abstractNumId="5">
    <w:nsid w:val="3855585C"/>
    <w:multiLevelType w:val="hybridMultilevel"/>
    <w:lvl w:ilvl="0">
      <w:lvlJc w:val="left"/>
      <w:lvlText w:val="(%1)"/>
      <w:numFmt w:val="decimal"/>
      <w:start w:val="1"/>
    </w:lvl>
    <w:lvl w:ilvl="1">
      <w:lvlJc w:val="left"/>
      <w:lvlText w:val="%2."/>
      <w:numFmt w:val="decimal"/>
      <w:start w:val="3"/>
    </w:lvl>
  </w:abstractNum>
  <w:abstractNum w:abstractNumId="6">
    <w:nsid w:val="70A64E2A"/>
    <w:multiLevelType w:val="hybridMultilevel"/>
    <w:lvl w:ilvl="0">
      <w:lvlJc w:val="left"/>
      <w:lvlText w:val="%1."/>
      <w:numFmt w:val="decimal"/>
      <w:start w:val="4"/>
    </w:lvl>
  </w:abstractNum>
  <w:abstractNum w:abstractNumId="7">
    <w:nsid w:val="6A2342EC"/>
    <w:multiLevelType w:val="hybridMultilevel"/>
    <w:lvl w:ilvl="0">
      <w:lvlJc w:val="left"/>
      <w:lvlText w:val="%1"/>
      <w:numFmt w:val="decimal"/>
      <w:start w:val="1"/>
    </w:lvl>
    <w:lvl w:ilvl="1">
      <w:lvlJc w:val="left"/>
      <w:lvlText w:val="(%2)"/>
      <w:numFmt w:val="decimal"/>
      <w:start w:val="1"/>
    </w:lvl>
  </w:abstractNum>
  <w:abstractNum w:abstractNumId="8">
    <w:nsid w:val="2A487CB0"/>
    <w:multiLevelType w:val="hybridMultilevel"/>
    <w:lvl w:ilvl="0">
      <w:lvlJc w:val="left"/>
      <w:lvlText w:val="%1."/>
      <w:numFmt w:val="decimal"/>
      <w:start w:val="5"/>
    </w:lvl>
    <w:lvl w:ilvl="1">
      <w:lvlJc w:val="left"/>
      <w:lvlText w:val="%2"/>
      <w:numFmt w:val="decimal"/>
      <w:start w:val="1"/>
    </w:lvl>
  </w:abstractNum>
  <w:abstractNum w:abstractNumId="9">
    <w:nsid w:val="1D4ED43B"/>
    <w:multiLevelType w:val="hybridMultilevel"/>
    <w:lvl w:ilvl="0">
      <w:lvlJc w:val="left"/>
      <w:lvlText w:val="(%1)"/>
      <w:numFmt w:val="decimal"/>
      <w:start w:val="1"/>
    </w:lvl>
  </w:abstractNum>
  <w:abstractNum w:abstractNumId="10">
    <w:nsid w:val="725A06FB"/>
    <w:multiLevelType w:val="hybridMultilevel"/>
    <w:lvl w:ilvl="0">
      <w:lvlJc w:val="left"/>
      <w:lvlText w:val="(%1)"/>
      <w:numFmt w:val="decimal"/>
      <w:start w:val="1"/>
    </w:lvl>
  </w:abstractNum>
  <w:abstractNum w:abstractNumId="11">
    <w:nsid w:val="2CD89A32"/>
    <w:multiLevelType w:val="hybridMultilevel"/>
    <w:lvl w:ilvl="0">
      <w:lvlJc w:val="left"/>
      <w:lvlText w:val="%1."/>
      <w:numFmt w:val="decimal"/>
      <w:start w:val="6"/>
    </w:lvl>
  </w:abstractNum>
  <w:abstractNum w:abstractNumId="12">
    <w:nsid w:val="57E4CCAF"/>
    <w:multiLevelType w:val="hybridMultilevel"/>
    <w:lvl w:ilvl="0">
      <w:lvlJc w:val="left"/>
      <w:lvlText w:val="%1."/>
      <w:numFmt w:val="decimal"/>
      <w:start w:val="7"/>
    </w:lvl>
  </w:abstractNum>
  <w:abstractNum w:abstractNumId="13">
    <w:nsid w:val="7A6D8D3C"/>
    <w:multiLevelType w:val="hybridMultilevel"/>
    <w:lvl w:ilvl="0">
      <w:lvlJc w:val="left"/>
      <w:lvlText w:val="•"/>
      <w:numFmt w:val="bullet"/>
      <w:start w:val="1"/>
    </w:lvl>
  </w:abstractNum>
  <w:abstractNum w:abstractNumId="14">
    <w:nsid w:val="4B588F54"/>
    <w:multiLevelType w:val="hybridMultilevel"/>
    <w:lvl w:ilvl="0">
      <w:lvlJc w:val="left"/>
      <w:lvlText w:val="(%1)"/>
      <w:numFmt w:val="decimal"/>
      <w:start w:val="1"/>
    </w:lvl>
  </w:abstractNum>
  <w:abstractNum w:abstractNumId="15">
    <w:nsid w:val="542289EC"/>
    <w:multiLevelType w:val="hybridMultilevel"/>
    <w:lvl w:ilvl="0">
      <w:lvlJc w:val="left"/>
      <w:lvlText w:val="%1."/>
      <w:numFmt w:val="decimal"/>
      <w:start w:val="8"/>
    </w:lvl>
  </w:abstractNum>
  <w:abstractNum w:abstractNumId="16">
    <w:nsid w:val="6DE91B18"/>
    <w:multiLevelType w:val="hybridMultilevel"/>
    <w:lvl w:ilvl="0">
      <w:lvlJc w:val="left"/>
      <w:lvlText w:val="(%1)"/>
      <w:numFmt w:val="decimal"/>
      <w:start w:val="1"/>
    </w:lvl>
  </w:abstractNum>
  <w:abstractNum w:abstractNumId="17">
    <w:nsid w:val="38437FDB"/>
    <w:multiLevelType w:val="hybridMultilevel"/>
    <w:lvl w:ilvl="0">
      <w:lvlJc w:val="left"/>
      <w:lvlText w:val="%1."/>
      <w:numFmt w:val="decimal"/>
      <w:start w:val="9"/>
    </w:lvl>
  </w:abstractNum>
  <w:abstractNum w:abstractNumId="18">
    <w:nsid w:val="7644A45C"/>
    <w:multiLevelType w:val="hybridMultilevel"/>
    <w:lvl w:ilvl="0">
      <w:lvlJc w:val="left"/>
      <w:lvlText w:val="•"/>
      <w:numFmt w:val="bullet"/>
      <w:start w:val="1"/>
    </w:lvl>
  </w:abstractNum>
  <w:abstractNum w:abstractNumId="19">
    <w:nsid w:val="32FFF902"/>
    <w:multiLevelType w:val="hybridMultilevel"/>
    <w:lvl w:ilvl="0">
      <w:lvlJc w:val="left"/>
      <w:lvlText w:val="•"/>
      <w:numFmt w:val="bullet"/>
      <w:start w:val="1"/>
    </w:lvl>
  </w:abstractNum>
  <w:abstractNum w:abstractNumId="20">
    <w:nsid w:val="684A481A"/>
    <w:multiLevelType w:val="hybridMultilevel"/>
    <w:lvl w:ilvl="0">
      <w:lvlJc w:val="left"/>
      <w:lvlText w:val="o"/>
      <w:numFmt w:val="bullet"/>
      <w:start w:val="1"/>
    </w:lvl>
  </w:abstractNum>
  <w:abstractNum w:abstractNumId="21">
    <w:nsid w:val="579478FE"/>
    <w:multiLevelType w:val="hybridMultilevel"/>
    <w:lvl w:ilvl="0">
      <w:lvlJc w:val="left"/>
      <w:lvlText w:val="•"/>
      <w:numFmt w:val="bullet"/>
      <w:start w:val="1"/>
    </w:lvl>
  </w:abstractNum>
  <w:abstractNum w:abstractNumId="22">
    <w:nsid w:val="749ABB43"/>
    <w:multiLevelType w:val="hybridMultilevel"/>
    <w:lvl w:ilvl="0">
      <w:lvlJc w:val="left"/>
      <w:lvlText w:val="•"/>
      <w:numFmt w:val="bullet"/>
      <w:start w:val="1"/>
    </w:lvl>
  </w:abstractNum>
  <w:abstractNum w:abstractNumId="23">
    <w:nsid w:val="3DC240FB"/>
    <w:multiLevelType w:val="hybridMultilevel"/>
    <w:lvl w:ilvl="0">
      <w:lvlJc w:val="left"/>
      <w:lvlText w:val="•"/>
      <w:numFmt w:val="bullet"/>
      <w:start w:val="1"/>
    </w:lvl>
  </w:abstractNum>
  <w:abstractNum w:abstractNumId="24">
    <w:nsid w:val="1BA026FA"/>
    <w:multiLevelType w:val="hybridMultilevel"/>
    <w:lvl w:ilvl="0">
      <w:lvlJc w:val="left"/>
      <w:lvlText w:val="•"/>
      <w:numFmt w:val="bullet"/>
      <w:start w:val="1"/>
    </w:lvl>
  </w:abstractNum>
  <w:abstractNum w:abstractNumId="25">
    <w:nsid w:val="79A1DEAA"/>
    <w:multiLevelType w:val="hybridMultilevel"/>
    <w:lvl w:ilvl="0">
      <w:lvlJc w:val="left"/>
      <w:lvlText w:val="•"/>
      <w:numFmt w:val="bullet"/>
      <w:start w:val="1"/>
    </w:lvl>
  </w:abstractNum>
  <w:abstractNum w:abstractNumId="26">
    <w:nsid w:val="75C6C33A"/>
    <w:multiLevelType w:val="hybridMultilevel"/>
    <w:lvl w:ilvl="0">
      <w:lvlJc w:val="left"/>
      <w:lvlText w:val="•"/>
      <w:numFmt w:val="bullet"/>
      <w:start w:val="1"/>
    </w:lvl>
  </w:abstractNum>
  <w:abstractNum w:abstractNumId="27">
    <w:nsid w:val="12E685FB"/>
    <w:multiLevelType w:val="hybridMultilevel"/>
    <w:lvl w:ilvl="0">
      <w:lvlJc w:val="left"/>
      <w:lvlText w:val="•"/>
      <w:numFmt w:val="bullet"/>
      <w:start w:val="1"/>
    </w:lvl>
  </w:abstractNum>
  <w:abstractNum w:abstractNumId="28">
    <w:nsid w:val="70C6A529"/>
    <w:multiLevelType w:val="hybridMultilevel"/>
    <w:lvl w:ilvl="0">
      <w:lvlJc w:val="left"/>
      <w:lvlText w:val="(%1)"/>
      <w:numFmt w:val="decimal"/>
      <w:start w:val="1"/>
    </w:lvl>
  </w:abstractNum>
  <w:abstractNum w:abstractNumId="29">
    <w:nsid w:val="520EEDD1"/>
    <w:multiLevelType w:val="hybridMultilevel"/>
    <w:lvl w:ilvl="0">
      <w:lvlJc w:val="left"/>
      <w:lvlText w:val="•"/>
      <w:numFmt w:val="bullet"/>
      <w:start w:val="1"/>
    </w:lvl>
    <w:lvl w:ilvl="1">
      <w:lvlJc w:val="left"/>
      <w:lvlText w:val="▪"/>
      <w:numFmt w:val="bullet"/>
      <w:start w:val="1"/>
    </w:lvl>
  </w:abstractNum>
  <w:abstractNum w:abstractNumId="30">
    <w:nsid w:val="374A3FE6"/>
    <w:multiLevelType w:val="hybridMultilevel"/>
    <w:lvl w:ilvl="0">
      <w:lvlJc w:val="left"/>
      <w:lvlText w:val="•"/>
      <w:numFmt w:val="bullet"/>
      <w:start w:val="1"/>
    </w:lvl>
    <w:lvl w:ilvl="1">
      <w:lvlJc w:val="left"/>
      <w:lvlText w:val="o"/>
      <w:numFmt w:val="bullet"/>
      <w:start w:val="1"/>
    </w:lvl>
  </w:abstractNum>
  <w:abstractNum w:abstractNumId="31">
    <w:nsid w:val="4F4EF005"/>
    <w:multiLevelType w:val="hybridMultilevel"/>
    <w:lvl w:ilvl="0">
      <w:lvlJc w:val="left"/>
      <w:lvlText w:val="•"/>
      <w:numFmt w:val="bullet"/>
      <w:start w:val="1"/>
    </w:lvl>
  </w:abstractNum>
  <w:abstractNum w:abstractNumId="32">
    <w:nsid w:val="23F9C13C"/>
    <w:multiLevelType w:val="hybridMultilevel"/>
    <w:lvl w:ilvl="0">
      <w:lvlJc w:val="left"/>
      <w:lvlText w:val="•"/>
      <w:numFmt w:val="bullet"/>
      <w:start w:val="1"/>
    </w:lvl>
  </w:abstractNum>
  <w:abstractNum w:abstractNumId="33">
    <w:nsid w:val="649BB77C"/>
    <w:multiLevelType w:val="hybridMultilevel"/>
    <w:lvl w:ilvl="0">
      <w:lvlJc w:val="left"/>
      <w:lvlText w:val="•"/>
      <w:numFmt w:val="bullet"/>
      <w:start w:val="1"/>
    </w:lvl>
  </w:abstractNum>
  <w:abstractNum w:abstractNumId="34">
    <w:nsid w:val="275AC794"/>
    <w:multiLevelType w:val="hybridMultilevel"/>
    <w:lvl w:ilvl="0">
      <w:lvlJc w:val="left"/>
      <w:lvlText w:val="•"/>
      <w:numFmt w:val="bullet"/>
      <w:start w:val="1"/>
    </w:lvl>
  </w:abstractNum>
  <w:abstractNum w:abstractNumId="35">
    <w:nsid w:val="39386575"/>
    <w:multiLevelType w:val="hybridMultilevel"/>
    <w:lvl w:ilvl="0">
      <w:lvlJc w:val="left"/>
      <w:lvlText w:val="•"/>
      <w:numFmt w:val="bullet"/>
      <w:start w:val="1"/>
    </w:lvl>
    <w:lvl w:ilvl="1">
      <w:lvlJc w:val="left"/>
      <w:lvlText w:val="▪"/>
      <w:numFmt w:val="bullet"/>
      <w:start w:val="1"/>
    </w:lvl>
  </w:abstractNum>
  <w:abstractNum w:abstractNumId="36">
    <w:nsid w:val="1CF10FD8"/>
    <w:multiLevelType w:val="hybridMultilevel"/>
    <w:lvl w:ilvl="0">
      <w:lvlJc w:val="left"/>
      <w:lvlText w:val="o"/>
      <w:numFmt w:val="bullet"/>
      <w:start w:val="1"/>
    </w:lvl>
  </w:abstractNum>
  <w:abstractNum w:abstractNumId="37">
    <w:nsid w:val="180115BE"/>
    <w:multiLevelType w:val="hybridMultilevel"/>
    <w:lvl w:ilvl="0">
      <w:lvlJc w:val="left"/>
      <w:lvlText w:val="•"/>
      <w:numFmt w:val="bullet"/>
      <w:start w:val="1"/>
    </w:lvl>
    <w:lvl w:ilvl="1">
      <w:lvlJc w:val="left"/>
      <w:lvlText w:val="o"/>
      <w:numFmt w:val="bullet"/>
      <w:start w:val="1"/>
    </w:lvl>
  </w:abstractNum>
  <w:abstractNum w:abstractNumId="38">
    <w:nsid w:val="235BA861"/>
    <w:multiLevelType w:val="hybridMultilevel"/>
    <w:lvl w:ilvl="0">
      <w:lvlJc w:val="left"/>
      <w:lvlText w:val="•"/>
      <w:numFmt w:val="bullet"/>
      <w:start w:val="1"/>
    </w:lvl>
  </w:abstractNum>
  <w:abstractNum w:abstractNumId="39">
    <w:nsid w:val="47398C89"/>
    <w:multiLevelType w:val="hybridMultilevel"/>
    <w:lvl w:ilvl="0">
      <w:lvlJc w:val="left"/>
      <w:lvlText w:val="•"/>
      <w:numFmt w:val="bullet"/>
      <w:start w:val="1"/>
    </w:lvl>
  </w:abstractNum>
  <w:abstractNum w:abstractNumId="40">
    <w:nsid w:val="354FE9F9"/>
    <w:multiLevelType w:val="hybridMultilevel"/>
    <w:lvl w:ilvl="0">
      <w:lvlJc w:val="left"/>
      <w:lvlText w:val="•"/>
      <w:numFmt w:val="bullet"/>
      <w:start w:val="1"/>
    </w:lvl>
  </w:abstractNum>
  <w:abstractNum w:abstractNumId="41">
    <w:nsid w:val="15B5AF5C"/>
    <w:multiLevelType w:val="hybridMultilevel"/>
    <w:lvl w:ilvl="0">
      <w:lvlJc w:val="left"/>
      <w:lvlText w:val="•"/>
      <w:numFmt w:val="bullet"/>
      <w:start w:val="1"/>
    </w:lvl>
  </w:abstractNum>
  <w:abstractNum w:abstractNumId="42">
    <w:nsid w:val="741226BB"/>
    <w:multiLevelType w:val="hybridMultilevel"/>
    <w:lvl w:ilvl="0">
      <w:lvlJc w:val="left"/>
      <w:lvlText w:val="•"/>
      <w:numFmt w:val="bullet"/>
      <w:start w:val="1"/>
    </w:lvl>
  </w:abstractNum>
  <w:abstractNum w:abstractNumId="43">
    <w:nsid w:val="D34B6A8"/>
    <w:multiLevelType w:val="hybridMultilevel"/>
    <w:lvl w:ilvl="0">
      <w:lvlJc w:val="left"/>
      <w:lvlText w:val="•"/>
      <w:numFmt w:val="bullet"/>
      <w:start w:val="1"/>
    </w:lvl>
  </w:abstractNum>
  <w:abstractNum w:abstractNumId="44">
    <w:nsid w:val="10233C99"/>
    <w:multiLevelType w:val="hybridMultilevel"/>
    <w:lvl w:ilvl="0">
      <w:lvlJc w:val="left"/>
      <w:lvlText w:val="•"/>
      <w:numFmt w:val="bullet"/>
      <w:start w:val="1"/>
    </w:lvl>
  </w:abstractNum>
  <w:abstractNum w:abstractNumId="45">
    <w:nsid w:val="3F6AB60F"/>
    <w:multiLevelType w:val="hybridMultilevel"/>
    <w:lvl w:ilvl="0">
      <w:lvlJc w:val="left"/>
      <w:lvlText w:val="(%1)"/>
      <w:numFmt w:val="decimal"/>
      <w:start w:val="1"/>
    </w:lvl>
  </w:abstractNum>
  <w:abstractNum w:abstractNumId="46">
    <w:nsid w:val="61574095"/>
    <w:multiLevelType w:val="hybridMultilevel"/>
    <w:lvl w:ilvl="0">
      <w:lvlJc w:val="left"/>
      <w:lvlText w:val="(%1)"/>
      <w:numFmt w:val="decimal"/>
      <w:start w:val="1"/>
    </w:lvl>
  </w:abstractNum>
  <w:abstractNum w:abstractNumId="47">
    <w:nsid w:val="7E0C57B1"/>
    <w:multiLevelType w:val="hybridMultilevel"/>
    <w:lvl w:ilvl="0">
      <w:lvlJc w:val="left"/>
      <w:lvlText w:val="(%1)"/>
      <w:numFmt w:val="decimal"/>
      <w:start w:val="1"/>
    </w:lvl>
  </w:abstractNum>
  <w:abstractNum w:abstractNumId="48">
    <w:nsid w:val="77AE35EB"/>
    <w:multiLevelType w:val="hybridMultilevel"/>
    <w:lvl w:ilvl="0">
      <w:lvlJc w:val="left"/>
      <w:lvlText w:val="•"/>
      <w:numFmt w:val="bullet"/>
      <w:start w:val="1"/>
    </w:lvl>
  </w:abstractNum>
  <w:abstractNum w:abstractNumId="49">
    <w:nsid w:val="579BE4F1"/>
    <w:multiLevelType w:val="hybridMultilevel"/>
    <w:lvl w:ilvl="0">
      <w:lvlJc w:val="left"/>
      <w:lvlText w:val="•"/>
      <w:numFmt w:val="bullet"/>
      <w:start w:val="1"/>
    </w:lvl>
  </w:abstractNum>
  <w:abstractNum w:abstractNumId="50">
    <w:nsid w:val="310C50B3"/>
    <w:multiLevelType w:val="hybridMultilevel"/>
    <w:lvl w:ilvl="0">
      <w:lvlJc w:val="left"/>
      <w:lvlText w:val="•"/>
      <w:numFmt w:val="bullet"/>
      <w:start w:val="1"/>
    </w:lvl>
  </w:abstractNum>
  <w:abstractNum w:abstractNumId="51">
    <w:nsid w:val="5FF87E05"/>
    <w:multiLevelType w:val="hybridMultilevel"/>
    <w:lvl w:ilvl="0">
      <w:lvlJc w:val="left"/>
      <w:lvlText w:val="•"/>
      <w:numFmt w:val="bullet"/>
      <w:start w:val="1"/>
    </w:lvl>
    <w:lvl w:ilvl="1">
      <w:lvlJc w:val="left"/>
      <w:lvlText w:val="o"/>
      <w:numFmt w:val="bullet"/>
      <w:start w:val="1"/>
    </w:lvl>
  </w:abstractNum>
  <w:abstractNum w:abstractNumId="52">
    <w:nsid w:val="2F305DEF"/>
    <w:multiLevelType w:val="hybridMultilevel"/>
    <w:lvl w:ilvl="0">
      <w:lvlJc w:val="left"/>
      <w:lvlText w:val="•"/>
      <w:numFmt w:val="bullet"/>
      <w:start w:val="1"/>
    </w:lvl>
  </w:abstractNum>
  <w:abstractNum w:abstractNumId="53">
    <w:nsid w:val="25A70BF7"/>
    <w:multiLevelType w:val="hybridMultilevel"/>
    <w:lvl w:ilvl="0">
      <w:lvlJc w:val="left"/>
      <w:lvlText w:val="(%1)"/>
      <w:numFmt w:val="decimal"/>
      <w:start w:val="1"/>
    </w:lvl>
  </w:abstractNum>
  <w:abstractNum w:abstractNumId="54">
    <w:nsid w:val="1DBABF00"/>
    <w:multiLevelType w:val="hybridMultilevel"/>
    <w:lvl w:ilvl="0">
      <w:lvlJc w:val="left"/>
      <w:lvlText w:val="(%1)"/>
      <w:numFmt w:val="decimal"/>
      <w:start w:val="1"/>
    </w:lvl>
  </w:abstractNum>
  <w:abstractNum w:abstractNumId="55">
    <w:nsid w:val="4AD084E9"/>
    <w:multiLevelType w:val="hybridMultilevel"/>
    <w:lvl w:ilvl="0">
      <w:lvlJc w:val="left"/>
      <w:lvlText w:val="•"/>
      <w:numFmt w:val="bullet"/>
      <w:start w:val="1"/>
    </w:lvl>
  </w:abstractNum>
  <w:abstractNum w:abstractNumId="56">
    <w:nsid w:val="1F48EAA1"/>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57">
    <w:nsid w:val="1381823A"/>
    <w:multiLevelType w:val="hybridMultilevel"/>
    <w:lvl w:ilvl="0">
      <w:lvlJc w:val="left"/>
      <w:lvlText w:val="(%1)"/>
      <w:numFmt w:val="decimal"/>
      <w:start w:val="1"/>
    </w:lvl>
  </w:abstractNum>
  <w:abstractNum w:abstractNumId="58">
    <w:nsid w:val="5DB70AE5"/>
    <w:multiLevelType w:val="hybridMultilevel"/>
    <w:lvl w:ilvl="0">
      <w:lvlJc w:val="left"/>
      <w:lvlText w:val="(%1)"/>
      <w:numFmt w:val="decimal"/>
      <w:start w:val="1"/>
    </w:lvl>
  </w:abstractNum>
  <w:abstractNum w:abstractNumId="59">
    <w:nsid w:val="100F8FCA"/>
    <w:multiLevelType w:val="hybridMultilevel"/>
    <w:lvl w:ilvl="0">
      <w:lvlJc w:val="left"/>
      <w:lvlText w:val="(%1)"/>
      <w:numFmt w:val="decimal"/>
      <w:start w:val="1"/>
    </w:lvl>
  </w:abstractNum>
  <w:abstractNum w:abstractNumId="60">
    <w:nsid w:val="6590700B"/>
    <w:multiLevelType w:val="hybridMultilevel"/>
    <w:lvl w:ilvl="0">
      <w:lvlJc w:val="left"/>
      <w:lvlText w:val="•"/>
      <w:numFmt w:val="bullet"/>
      <w:start w:val="1"/>
    </w:lvl>
  </w:abstractNum>
  <w:abstractNum w:abstractNumId="61">
    <w:nsid w:val="15014ACB"/>
    <w:multiLevelType w:val="hybridMultilevel"/>
    <w:lvl w:ilvl="0">
      <w:lvlJc w:val="left"/>
      <w:lvlText w:val="(%1)"/>
      <w:numFmt w:val="decimal"/>
      <w:start w:val="1"/>
    </w:lvl>
  </w:abstractNum>
  <w:abstractNum w:abstractNumId="62">
    <w:nsid w:val="5F5E7FD0"/>
    <w:multiLevelType w:val="hybridMultilevel"/>
    <w:lvl w:ilvl="0">
      <w:lvlJc w:val="left"/>
      <w:lvlText w:val="(%1)"/>
      <w:numFmt w:val="decimal"/>
      <w:start w:val="1"/>
    </w:lvl>
  </w:abstractNum>
  <w:abstractNum w:abstractNumId="63">
    <w:nsid w:val="98A3148"/>
    <w:multiLevelType w:val="hybridMultilevel"/>
    <w:lvl w:ilvl="0">
      <w:lvlJc w:val="left"/>
      <w:lvlText w:val="•"/>
      <w:numFmt w:val="bullet"/>
      <w:start w:val="1"/>
    </w:lvl>
  </w:abstractNum>
  <w:abstractNum w:abstractNumId="64">
    <w:nsid w:val="799D0247"/>
    <w:multiLevelType w:val="hybridMultilevel"/>
    <w:lvl w:ilvl="0">
      <w:lvlJc w:val="left"/>
      <w:lvlText w:val="%1."/>
      <w:numFmt w:val="decimal"/>
      <w:start w:val="4"/>
    </w:lvl>
  </w:abstractNum>
  <w:abstractNum w:abstractNumId="65">
    <w:nsid w:val="6B94764"/>
    <w:multiLevelType w:val="hybridMultilevel"/>
    <w:lvl w:ilvl="0">
      <w:lvlJc w:val="left"/>
      <w:lvlText w:val="%1."/>
      <w:numFmt w:val="decimal"/>
      <w:start w:val="31"/>
    </w:lvl>
  </w:abstractNum>
  <w:abstractNum w:abstractNumId="66">
    <w:nsid w:val="42C296BD"/>
    <w:multiLevelType w:val="hybridMultilevel"/>
    <w:lvl w:ilvl="0">
      <w:lvlJc w:val="left"/>
      <w:lvlText w:val="%1."/>
      <w:numFmt w:val="decimal"/>
      <w:start w:val="32"/>
    </w:lvl>
  </w:abstractNum>
  <w:abstractNum w:abstractNumId="67">
    <w:nsid w:val="168E121F"/>
    <w:multiLevelType w:val="hybridMultilevel"/>
    <w:lvl w:ilvl="0">
      <w:lvlJc w:val="left"/>
      <w:lvlText w:val="%1."/>
      <w:numFmt w:val="decimal"/>
      <w:start w:val="101"/>
    </w:lvl>
  </w:abstractNum>
  <w:abstractNum w:abstractNumId="68">
    <w:nsid w:val="1EBA5D23"/>
    <w:multiLevelType w:val="hybridMultilevel"/>
    <w:lvl w:ilvl="0">
      <w:lvlJc w:val="left"/>
      <w:lvlText w:val="%1."/>
      <w:numFmt w:val="decimal"/>
      <w:start w:val="104"/>
    </w:lvl>
  </w:abstractNum>
  <w:abstractNum w:abstractNumId="69">
    <w:nsid w:val="661E3F1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70">
    <w:nsid w:val="5DC79E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1">
    <w:nsid w:val="540A471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72">
    <w:nsid w:val="7BD3EE7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3">
    <w:nsid w:val="51D9C5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74">
    <w:nsid w:val="613EFDC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5">
    <w:nsid w:val="BF72B1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76">
    <w:nsid w:val="11447B7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6" Type="http://schemas.openxmlformats.org/officeDocument/2006/relationships/image" Target="media/image517.png"/><Relationship Id="rId527" Type="http://schemas.openxmlformats.org/officeDocument/2006/relationships/image" Target="media/image518.png"/><Relationship Id="rId528" Type="http://schemas.openxmlformats.org/officeDocument/2006/relationships/image" Target="media/image519.png"/><Relationship Id="rId529" Type="http://schemas.openxmlformats.org/officeDocument/2006/relationships/image" Target="media/image520.png"/><Relationship Id="rId530" Type="http://schemas.openxmlformats.org/officeDocument/2006/relationships/image" Target="media/image521.png"/><Relationship Id="rId531" Type="http://schemas.openxmlformats.org/officeDocument/2006/relationships/image" Target="media/image522.png"/><Relationship Id="rId532" Type="http://schemas.openxmlformats.org/officeDocument/2006/relationships/image" Target="media/image523.png"/><Relationship Id="rId533" Type="http://schemas.openxmlformats.org/officeDocument/2006/relationships/image" Target="media/image524.png"/><Relationship Id="rId534" Type="http://schemas.openxmlformats.org/officeDocument/2006/relationships/image" Target="media/image525.png"/><Relationship Id="rId535" Type="http://schemas.openxmlformats.org/officeDocument/2006/relationships/image" Target="media/image526.png"/><Relationship Id="rId536" Type="http://schemas.openxmlformats.org/officeDocument/2006/relationships/image" Target="media/image527.png"/><Relationship Id="rId537" Type="http://schemas.openxmlformats.org/officeDocument/2006/relationships/image" Target="media/image528.png"/><Relationship Id="rId538" Type="http://schemas.openxmlformats.org/officeDocument/2006/relationships/image" Target="media/image529.png"/><Relationship Id="rId539" Type="http://schemas.openxmlformats.org/officeDocument/2006/relationships/image" Target="media/image530.png"/><Relationship Id="rId540" Type="http://schemas.openxmlformats.org/officeDocument/2006/relationships/image" Target="media/image531.png"/><Relationship Id="rId541" Type="http://schemas.openxmlformats.org/officeDocument/2006/relationships/image" Target="media/image532.png"/><Relationship Id="rId542" Type="http://schemas.openxmlformats.org/officeDocument/2006/relationships/image" Target="media/image533.png"/><Relationship Id="rId543" Type="http://schemas.openxmlformats.org/officeDocument/2006/relationships/image" Target="media/image534.png"/><Relationship Id="rId544" Type="http://schemas.openxmlformats.org/officeDocument/2006/relationships/image" Target="media/image535.png"/><Relationship Id="rId545" Type="http://schemas.openxmlformats.org/officeDocument/2006/relationships/image" Target="media/image536.png"/><Relationship Id="rId546" Type="http://schemas.openxmlformats.org/officeDocument/2006/relationships/image" Target="media/image537.png"/><Relationship Id="rId547" Type="http://schemas.openxmlformats.org/officeDocument/2006/relationships/image" Target="media/image538.png"/><Relationship Id="rId548" Type="http://schemas.openxmlformats.org/officeDocument/2006/relationships/image" Target="media/image539.png"/><Relationship Id="rId549" Type="http://schemas.openxmlformats.org/officeDocument/2006/relationships/image" Target="media/image540.png"/><Relationship Id="rId550" Type="http://schemas.openxmlformats.org/officeDocument/2006/relationships/image" Target="media/image541.png"/><Relationship Id="rId551" Type="http://schemas.openxmlformats.org/officeDocument/2006/relationships/image" Target="media/image542.png"/><Relationship Id="rId552" Type="http://schemas.openxmlformats.org/officeDocument/2006/relationships/image" Target="media/image543.png"/><Relationship Id="rId524" Type="http://schemas.openxmlformats.org/officeDocument/2006/relationships/hyperlink" Target="https://www.sec.gov/Archives/edgar/data/910606/000095017024082645/reg-ex4_1.htm" TargetMode="External"/><Relationship Id="rId525" Type="http://schemas.openxmlformats.org/officeDocument/2006/relationships/hyperlink" Target="https://www.sec.gov/Archives/edgar/data/910606/000119312524201320/d87411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2024-11-01T14:52:09Z</dcterms:created>
  <dcterms:modified xsi:type="dcterms:W3CDTF">2024-11-01T14:52:09Z</dcterms:modified>
</cp:coreProperties>
</file>