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FURPHY THOMAS W</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REGENCY CENTERS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tcBorders>
              <w:bottom w:val="single" w:sz="8" w:color="0000EE"/>
            </w:tcBorders>
            <w:gridSpan w:val="2"/>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1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REGENCY CENTERS CORPORATION</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INDEPENDENT DRIVE SUITE 1300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14,245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71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14,316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1,736</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0000FF"/>
              </w:rPr>
              <w:t>1,736</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71</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grant pursuant to Regency's Omnibus Incentive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restrictive stock. The rights accrued when and as dividends were paid on Regency's common stock and vested proportionately with the restricted stock. Each dividend equivalent is the equivalent of one share of Regency's common stock.</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/s/Michael R. Herman</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4266"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2026-05-12T09:17:28Z</dcterms:created>
  <dcterms:modified xsi:type="dcterms:W3CDTF">2026-05-12T09:17:28Z</dcterms:modified>
</cp:coreProperties>
</file>