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June 2, 2025</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REGENCY CENTERS CORPORATION</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REGENCY CENTERS, L.P.</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55880</wp:posOffset>
            </wp:positionV>
            <wp:extent cx="1011555"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tbl>
      <w:tblPr>
        <w:tblLayout w:type="fixed"/>
        <w:tblInd w:w="500" w:type="dxa"/>
        <w:tblCellMar>
          <w:top w:w="0" w:type="dxa"/>
          <w:left w:w="0" w:type="dxa"/>
          <w:bottom w:w="0" w:type="dxa"/>
          <w:right w:w="0" w:type="dxa"/>
        </w:tblCellMar>
      </w:tblPr>
      <w:tr>
        <w:trPr>
          <w:trHeight w:val="202"/>
        </w:trPr>
        <w:tc>
          <w:tcPr>
            <w:tcW w:w="3200" w:type="dxa"/>
            <w:vAlign w:val="bottom"/>
          </w:tcPr>
          <w:p>
            <w:pPr>
              <w:jc w:val="center"/>
              <w:ind w:right="382"/>
              <w:spacing w:after="0"/>
              <w:rPr>
                <w:sz w:val="20"/>
                <w:szCs w:val="20"/>
                <w:color w:val="auto"/>
              </w:rPr>
            </w:pPr>
            <w:r>
              <w:rPr>
                <w:rFonts w:ascii="Times New Roman" w:cs="Times New Roman" w:eastAsia="Times New Roman" w:hAnsi="Times New Roman"/>
                <w:sz w:val="16"/>
                <w:szCs w:val="16"/>
                <w:b w:val="1"/>
                <w:bCs w:val="1"/>
                <w:color w:val="auto"/>
              </w:rPr>
              <w:t>Florida (Regency Centers Corporation)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001-12298 (Regency Centers Corporation)</w:t>
            </w:r>
          </w:p>
        </w:tc>
        <w:tc>
          <w:tcPr>
            <w:tcW w:w="3400" w:type="dxa"/>
            <w:vAlign w:val="bottom"/>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rPr>
              <w:t>59-3191743 (Regency Centers Corporation)</w:t>
            </w:r>
          </w:p>
        </w:tc>
        <w:tc>
          <w:tcPr>
            <w:tcW w:w="0" w:type="dxa"/>
            <w:vAlign w:val="bottom"/>
          </w:tcPr>
          <w:p>
            <w:pPr>
              <w:spacing w:after="0"/>
              <w:rPr>
                <w:sz w:val="1"/>
                <w:szCs w:val="1"/>
                <w:color w:val="auto"/>
              </w:rPr>
            </w:pPr>
          </w:p>
        </w:tc>
      </w:tr>
      <w:tr>
        <w:trPr>
          <w:trHeight w:val="196"/>
        </w:trPr>
        <w:tc>
          <w:tcPr>
            <w:tcW w:w="3200" w:type="dxa"/>
            <w:vAlign w:val="bottom"/>
          </w:tcPr>
          <w:p>
            <w:pPr>
              <w:jc w:val="center"/>
              <w:ind w:right="382"/>
              <w:spacing w:after="0"/>
              <w:rPr>
                <w:sz w:val="20"/>
                <w:szCs w:val="20"/>
                <w:color w:val="auto"/>
              </w:rPr>
            </w:pPr>
            <w:r>
              <w:rPr>
                <w:rFonts w:ascii="Times New Roman" w:cs="Times New Roman" w:eastAsia="Times New Roman" w:hAnsi="Times New Roman"/>
                <w:sz w:val="16"/>
                <w:szCs w:val="16"/>
                <w:b w:val="1"/>
                <w:bCs w:val="1"/>
                <w:color w:val="auto"/>
              </w:rPr>
              <w:t>Delaware (Regency Centers, L. P.)</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0-24763 (Regency Centers, L.P.)</w:t>
            </w:r>
          </w:p>
        </w:tc>
        <w:tc>
          <w:tcPr>
            <w:tcW w:w="3400" w:type="dxa"/>
            <w:vAlign w:val="bottom"/>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rPr>
              <w:t>59-3429602 (Regency Centers, L.P.)</w:t>
            </w:r>
          </w:p>
        </w:tc>
        <w:tc>
          <w:tcPr>
            <w:tcW w:w="0" w:type="dxa"/>
            <w:vAlign w:val="bottom"/>
          </w:tcPr>
          <w:p>
            <w:pPr>
              <w:spacing w:after="0"/>
              <w:rPr>
                <w:sz w:val="1"/>
                <w:szCs w:val="1"/>
                <w:color w:val="auto"/>
              </w:rPr>
            </w:pPr>
          </w:p>
        </w:tc>
      </w:tr>
      <w:tr>
        <w:trPr>
          <w:trHeight w:val="188"/>
        </w:trPr>
        <w:tc>
          <w:tcPr>
            <w:tcW w:w="3200" w:type="dxa"/>
            <w:vAlign w:val="bottom"/>
          </w:tcPr>
          <w:p>
            <w:pPr>
              <w:jc w:val="center"/>
              <w:ind w:right="362"/>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76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color w:val="auto"/>
              </w:rPr>
              <w:t>Commission File Number)</w:t>
            </w:r>
          </w:p>
        </w:tc>
        <w:tc>
          <w:tcPr>
            <w:tcW w:w="3400" w:type="dxa"/>
            <w:vAlign w:val="bottom"/>
          </w:tcPr>
          <w:p>
            <w:pPr>
              <w:jc w:val="center"/>
              <w:ind w:left="302"/>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3760" w:type="dxa"/>
            <w:vAlign w:val="bottom"/>
            <w:vMerge w:val="continue"/>
          </w:tcPr>
          <w:p>
            <w:pPr>
              <w:spacing w:after="0"/>
              <w:rPr>
                <w:sz w:val="4"/>
                <w:szCs w:val="4"/>
                <w:color w:val="auto"/>
              </w:rPr>
            </w:pPr>
          </w:p>
        </w:tc>
        <w:tc>
          <w:tcPr>
            <w:tcW w:w="34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One Independent Drive, Suite 114</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Jacksonville, Florida 32202</w:t>
      </w:r>
    </w:p>
    <w:p>
      <w:pPr>
        <w:jc w:val="center"/>
        <w:spacing w:after="0" w:line="233" w:lineRule="auto"/>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(904) 598-7000</w:t>
      </w:r>
    </w:p>
    <w:p>
      <w:pPr>
        <w:jc w:val="center"/>
        <w:spacing w:after="0" w:line="234" w:lineRule="auto"/>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jc w:val="center"/>
        <w:spacing w:after="0" w:line="234" w:lineRule="auto"/>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20" w:type="dxa"/>
            <w:vAlign w:val="bottom"/>
          </w:tcPr>
          <w:p>
            <w:pPr>
              <w:spacing w:after="0"/>
              <w:rPr>
                <w:sz w:val="15"/>
                <w:szCs w:val="15"/>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7"/>
        </w:trPr>
        <w:tc>
          <w:tcPr>
            <w:tcW w:w="3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 $0.01 par value</w:t>
            </w:r>
          </w:p>
        </w:tc>
        <w:tc>
          <w:tcPr>
            <w:tcW w:w="120" w:type="dxa"/>
            <w:vAlign w:val="bottom"/>
          </w:tcPr>
          <w:p>
            <w:pPr>
              <w:spacing w:after="0"/>
              <w:rPr>
                <w:sz w:val="10"/>
                <w:szCs w:val="10"/>
                <w:color w:val="auto"/>
              </w:rPr>
            </w:pPr>
          </w:p>
        </w:tc>
        <w:tc>
          <w:tcPr>
            <w:tcW w:w="33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REG</w:t>
            </w:r>
          </w:p>
        </w:tc>
        <w:tc>
          <w:tcPr>
            <w:tcW w:w="120" w:type="dxa"/>
            <w:vAlign w:val="bottom"/>
          </w:tcPr>
          <w:p>
            <w:pPr>
              <w:spacing w:after="0"/>
              <w:rPr>
                <w:sz w:val="10"/>
                <w:szCs w:val="10"/>
                <w:color w:val="auto"/>
              </w:rPr>
            </w:pPr>
          </w:p>
        </w:tc>
        <w:tc>
          <w:tcPr>
            <w:tcW w:w="3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0" w:type="dxa"/>
            <w:vAlign w:val="bottom"/>
          </w:tcPr>
          <w:p>
            <w:pPr>
              <w:spacing w:after="0"/>
              <w:rPr>
                <w:sz w:val="1"/>
                <w:szCs w:val="1"/>
                <w:color w:val="auto"/>
              </w:rPr>
            </w:pPr>
          </w:p>
        </w:tc>
      </w:tr>
      <w:tr>
        <w:trPr>
          <w:trHeight w:val="148"/>
        </w:trPr>
        <w:tc>
          <w:tcPr>
            <w:tcW w:w="3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6.250% Series A Cumulative Redeemable Preferred Stock,</w:t>
            </w:r>
          </w:p>
        </w:tc>
        <w:tc>
          <w:tcPr>
            <w:tcW w:w="120" w:type="dxa"/>
            <w:vAlign w:val="bottom"/>
          </w:tcPr>
          <w:p>
            <w:pPr>
              <w:spacing w:after="0"/>
              <w:rPr>
                <w:sz w:val="12"/>
                <w:szCs w:val="12"/>
                <w:color w:val="auto"/>
              </w:rPr>
            </w:pP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REGCP</w:t>
            </w:r>
          </w:p>
        </w:tc>
        <w:tc>
          <w:tcPr>
            <w:tcW w:w="120" w:type="dxa"/>
            <w:vAlign w:val="bottom"/>
          </w:tcPr>
          <w:p>
            <w:pPr>
              <w:spacing w:after="0"/>
              <w:rPr>
                <w:sz w:val="12"/>
                <w:szCs w:val="12"/>
                <w:color w:val="auto"/>
              </w:rPr>
            </w:pPr>
          </w:p>
        </w:tc>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48"/>
        </w:trPr>
        <w:tc>
          <w:tcPr>
            <w:tcW w:w="3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 value $0.01 per share</w:t>
            </w:r>
          </w:p>
        </w:tc>
        <w:tc>
          <w:tcPr>
            <w:tcW w:w="120" w:type="dxa"/>
            <w:vAlign w:val="bottom"/>
          </w:tcPr>
          <w:p>
            <w:pPr>
              <w:spacing w:after="0"/>
              <w:rPr>
                <w:sz w:val="12"/>
                <w:szCs w:val="12"/>
                <w:color w:val="auto"/>
              </w:rPr>
            </w:pPr>
          </w:p>
        </w:tc>
        <w:tc>
          <w:tcPr>
            <w:tcW w:w="3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5.875% Series B Cumulative Redeemable Preferred Stock,</w:t>
            </w:r>
          </w:p>
        </w:tc>
        <w:tc>
          <w:tcPr>
            <w:tcW w:w="120" w:type="dxa"/>
            <w:vAlign w:val="bottom"/>
          </w:tcPr>
          <w:p>
            <w:pPr>
              <w:spacing w:after="0"/>
              <w:rPr>
                <w:sz w:val="12"/>
                <w:szCs w:val="12"/>
                <w:color w:val="auto"/>
              </w:rPr>
            </w:pP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REGCO</w:t>
            </w:r>
          </w:p>
        </w:tc>
        <w:tc>
          <w:tcPr>
            <w:tcW w:w="120" w:type="dxa"/>
            <w:vAlign w:val="bottom"/>
          </w:tcPr>
          <w:p>
            <w:pPr>
              <w:spacing w:after="0"/>
              <w:rPr>
                <w:sz w:val="12"/>
                <w:szCs w:val="12"/>
                <w:color w:val="auto"/>
              </w:rPr>
            </w:pPr>
          </w:p>
        </w:tc>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90"/>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 value $0.01 per share</w:t>
            </w:r>
          </w:p>
        </w:tc>
        <w:tc>
          <w:tcPr>
            <w:tcW w:w="120" w:type="dxa"/>
            <w:vAlign w:val="bottom"/>
          </w:tcPr>
          <w:p>
            <w:pPr>
              <w:spacing w:after="0"/>
              <w:rPr>
                <w:sz w:val="16"/>
                <w:szCs w:val="16"/>
                <w:color w:val="auto"/>
              </w:rPr>
            </w:pPr>
          </w:p>
        </w:tc>
        <w:tc>
          <w:tcPr>
            <w:tcW w:w="3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Regency Centers, L.P.</w:t>
            </w: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9"/>
                <w:szCs w:val="19"/>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20" w:type="dxa"/>
            <w:vAlign w:val="bottom"/>
          </w:tcPr>
          <w:p>
            <w:pPr>
              <w:spacing w:after="0"/>
              <w:rPr>
                <w:sz w:val="19"/>
                <w:szCs w:val="19"/>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5"/>
                <w:szCs w:val="15"/>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120" w:type="dxa"/>
            <w:vAlign w:val="bottom"/>
          </w:tcPr>
          <w:p>
            <w:pPr>
              <w:spacing w:after="0"/>
              <w:rPr>
                <w:sz w:val="15"/>
                <w:szCs w:val="15"/>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0" w:type="dxa"/>
            <w:vAlign w:val="bottom"/>
          </w:tcPr>
          <w:p>
            <w:pPr>
              <w:spacing w:after="0"/>
              <w:rPr>
                <w:sz w:val="1"/>
                <w:szCs w:val="1"/>
                <w:color w:val="auto"/>
              </w:rPr>
            </w:pPr>
          </w:p>
        </w:tc>
      </w:tr>
    </w:tbl>
    <w:p>
      <w:pPr>
        <w:spacing w:after="0" w:line="21"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 .425)</w:t>
      </w:r>
    </w:p>
    <w:p>
      <w:pPr>
        <w:spacing w:after="0" w:line="29"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7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753110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 2025, Regency Centers Corporation (“Regency”) made available an updated investor presentation for use at various conferences and meetings beginning on the date hereof and in the coming weeks. The presentation is accessible through the investor relations section of Regency's website at investors.regencycenters.com.</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under item 8.01, incorporated by reference herein, shall not be deemed “filed” for purposes of Section 18 of the Securities Exchange Act of 1934, as amended (the “Exchange Act”), or otherwise subject to the liabilities of that section and shall not be deemed to be incorporated by reference into any filing under the Securities Act of 1933, as amended, or the Exchange Act.</w:t>
      </w:r>
    </w:p>
    <w:p>
      <w:pPr>
        <w:spacing w:after="0" w:line="17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9" w:lineRule="exact"/>
        <w:rPr>
          <w:sz w:val="20"/>
          <w:szCs w:val="20"/>
          <w:color w:val="auto"/>
        </w:rPr>
      </w:pPr>
    </w:p>
    <w:p>
      <w:pPr>
        <w:ind w:left="5580" w:right="1940" w:hanging="5572"/>
        <w:spacing w:after="0" w:line="783" w:lineRule="auto"/>
        <w:tabs>
          <w:tab w:leader="none" w:pos="1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7980" w:type="dxa"/>
            <w:vAlign w:val="bottom"/>
            <w:gridSpan w:val="2"/>
          </w:tcPr>
          <w:p>
            <w:pPr>
              <w:ind w:left="2700"/>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June 2, 2025</w:t>
            </w:r>
          </w:p>
        </w:tc>
        <w:tc>
          <w:tcPr>
            <w:tcW w:w="798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i w:val="1"/>
                <w:iCs w:val="1"/>
                <w:color w:val="auto"/>
              </w:rPr>
              <w:t>/s/ Michael R. Herman</w:t>
            </w:r>
          </w:p>
        </w:tc>
      </w:tr>
      <w:tr>
        <w:trPr>
          <w:trHeight w:val="191"/>
        </w:trPr>
        <w:tc>
          <w:tcPr>
            <w:tcW w:w="32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8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Michael R. Herman, Senior Vice President</w:t>
            </w:r>
          </w:p>
        </w:tc>
      </w:tr>
      <w:tr>
        <w:trPr>
          <w:trHeight w:val="234"/>
        </w:trPr>
        <w:tc>
          <w:tcPr>
            <w:tcW w:w="32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864"/>
        </w:trPr>
        <w:tc>
          <w:tcPr>
            <w:tcW w:w="3260" w:type="dxa"/>
            <w:vAlign w:val="bottom"/>
          </w:tcPr>
          <w:p>
            <w:pPr>
              <w:spacing w:after="0"/>
              <w:rPr>
                <w:sz w:val="24"/>
                <w:szCs w:val="24"/>
                <w:color w:val="auto"/>
              </w:rPr>
            </w:pPr>
          </w:p>
        </w:tc>
        <w:tc>
          <w:tcPr>
            <w:tcW w:w="7980" w:type="dxa"/>
            <w:vAlign w:val="bottom"/>
            <w:gridSpan w:val="2"/>
          </w:tcPr>
          <w:p>
            <w:pPr>
              <w:ind w:left="2700"/>
              <w:spacing w:after="0"/>
              <w:rPr>
                <w:sz w:val="20"/>
                <w:szCs w:val="20"/>
                <w:color w:val="auto"/>
              </w:rPr>
            </w:pPr>
            <w:r>
              <w:rPr>
                <w:rFonts w:ascii="Times New Roman" w:cs="Times New Roman" w:eastAsia="Times New Roman" w:hAnsi="Times New Roman"/>
                <w:sz w:val="18"/>
                <w:szCs w:val="18"/>
                <w:b w:val="1"/>
                <w:bCs w:val="1"/>
                <w:color w:val="auto"/>
              </w:rPr>
              <w:t>REGENCY CENTERS, L.P.</w:t>
            </w:r>
          </w:p>
        </w:tc>
      </w:tr>
      <w:tr>
        <w:trPr>
          <w:trHeight w:val="432"/>
        </w:trPr>
        <w:tc>
          <w:tcPr>
            <w:tcW w:w="3260" w:type="dxa"/>
            <w:vAlign w:val="bottom"/>
          </w:tcPr>
          <w:p>
            <w:pPr>
              <w:spacing w:after="0"/>
              <w:rPr>
                <w:sz w:val="24"/>
                <w:szCs w:val="24"/>
                <w:color w:val="auto"/>
              </w:rPr>
            </w:pPr>
          </w:p>
        </w:tc>
        <w:tc>
          <w:tcPr>
            <w:tcW w:w="7980" w:type="dxa"/>
            <w:vAlign w:val="bottom"/>
            <w:gridSpan w:val="2"/>
          </w:tcPr>
          <w:p>
            <w:pPr>
              <w:ind w:left="2700"/>
              <w:spacing w:after="0"/>
              <w:rPr>
                <w:sz w:val="20"/>
                <w:szCs w:val="20"/>
                <w:color w:val="auto"/>
              </w:rPr>
            </w:pPr>
            <w:r>
              <w:rPr>
                <w:rFonts w:ascii="Times New Roman" w:cs="Times New Roman" w:eastAsia="Times New Roman" w:hAnsi="Times New Roman"/>
                <w:sz w:val="18"/>
                <w:szCs w:val="18"/>
                <w:b w:val="1"/>
                <w:bCs w:val="1"/>
                <w:color w:val="auto"/>
              </w:rPr>
              <w:t>By: Regency Centers Corporation, its general partner</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June 2, 2025</w:t>
            </w:r>
          </w:p>
        </w:tc>
        <w:tc>
          <w:tcPr>
            <w:tcW w:w="798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i w:val="1"/>
                <w:iCs w:val="1"/>
                <w:color w:val="auto"/>
              </w:rPr>
              <w:t>/s/ Michael R. Herman</w:t>
            </w:r>
          </w:p>
        </w:tc>
      </w:tr>
      <w:tr>
        <w:trPr>
          <w:trHeight w:val="191"/>
        </w:trPr>
        <w:tc>
          <w:tcPr>
            <w:tcW w:w="32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8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Michael R. Herman, Senior Vice President</w:t>
            </w:r>
          </w:p>
        </w:tc>
      </w:tr>
      <w:tr>
        <w:trPr>
          <w:trHeight w:val="234"/>
        </w:trPr>
        <w:tc>
          <w:tcPr>
            <w:tcW w:w="32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432"/>
        </w:trPr>
        <w:tc>
          <w:tcPr>
            <w:tcW w:w="3260" w:type="dxa"/>
            <w:vAlign w:val="bottom"/>
          </w:tcPr>
          <w:p>
            <w:pPr>
              <w:spacing w:after="0"/>
              <w:rPr>
                <w:sz w:val="24"/>
                <w:szCs w:val="24"/>
                <w:color w:val="auto"/>
              </w:rPr>
            </w:pPr>
          </w:p>
        </w:tc>
        <w:tc>
          <w:tcPr>
            <w:tcW w:w="31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3</w:t>
            </w:r>
          </w:p>
        </w:tc>
        <w:tc>
          <w:tcPr>
            <w:tcW w:w="4820" w:type="dxa"/>
            <w:vAlign w:val="bottom"/>
          </w:tcPr>
          <w:p>
            <w:pPr>
              <w:spacing w:after="0"/>
              <w:rPr>
                <w:sz w:val="24"/>
                <w:szCs w:val="24"/>
                <w:color w:val="auto"/>
              </w:rPr>
            </w:pPr>
          </w:p>
        </w:tc>
      </w:tr>
      <w:tr>
        <w:trPr>
          <w:trHeight w:val="763"/>
        </w:trPr>
        <w:tc>
          <w:tcPr>
            <w:tcW w:w="32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2025-06-02T13:29:07Z</dcterms:created>
  <dcterms:modified xsi:type="dcterms:W3CDTF">2025-06-02T13:29:07Z</dcterms:modified>
</cp:coreProperties>
</file>