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50506.htm"/>
      <w:bookmarkStart w:id="1" w:name="ksreg20250506"/>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May 7, 2025 (May 6, 2025)</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1"/>
        <w:gridCol w:w="146"/>
        <w:gridCol w:w="3300"/>
        <w:gridCol w:w="176"/>
        <w:gridCol w:w="3422"/>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239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95300"/>
                          </a:xfrm>
                          <a:prstGeom prst="rect">
                            <a:avLst/>
                          </a:prstGeom>
                        </pic:spPr>
                      </pic:pic>
                    </a:graphicData>
                  </a:graphic>
                </wp:inline>
              </w:drawing>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Florida</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Delaware</w:t>
            </w:r>
            <w:r>
              <w:rPr>
                <w:rFonts w:ascii="Times New Roman" w:hAnsi="Times New Roman"/>
                <w:color w:val="000000"/>
                <w:sz w:val="20"/>
              </w:rPr>
              <w:t> </w:t>
            </w:r>
            <w:r>
              <w:rPr>
                <w:rFonts w:ascii="Times New Roman" w:hAnsi="Times New Roman"/>
                <w:b/>
                <w:color w:val="000000"/>
                <w:sz w:val="18"/>
              </w:rPr>
              <w:t>(Regency Centers, L. 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001-12298</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0-24763</w:t>
            </w:r>
            <w:r>
              <w:rPr>
                <w:rFonts w:ascii="Times New Roman" w:hAnsi="Times New Roman"/>
                <w:color w:val="000000"/>
                <w:sz w:val="20"/>
              </w:rPr>
              <w:t> </w:t>
            </w:r>
            <w:r>
              <w:rPr>
                <w:rFonts w:ascii="Times New Roman" w:hAnsi="Times New Roman"/>
                <w:b/>
                <w:color w:val="000000"/>
                <w:sz w:val="18"/>
              </w:rPr>
              <w:t>(Regency Centers, L.P.)</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2"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59-3191743</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20"/>
              </w:rPr>
            </w:pPr>
            <w:r>
              <w:rPr>
                <w:rFonts w:ascii="Times New Roman" w:hAnsi="Times New Roman"/>
                <w:b/>
                <w:color w:val="000000"/>
                <w:sz w:val="18"/>
              </w:rPr>
              <w:t>59-3429602</w:t>
            </w:r>
            <w:r>
              <w:rPr>
                <w:rFonts w:ascii="Times New Roman" w:hAnsi="Times New Roman"/>
                <w:color w:val="000000"/>
                <w:sz w:val="20"/>
              </w:rPr>
              <w:t> </w:t>
            </w:r>
            <w:r>
              <w:rPr>
                <w:rFonts w:ascii="Times New Roman" w:hAnsi="Times New Roman"/>
                <w:b/>
                <w:color w:val="000000"/>
                <w:sz w:val="18"/>
              </w:rPr>
              <w:t>(Regency Centers, L.P.)</w:t>
            </w:r>
          </w:p>
        </w:tc>
      </w:tr>
      <w:tr>
        <w:trPr/>
        <w:tc>
          <w:tcPr>
            <w:tcW w:w="316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(Commission File 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422"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0"/>
        </w:rPr>
      </w:pPr>
      <w:r>
        <w:rPr>
          <w:rFonts w:ascii="Times New Roman" w:hAnsi="Times New Roman"/>
          <w:b/>
          <w:color w:val="000000"/>
          <w:sz w:val="24"/>
        </w:rPr>
        <w:t>Jacksonville, Florida</w:t>
      </w:r>
      <w:r>
        <w:rPr>
          <w:rFonts w:ascii="Times New Roman" w:hAnsi="Times New Roman"/>
          <w:color w:val="000000"/>
          <w:sz w:val="20"/>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665"/>
        <w:gridCol w:w="146"/>
        <w:gridCol w:w="1212"/>
        <w:gridCol w:w="146"/>
        <w:gridCol w:w="3036"/>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3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tbl>
      <w:tblPr>
        <w:tblW w:w="6206" w:type="dxa"/>
        <w:jc w:val="left"/>
        <w:tblInd w:w="0" w:type="dxa"/>
        <w:tblLayout w:type="fixed"/>
        <w:tblCellMar>
          <w:top w:w="28" w:type="dxa"/>
          <w:left w:w="28" w:type="dxa"/>
          <w:bottom w:w="28" w:type="dxa"/>
          <w:right w:w="28" w:type="dxa"/>
        </w:tblCellMar>
      </w:tblPr>
      <w:tblGrid>
        <w:gridCol w:w="1396"/>
        <w:gridCol w:w="109"/>
        <w:gridCol w:w="127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5417" w:type="dxa"/>
        <w:jc w:val="left"/>
        <w:tblInd w:w="0" w:type="dxa"/>
        <w:tblLayout w:type="fixed"/>
        <w:tblCellMar>
          <w:top w:w="28" w:type="dxa"/>
          <w:left w:w="28" w:type="dxa"/>
          <w:bottom w:w="28" w:type="dxa"/>
          <w:right w:w="28" w:type="dxa"/>
        </w:tblCellMar>
      </w:tblPr>
      <w:tblGrid>
        <w:gridCol w:w="916"/>
        <w:gridCol w:w="4501"/>
      </w:tblGrid>
      <w:tr>
        <w:trPr/>
        <w:tc>
          <w:tcPr>
            <w:tcW w:w="91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Submission of Matters to a Vote of Security Holders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7, 2025, Regency Centers Corporation (the "Company”) held an annual meeting of its shareholders to vote on the following proposals:</w:t>
      </w:r>
    </w:p>
    <w:p>
      <w:pPr>
        <w:pStyle w:val="TextBody"/>
        <w:bidi w:val="0"/>
        <w:spacing w:before="180" w:after="180"/>
        <w:jc w:val="both"/>
        <w:rPr>
          <w:rFonts w:ascii="Times New Roman" w:hAnsi="Times New Roman"/>
          <w:sz w:val="20"/>
        </w:rPr>
      </w:pPr>
      <w:r>
        <w:rPr>
          <w:rFonts w:ascii="Times New Roman" w:hAnsi="Times New Roman"/>
          <w:i/>
          <w:color w:val="000000"/>
          <w:sz w:val="20"/>
        </w:rPr>
        <w:t>Proposal One - Election of Directors:</w:t>
      </w:r>
      <w:r>
        <w:rPr>
          <w:rFonts w:ascii="Times New Roman" w:hAnsi="Times New Roman"/>
          <w:color w:val="000000"/>
          <w:sz w:val="20"/>
        </w:rPr>
        <w:t xml:space="preserve"> The board of directors proposed eleven nominees to stand for election at the 2025 annual meeting and each of the nominees was elected. Each of the nominees was elected to serve until the 2026 annual meeting or until their successors are duly elected and qualified. The voting results are as follows:</w:t>
      </w:r>
    </w:p>
    <w:tbl>
      <w:tblPr>
        <w:tblW w:w="7673" w:type="dxa"/>
        <w:jc w:val="left"/>
        <w:tblInd w:w="0" w:type="dxa"/>
        <w:tblLayout w:type="fixed"/>
        <w:tblCellMar>
          <w:top w:w="28" w:type="dxa"/>
          <w:left w:w="28" w:type="dxa"/>
          <w:bottom w:w="28" w:type="dxa"/>
          <w:right w:w="28" w:type="dxa"/>
        </w:tblCellMar>
      </w:tblPr>
      <w:tblGrid>
        <w:gridCol w:w="1771"/>
        <w:gridCol w:w="146"/>
        <w:gridCol w:w="146"/>
        <w:gridCol w:w="1006"/>
        <w:gridCol w:w="146"/>
        <w:gridCol w:w="146"/>
        <w:gridCol w:w="178"/>
        <w:gridCol w:w="1007"/>
        <w:gridCol w:w="146"/>
        <w:gridCol w:w="146"/>
        <w:gridCol w:w="146"/>
        <w:gridCol w:w="691"/>
        <w:gridCol w:w="146"/>
        <w:gridCol w:w="146"/>
        <w:gridCol w:w="227"/>
        <w:gridCol w:w="128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Nominee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Votes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Martin E. Stein,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163,683,628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Gary E.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166,452,834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Bryce Blair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164,719,857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 Ronald Blankenship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161,859,261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Kristin A. Campbell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162,071,951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4,552,639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Deidre J. Evens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163,581,166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3,048,583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Thomas W. Furphy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166,589,496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Karin M. Klein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162,080,397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4,435,775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D. Linneman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164,867,606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Lisa Palmer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166,263,534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H. Simmons,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166,583,531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 xml:space="preserve">Proposal Two - Advisory Vote on Executive Compensation for Fiscal Year 2024: </w:t>
      </w:r>
      <w:r>
        <w:rPr>
          <w:rFonts w:ascii="Times New Roman" w:hAnsi="Times New Roman"/>
          <w:color w:val="000000"/>
          <w:sz w:val="20"/>
        </w:rPr>
        <w:t>Results of the non-binding advisory vote of the shareholders on the executive compensation of the Company's named executive officers for fiscal year 2024 were as follows:</w:t>
      </w:r>
    </w:p>
    <w:tbl>
      <w:tblPr>
        <w:tblW w:w="5648" w:type="dxa"/>
        <w:jc w:val="left"/>
        <w:tblInd w:w="0" w:type="dxa"/>
        <w:tblLayout w:type="fixed"/>
        <w:tblCellMar>
          <w:top w:w="28" w:type="dxa"/>
          <w:left w:w="28" w:type="dxa"/>
          <w:bottom w:w="28" w:type="dxa"/>
          <w:right w:w="28" w:type="dxa"/>
        </w:tblCellMar>
      </w:tblPr>
      <w:tblGrid>
        <w:gridCol w:w="161"/>
        <w:gridCol w:w="1006"/>
        <w:gridCol w:w="146"/>
        <w:gridCol w:w="146"/>
        <w:gridCol w:w="146"/>
        <w:gridCol w:w="916"/>
        <w:gridCol w:w="146"/>
        <w:gridCol w:w="146"/>
        <w:gridCol w:w="146"/>
        <w:gridCol w:w="691"/>
        <w:gridCol w:w="146"/>
        <w:gridCol w:w="146"/>
        <w:gridCol w:w="227"/>
        <w:gridCol w:w="1288"/>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153,190,831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13,359,145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Proposal Three - Ratification of Appointment of KPMG LLP as the Company's Independent Registered Public Accounting Firm:</w:t>
      </w:r>
      <w:r>
        <w:rPr>
          <w:rFonts w:ascii="Times New Roman" w:hAnsi="Times New Roman"/>
          <w:color w:val="000000"/>
          <w:sz w:val="20"/>
        </w:rPr>
        <w:t xml:space="preserve"> The board of directors selected the accounting firm of KPMG LLP to serve as the independent registered public accounting firm for the Company for the current fiscal year ending December 31, 2025, and also submitted such appointment for ratification by the shareholders at the annual meeting. The shareholders ratified the appointment of KPMG LLP, with the voting results as follows:</w:t>
      </w:r>
    </w:p>
    <w:tbl>
      <w:tblPr>
        <w:tblW w:w="3751" w:type="dxa"/>
        <w:jc w:val="left"/>
        <w:tblInd w:w="0" w:type="dxa"/>
        <w:tblLayout w:type="fixed"/>
        <w:tblCellMar>
          <w:top w:w="28" w:type="dxa"/>
          <w:left w:w="28" w:type="dxa"/>
          <w:bottom w:w="28" w:type="dxa"/>
          <w:right w:w="28" w:type="dxa"/>
        </w:tblCellMar>
      </w:tblPr>
      <w:tblGrid>
        <w:gridCol w:w="161"/>
        <w:gridCol w:w="1006"/>
        <w:gridCol w:w="146"/>
        <w:gridCol w:w="146"/>
        <w:gridCol w:w="146"/>
        <w:gridCol w:w="916"/>
        <w:gridCol w:w="146"/>
        <w:gridCol w:w="146"/>
        <w:gridCol w:w="146"/>
        <w:gridCol w:w="60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Abstain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159,333,140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11,681,076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2177" w:type="dxa"/>
        <w:jc w:val="left"/>
        <w:tblInd w:w="0" w:type="dxa"/>
        <w:tblLayout w:type="fixed"/>
        <w:tblCellMar>
          <w:top w:w="28" w:type="dxa"/>
          <w:left w:w="28" w:type="dxa"/>
          <w:bottom w:w="28" w:type="dxa"/>
          <w:right w:w="28" w:type="dxa"/>
        </w:tblCellMar>
      </w:tblPr>
      <w:tblGrid>
        <w:gridCol w:w="916"/>
        <w:gridCol w:w="1261"/>
      </w:tblGrid>
      <w:tr>
        <w:trPr/>
        <w:tc>
          <w:tcPr>
            <w:tcW w:w="91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2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Declaration of Dividend for Common Stock and Series A and Series B Preferred Stock</w:t>
      </w:r>
      <w:r>
        <w:rPr>
          <w:rFonts w:ascii="Times New Roman" w:hAnsi="Times New Roman"/>
          <w:color w:val="000000"/>
          <w:sz w:val="20"/>
        </w:rPr>
        <w:t xml:space="preserve"> </w:t>
      </w:r>
    </w:p>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 May 6, 2025, the Board of the Company: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Declared a dividend on the Company's common stock of $0.705 per share, payable on July 2, 2025 to shareholders of record as of June 11,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Declared a dividend on the Company’s 6.250% Series A Cumulative Redeemable Preferred Stock (the “Series A Preferred Stock”), which will be paid at a rate of $0.390625 per share on July 31, 2025. The dividend will be payable to holders of record of the Company’s Series A Preferred Stock as of the close of business on July 16, 2025;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Declared a dividend on the Company’s 5.875% Series B Cumulative Redeemable Preferred Stock (the “Series B Preferred Stock”), which will be paid at a rate of $0.367200 per share on July 31, 2025. The dividend will be payable to holders of record of the Company’s Series B Preferred Stock as of the close of business on July 16, 2025. </w:t>
      </w:r>
    </w:p>
    <w:p>
      <w:pPr>
        <w:pStyle w:val="TextBody"/>
        <w:bidi w:val="0"/>
        <w:jc w:val="both"/>
        <w:rPr/>
      </w:pPr>
      <w:r>
        <w:rPr/>
        <w:t> </w:t>
      </w:r>
    </w:p>
    <w:tbl>
      <w:tblPr>
        <w:tblW w:w="4172" w:type="dxa"/>
        <w:jc w:val="left"/>
        <w:tblInd w:w="0" w:type="dxa"/>
        <w:tblLayout w:type="fixed"/>
        <w:tblCellMar>
          <w:top w:w="28" w:type="dxa"/>
          <w:left w:w="28" w:type="dxa"/>
          <w:bottom w:w="28" w:type="dxa"/>
          <w:right w:w="28" w:type="dxa"/>
        </w:tblCellMar>
      </w:tblPr>
      <w:tblGrid>
        <w:gridCol w:w="1141"/>
        <w:gridCol w:w="3031"/>
      </w:tblGrid>
      <w:tr>
        <w:trPr/>
        <w:tc>
          <w:tcPr>
            <w:tcW w:w="114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9.01(d)</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both"/>
        <w:rPr/>
      </w:pPr>
      <w:r>
        <w:rPr/>
        <w:t> </w:t>
      </w:r>
    </w:p>
    <w:tbl>
      <w:tblPr>
        <w:tblW w:w="6902" w:type="dxa"/>
        <w:jc w:val="left"/>
        <w:tblInd w:w="0" w:type="dxa"/>
        <w:tblLayout w:type="fixed"/>
        <w:tblCellMar>
          <w:top w:w="28" w:type="dxa"/>
          <w:left w:w="28" w:type="dxa"/>
          <w:bottom w:w="28" w:type="dxa"/>
          <w:right w:w="28" w:type="dxa"/>
        </w:tblCellMar>
      </w:tblPr>
      <w:tblGrid>
        <w:gridCol w:w="1141"/>
        <w:gridCol w:w="5761"/>
      </w:tblGrid>
      <w:tr>
        <w:trPr/>
        <w:tc>
          <w:tcPr>
            <w:tcW w:w="1141" w:type="dxa"/>
            <w:tcBorders/>
            <w:vAlign w:val="center"/>
          </w:tcPr>
          <w:p>
            <w:pPr>
              <w:pStyle w:val="TableContents"/>
              <w:bidi w:val="0"/>
              <w:spacing w:before="0" w:after="283"/>
              <w:jc w:val="left"/>
              <w:rPr>
                <w:sz w:val="4"/>
                <w:szCs w:val="4"/>
              </w:rPr>
            </w:pPr>
            <w:r>
              <w:rPr>
                <w:sz w:val="4"/>
                <w:szCs w:val="4"/>
              </w:rPr>
            </w:r>
          </w:p>
        </w:tc>
        <w:tc>
          <w:tcPr>
            <w:tcW w:w="576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5761" w:type="dxa"/>
            <w:tcBorders/>
            <w:tcMar>
              <w:top w:w="0" w:type="dxa"/>
              <w:left w:w="0" w:type="dxa"/>
              <w:bottom w:w="0" w:type="dxa"/>
              <w:right w:w="0" w:type="dxa"/>
            </w:tcMar>
            <w:vAlign w:val="center"/>
          </w:tcPr>
          <w:p>
            <w:pPr>
              <w:pStyle w:val="TableContents"/>
              <w:bidi w:val="0"/>
              <w:spacing w:before="0" w:after="283"/>
              <w:jc w:val="both"/>
              <w:rPr/>
            </w:pPr>
            <w:hyperlink w:anchor="reg-ex99_1.htm">
              <w:r>
                <w:rPr>
                  <w:rStyle w:val="InternetLink"/>
                  <w:rFonts w:ascii="Times New Roman" w:hAnsi="Times New Roman"/>
                  <w:color w:val="0000FF"/>
                  <w:sz w:val="20"/>
                  <w:u w:val="single"/>
                </w:rPr>
                <w:t>Press release issued by Regency Centers Corporation on May 7, 2025</w:t>
              </w:r>
            </w:hyperlink>
          </w:p>
        </w:tc>
      </w:tr>
    </w:tbl>
    <w:p>
      <w:pPr>
        <w:pStyle w:val="TextBody"/>
        <w:bidi w:val="0"/>
        <w:jc w:val="left"/>
        <w:rPr/>
      </w:pPr>
      <w:r>
        <w:rPr/>
        <w:t> </w:t>
      </w:r>
    </w:p>
    <w:tbl>
      <w:tblPr>
        <w:tblW w:w="9572" w:type="dxa"/>
        <w:jc w:val="left"/>
        <w:tblInd w:w="0" w:type="dxa"/>
        <w:tblLayout w:type="fixed"/>
        <w:tblCellMar>
          <w:top w:w="28" w:type="dxa"/>
          <w:left w:w="28" w:type="dxa"/>
          <w:bottom w:w="28" w:type="dxa"/>
          <w:right w:w="28" w:type="dxa"/>
        </w:tblCellMar>
      </w:tblPr>
      <w:tblGrid>
        <w:gridCol w:w="436"/>
        <w:gridCol w:w="9136"/>
      </w:tblGrid>
      <w:tr>
        <w:trPr/>
        <w:tc>
          <w:tcPr>
            <w:tcW w:w="436"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835" w:type="dxa"/>
        <w:jc w:val="left"/>
        <w:tblInd w:w="0" w:type="dxa"/>
        <w:tblLayout w:type="fixed"/>
        <w:tblCellMar>
          <w:top w:w="28" w:type="dxa"/>
          <w:left w:w="28" w:type="dxa"/>
          <w:bottom w:w="28" w:type="dxa"/>
          <w:right w:w="28" w:type="dxa"/>
        </w:tblCellMar>
      </w:tblPr>
      <w:tblGrid>
        <w:gridCol w:w="1156"/>
        <w:gridCol w:w="455"/>
        <w:gridCol w:w="197"/>
        <w:gridCol w:w="4027"/>
      </w:tblGrid>
      <w:tr>
        <w:trPr/>
        <w:tc>
          <w:tcPr>
            <w:tcW w:w="11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4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40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4027"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Michael R. Herman, Senior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ahoma;sans-serif" w:hAnsi="Tahoma;sans-serif"/>
          <w:b/>
          <w:color w:val="3A3430"/>
          <w:sz w:val="22"/>
        </w:rPr>
      </w:pPr>
      <w:bookmarkStart w:id="2" w:name="reg-ex99_1.htm"/>
      <w:bookmarkStart w:id="3" w:name="ksregex99_1"/>
      <w:bookmarkEnd w:id="2"/>
      <w:bookmarkEnd w:id="3"/>
      <w:r>
        <w:rPr>
          <w:rFonts w:ascii="Tahoma;sans-serif" w:hAnsi="Tahoma;sans-serif"/>
          <w:b/>
          <w:color w:val="3A3430"/>
          <w:sz w:val="22"/>
        </w:rPr>
        <w:t>Exhibit 99.1</w:t>
      </w:r>
      <w:r>
        <w:br w:type="page"/>
      </w:r>
    </w:p>
    <w:tbl>
      <w:tblPr>
        <w:tblW w:w="6657" w:type="dxa"/>
        <w:jc w:val="left"/>
        <w:tblInd w:w="0" w:type="dxa"/>
        <w:tblLayout w:type="fixed"/>
        <w:tblCellMar>
          <w:top w:w="28" w:type="dxa"/>
          <w:left w:w="28" w:type="dxa"/>
          <w:bottom w:w="28" w:type="dxa"/>
          <w:right w:w="28" w:type="dxa"/>
        </w:tblCellMar>
      </w:tblPr>
      <w:tblGrid>
        <w:gridCol w:w="2981"/>
        <w:gridCol w:w="3676"/>
      </w:tblGrid>
      <w:tr>
        <w:trPr/>
        <w:tc>
          <w:tcPr>
            <w:tcW w:w="298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298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28800" cy="1057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1057275"/>
                          </a:xfrm>
                          <a:prstGeom prst="rect">
                            <a:avLst/>
                          </a:prstGeom>
                        </pic:spPr>
                      </pic:pic>
                    </a:graphicData>
                  </a:graphic>
                </wp:inline>
              </w:drawing>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b/>
                <w:color w:val="3A3430"/>
                <w:sz w:val="32"/>
              </w:rPr>
            </w:pPr>
            <w:r>
              <w:rPr>
                <w:rFonts w:ascii="Tahoma;sans-serif" w:hAnsi="Tahoma;sans-serif"/>
                <w:b/>
                <w:color w:val="3A3430"/>
                <w:sz w:val="32"/>
              </w:rPr>
              <w:t>News Release</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22"/>
              </w:rPr>
            </w:pPr>
            <w:r>
              <w:rPr>
                <w:rFonts w:ascii="Tahoma;sans-serif" w:hAnsi="Tahoma;sans-serif"/>
                <w:b/>
                <w:color w:val="000000"/>
                <w:sz w:val="22"/>
              </w:rPr>
              <w:t>For immediate release</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ind w:left="0" w:right="0" w:hanging="720"/>
              <w:jc w:val="left"/>
              <w:rPr/>
            </w:pPr>
            <w:r>
              <w:rPr/>
              <w:t> </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ind w:left="0" w:right="0" w:hanging="720"/>
              <w:jc w:val="right"/>
              <w:rPr>
                <w:rFonts w:ascii="Tahoma;sans-serif" w:hAnsi="Tahoma;sans-serif"/>
                <w:color w:val="3A3430"/>
                <w:sz w:val="22"/>
              </w:rPr>
            </w:pPr>
            <w:r>
              <w:rPr>
                <w:rFonts w:ascii="Tahoma;sans-serif" w:hAnsi="Tahoma;sans-serif"/>
                <w:color w:val="3A3430"/>
                <w:sz w:val="22"/>
              </w:rPr>
              <w:t>Kathryn McKie</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ind w:left="0" w:right="0" w:hanging="720"/>
              <w:jc w:val="right"/>
              <w:rPr>
                <w:rFonts w:ascii="Tahoma;sans-serif" w:hAnsi="Tahoma;sans-serif"/>
                <w:color w:val="000000"/>
                <w:sz w:val="22"/>
              </w:rPr>
            </w:pPr>
            <w:r>
              <w:rPr>
                <w:rFonts w:ascii="Tahoma;sans-serif" w:hAnsi="Tahoma;sans-serif"/>
                <w:color w:val="000000"/>
                <w:sz w:val="22"/>
              </w:rPr>
              <w:t>904 598 7348</w:t>
            </w:r>
          </w:p>
        </w:tc>
      </w:tr>
      <w:tr>
        <w:trPr/>
        <w:tc>
          <w:tcPr>
            <w:tcW w:w="2981" w:type="dxa"/>
            <w:vMerge w:val="continue"/>
            <w:tcBorders/>
            <w:tcMar>
              <w:top w:w="0" w:type="dxa"/>
              <w:left w:w="0" w:type="dxa"/>
              <w:bottom w:w="0" w:type="dxa"/>
              <w:right w:w="0" w:type="dxa"/>
            </w:tcMar>
            <w:vAlign w:val="center"/>
          </w:tcPr>
          <w:p>
            <w:pPr>
              <w:pStyle w:val="Normal"/>
              <w:bidi w:val="0"/>
              <w:jc w:val="left"/>
              <w:rPr/>
            </w:pPr>
            <w:r>
              <w:rPr/>
            </w:r>
          </w:p>
        </w:tc>
        <w:tc>
          <w:tcPr>
            <w:tcW w:w="3676" w:type="dxa"/>
            <w:tcBorders/>
            <w:tcMar>
              <w:top w:w="0" w:type="dxa"/>
              <w:left w:w="0" w:type="dxa"/>
              <w:bottom w:w="0" w:type="dxa"/>
              <w:right w:w="0" w:type="dxa"/>
            </w:tcMar>
            <w:vAlign w:val="center"/>
          </w:tcPr>
          <w:p>
            <w:pPr>
              <w:pStyle w:val="TableContents"/>
              <w:bidi w:val="0"/>
              <w:spacing w:before="0" w:after="283"/>
              <w:ind w:left="0" w:right="0" w:hanging="720"/>
              <w:jc w:val="right"/>
              <w:rPr>
                <w:rFonts w:ascii="Tahoma;sans-serif" w:hAnsi="Tahoma;sans-serif"/>
                <w:color w:val="3A3430"/>
                <w:sz w:val="22"/>
              </w:rPr>
            </w:pPr>
            <w:r>
              <w:rPr>
                <w:rFonts w:ascii="Tahoma;sans-serif" w:hAnsi="Tahoma;sans-serif"/>
                <w:color w:val="3A3430"/>
                <w:sz w:val="22"/>
              </w:rPr>
              <w:t>KathrynMcKie@regencycenters.com</w:t>
            </w:r>
          </w:p>
        </w:tc>
      </w:tr>
      <w:tr>
        <w:trPr/>
        <w:tc>
          <w:tcPr>
            <w:tcW w:w="29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ahoma;sans-serif" w:hAnsi="Tahoma;sans-serif"/>
          <w:b/>
          <w:color w:val="000000"/>
          <w:sz w:val="24"/>
        </w:rPr>
      </w:pPr>
      <w:r>
        <w:rPr>
          <w:rFonts w:ascii="Tahoma;sans-serif" w:hAnsi="Tahoma;sans-serif"/>
          <w:b/>
          <w:color w:val="000000"/>
          <w:sz w:val="24"/>
        </w:rPr>
        <w:t>Regency Centers Declares Quarterly Dividends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ahoma;sans-serif" w:hAnsi="Tahoma;sans-serif"/>
          <w:b/>
          <w:color w:val="000000"/>
          <w:sz w:val="24"/>
        </w:rPr>
        <w:t>JACKSONVILLE, Fla.</w:t>
      </w:r>
      <w:r>
        <w:rPr>
          <w:rFonts w:ascii="Times New Roman" w:hAnsi="Times New Roman"/>
          <w:color w:val="000000"/>
          <w:sz w:val="20"/>
        </w:rPr>
        <w:t xml:space="preserve"> </w:t>
      </w:r>
      <w:r>
        <w:rPr>
          <w:rFonts w:ascii="Tahoma;sans-serif" w:hAnsi="Tahoma;sans-serif"/>
          <w:color w:val="000000"/>
          <w:sz w:val="24"/>
        </w:rPr>
        <w:t>(May 7, 2025) – Regency Centers Corporation (“Regency Centers”, “Regency” or the “Company”) (NASDAQ: REG) announced today that the Company’s Board of Directors (the “Board”) declared quarterly cash dividends on Regency’s common stock, Series A preferred stock, and Series B preferred stock.</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ahoma;sans-serif" w:hAnsi="Tahoma;sans-serif"/>
          <w:color w:val="000000"/>
          <w:sz w:val="24"/>
        </w:rPr>
      </w:pPr>
      <w:r>
        <w:rPr>
          <w:rFonts w:ascii="Tahoma;sans-serif" w:hAnsi="Tahoma;sans-serif"/>
          <w:color w:val="000000"/>
          <w:sz w:val="24"/>
        </w:rPr>
        <w:t>On May 6, 2025, the Board declared a quarterly cash dividend on the Company’s common stock of $0.705 per share. The dividend is payable on July 2, 2025, to shareholders of record as of June 11, 2025.</w:t>
      </w:r>
    </w:p>
    <w:p>
      <w:pPr>
        <w:pStyle w:val="TextBody"/>
        <w:bidi w:val="0"/>
        <w:spacing w:before="0" w:after="0"/>
        <w:jc w:val="both"/>
        <w:rPr>
          <w:color w:val="000000"/>
        </w:rPr>
      </w:pPr>
      <w:r>
        <w:rPr>
          <w:color w:val="000000"/>
        </w:rPr>
        <w:t>•</w:t>
      </w:r>
    </w:p>
    <w:p>
      <w:pPr>
        <w:pStyle w:val="TextBody"/>
        <w:bidi w:val="0"/>
        <w:spacing w:before="0" w:after="0"/>
        <w:jc w:val="both"/>
        <w:rPr>
          <w:rFonts w:ascii="Tahoma;sans-serif" w:hAnsi="Tahoma;sans-serif"/>
          <w:color w:val="000000"/>
          <w:sz w:val="24"/>
        </w:rPr>
      </w:pPr>
      <w:r>
        <w:rPr>
          <w:rFonts w:ascii="Tahoma;sans-serif" w:hAnsi="Tahoma;sans-serif"/>
          <w:color w:val="000000"/>
          <w:sz w:val="24"/>
        </w:rPr>
        <w:t>On May 6, 2025, the Board declared a quarterly cash dividend on the Company’s Series A preferred stock of $0.390625 per share. The dividend is payable on July 31, 2025, to shareholders of record as of July 16, 2025.</w:t>
      </w:r>
    </w:p>
    <w:p>
      <w:pPr>
        <w:pStyle w:val="TextBody"/>
        <w:bidi w:val="0"/>
        <w:spacing w:before="0" w:after="0"/>
        <w:jc w:val="both"/>
        <w:rPr>
          <w:color w:val="000000"/>
        </w:rPr>
      </w:pPr>
      <w:r>
        <w:rPr>
          <w:color w:val="000000"/>
        </w:rPr>
        <w:t>•</w:t>
      </w:r>
    </w:p>
    <w:p>
      <w:pPr>
        <w:pStyle w:val="TextBody"/>
        <w:bidi w:val="0"/>
        <w:jc w:val="both"/>
        <w:rPr>
          <w:rFonts w:ascii="Tahoma;sans-serif" w:hAnsi="Tahoma;sans-serif"/>
          <w:color w:val="000000"/>
          <w:sz w:val="24"/>
        </w:rPr>
      </w:pPr>
      <w:r>
        <w:rPr>
          <w:rFonts w:ascii="Tahoma;sans-serif" w:hAnsi="Tahoma;sans-serif"/>
          <w:color w:val="000000"/>
          <w:sz w:val="24"/>
        </w:rPr>
        <w:t>On May 6, 2025, the Board declared a quarterly cash dividend on the Company’s Series B preferred stock of $0.367200 per share. The dividend is payable on July 31, 2025, to shareholders of record as of July 16, 2025.</w:t>
      </w:r>
    </w:p>
    <w:p>
      <w:pPr>
        <w:pStyle w:val="TextBody"/>
        <w:bidi w:val="0"/>
        <w:spacing w:before="120" w:after="283"/>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ahoma;sans-serif" w:hAnsi="Tahoma;sans-serif"/>
          <w:b/>
          <w:color w:val="000000"/>
          <w:sz w:val="24"/>
        </w:rPr>
      </w:pPr>
      <w:r>
        <w:rPr>
          <w:rFonts w:ascii="Tahoma;sans-serif" w:hAnsi="Tahoma;sans-serif"/>
          <w:b/>
          <w:color w:val="000000"/>
          <w:sz w:val="24"/>
        </w:rPr>
        <w:t>About Regency Centers Corporation (NASDAQ: REG)</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24"/>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4"/>
        </w:rPr>
        <w:t>RegencyCenters.com</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1254</Words>
  <Characters>6914</Characters>
  <CharactersWithSpaces>8264</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