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740410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May 18, 2026</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REGENCY CENTERS CORPORATION</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REGENCY CENTERS, L.P.</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3056890</wp:posOffset>
            </wp:positionH>
            <wp:positionV relativeFrom="paragraph">
              <wp:posOffset>55880</wp:posOffset>
            </wp:positionV>
            <wp:extent cx="1011555" cy="445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11555" cy="4457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tbl>
      <w:tblPr>
        <w:tblLayout w:type="fixed"/>
        <w:tblInd w:w="500" w:type="dxa"/>
        <w:tblCellMar>
          <w:top w:w="0" w:type="dxa"/>
          <w:left w:w="0" w:type="dxa"/>
          <w:bottom w:w="0" w:type="dxa"/>
          <w:right w:w="0" w:type="dxa"/>
        </w:tblCellMar>
      </w:tblPr>
      <w:tr>
        <w:trPr>
          <w:trHeight w:val="202"/>
        </w:trPr>
        <w:tc>
          <w:tcPr>
            <w:tcW w:w="3200" w:type="dxa"/>
            <w:vAlign w:val="bottom"/>
          </w:tcPr>
          <w:p>
            <w:pPr>
              <w:jc w:val="center"/>
              <w:ind w:right="382"/>
              <w:spacing w:after="0"/>
              <w:rPr>
                <w:sz w:val="20"/>
                <w:szCs w:val="20"/>
                <w:color w:val="auto"/>
              </w:rPr>
            </w:pPr>
            <w:r>
              <w:rPr>
                <w:rFonts w:ascii="Times New Roman" w:cs="Times New Roman" w:eastAsia="Times New Roman" w:hAnsi="Times New Roman"/>
                <w:sz w:val="16"/>
                <w:szCs w:val="16"/>
                <w:b w:val="1"/>
                <w:bCs w:val="1"/>
                <w:color w:val="auto"/>
              </w:rPr>
              <w:t>Florida (Regency Centers Corporation)</w:t>
            </w:r>
          </w:p>
        </w:tc>
        <w:tc>
          <w:tcPr>
            <w:tcW w:w="3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001-12298 (Regency Centers Corporation)</w:t>
            </w:r>
          </w:p>
        </w:tc>
        <w:tc>
          <w:tcPr>
            <w:tcW w:w="3400" w:type="dxa"/>
            <w:vAlign w:val="bottom"/>
          </w:tcPr>
          <w:p>
            <w:pPr>
              <w:jc w:val="center"/>
              <w:ind w:left="302"/>
              <w:spacing w:after="0"/>
              <w:rPr>
                <w:sz w:val="20"/>
                <w:szCs w:val="20"/>
                <w:color w:val="auto"/>
              </w:rPr>
            </w:pPr>
            <w:r>
              <w:rPr>
                <w:rFonts w:ascii="Times New Roman" w:cs="Times New Roman" w:eastAsia="Times New Roman" w:hAnsi="Times New Roman"/>
                <w:sz w:val="16"/>
                <w:szCs w:val="16"/>
                <w:b w:val="1"/>
                <w:bCs w:val="1"/>
                <w:color w:val="auto"/>
              </w:rPr>
              <w:t>59-3191743 (Regency Centers Corporation)</w:t>
            </w:r>
          </w:p>
        </w:tc>
        <w:tc>
          <w:tcPr>
            <w:tcW w:w="0" w:type="dxa"/>
            <w:vAlign w:val="bottom"/>
          </w:tcPr>
          <w:p>
            <w:pPr>
              <w:spacing w:after="0"/>
              <w:rPr>
                <w:sz w:val="1"/>
                <w:szCs w:val="1"/>
                <w:color w:val="auto"/>
              </w:rPr>
            </w:pPr>
          </w:p>
        </w:tc>
      </w:tr>
      <w:tr>
        <w:trPr>
          <w:trHeight w:val="196"/>
        </w:trPr>
        <w:tc>
          <w:tcPr>
            <w:tcW w:w="3200" w:type="dxa"/>
            <w:vAlign w:val="bottom"/>
          </w:tcPr>
          <w:p>
            <w:pPr>
              <w:jc w:val="center"/>
              <w:ind w:right="382"/>
              <w:spacing w:after="0"/>
              <w:rPr>
                <w:sz w:val="20"/>
                <w:szCs w:val="20"/>
                <w:color w:val="auto"/>
              </w:rPr>
            </w:pPr>
            <w:r>
              <w:rPr>
                <w:rFonts w:ascii="Times New Roman" w:cs="Times New Roman" w:eastAsia="Times New Roman" w:hAnsi="Times New Roman"/>
                <w:sz w:val="16"/>
                <w:szCs w:val="16"/>
                <w:b w:val="1"/>
                <w:bCs w:val="1"/>
                <w:color w:val="auto"/>
              </w:rPr>
              <w:t>Delaware (Regency Centers, L. P.)</w:t>
            </w:r>
          </w:p>
        </w:tc>
        <w:tc>
          <w:tcPr>
            <w:tcW w:w="3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0-24763 (Regency Centers, L.P.)</w:t>
            </w:r>
          </w:p>
        </w:tc>
        <w:tc>
          <w:tcPr>
            <w:tcW w:w="3400" w:type="dxa"/>
            <w:vAlign w:val="bottom"/>
          </w:tcPr>
          <w:p>
            <w:pPr>
              <w:jc w:val="center"/>
              <w:ind w:left="302"/>
              <w:spacing w:after="0"/>
              <w:rPr>
                <w:sz w:val="20"/>
                <w:szCs w:val="20"/>
                <w:color w:val="auto"/>
              </w:rPr>
            </w:pPr>
            <w:r>
              <w:rPr>
                <w:rFonts w:ascii="Times New Roman" w:cs="Times New Roman" w:eastAsia="Times New Roman" w:hAnsi="Times New Roman"/>
                <w:sz w:val="16"/>
                <w:szCs w:val="16"/>
                <w:b w:val="1"/>
                <w:bCs w:val="1"/>
                <w:color w:val="auto"/>
              </w:rPr>
              <w:t>59-3429602 (Regency Centers, L.P.)</w:t>
            </w:r>
          </w:p>
        </w:tc>
        <w:tc>
          <w:tcPr>
            <w:tcW w:w="0" w:type="dxa"/>
            <w:vAlign w:val="bottom"/>
          </w:tcPr>
          <w:p>
            <w:pPr>
              <w:spacing w:after="0"/>
              <w:rPr>
                <w:sz w:val="1"/>
                <w:szCs w:val="1"/>
                <w:color w:val="auto"/>
              </w:rPr>
            </w:pPr>
          </w:p>
        </w:tc>
      </w:tr>
      <w:tr>
        <w:trPr>
          <w:trHeight w:val="188"/>
        </w:trPr>
        <w:tc>
          <w:tcPr>
            <w:tcW w:w="3200" w:type="dxa"/>
            <w:vAlign w:val="bottom"/>
          </w:tcPr>
          <w:p>
            <w:pPr>
              <w:jc w:val="center"/>
              <w:ind w:right="362"/>
              <w:spacing w:after="0"/>
              <w:rPr>
                <w:sz w:val="20"/>
                <w:szCs w:val="20"/>
                <w:color w:val="auto"/>
              </w:rPr>
            </w:pPr>
            <w:r>
              <w:rPr>
                <w:rFonts w:ascii="Times New Roman" w:cs="Times New Roman" w:eastAsia="Times New Roman" w:hAnsi="Times New Roman"/>
                <w:sz w:val="14"/>
                <w:szCs w:val="14"/>
                <w:color w:val="auto"/>
              </w:rPr>
              <w:t>(State or other jurisdiction of incorporation)</w:t>
            </w:r>
          </w:p>
        </w:tc>
        <w:tc>
          <w:tcPr>
            <w:tcW w:w="3760" w:type="dxa"/>
            <w:vAlign w:val="bottom"/>
            <w:vMerge w:val="restart"/>
          </w:tcPr>
          <w:p>
            <w:pPr>
              <w:ind w:left="1160"/>
              <w:spacing w:after="0"/>
              <w:rPr>
                <w:sz w:val="20"/>
                <w:szCs w:val="20"/>
                <w:color w:val="auto"/>
              </w:rPr>
            </w:pPr>
            <w:r>
              <w:rPr>
                <w:rFonts w:ascii="Times New Roman" w:cs="Times New Roman" w:eastAsia="Times New Roman" w:hAnsi="Times New Roman"/>
                <w:sz w:val="14"/>
                <w:szCs w:val="14"/>
                <w:color w:val="auto"/>
              </w:rPr>
              <w:t>Commission File Number)</w:t>
            </w:r>
          </w:p>
        </w:tc>
        <w:tc>
          <w:tcPr>
            <w:tcW w:w="3400" w:type="dxa"/>
            <w:vAlign w:val="bottom"/>
          </w:tcPr>
          <w:p>
            <w:pPr>
              <w:jc w:val="center"/>
              <w:ind w:left="302"/>
              <w:spacing w:after="0"/>
              <w:rPr>
                <w:sz w:val="20"/>
                <w:szCs w:val="20"/>
                <w:color w:val="auto"/>
              </w:rPr>
            </w:pPr>
            <w:r>
              <w:rPr>
                <w:rFonts w:ascii="Times New Roman" w:cs="Times New Roman" w:eastAsia="Times New Roman" w:hAnsi="Times New Roman"/>
                <w:sz w:val="14"/>
                <w:szCs w:val="14"/>
                <w:color w:val="auto"/>
              </w:rPr>
              <w:t>(IRS Employer Identification No.)</w:t>
            </w:r>
          </w:p>
        </w:tc>
        <w:tc>
          <w:tcPr>
            <w:tcW w:w="0" w:type="dxa"/>
            <w:vAlign w:val="bottom"/>
          </w:tcPr>
          <w:p>
            <w:pPr>
              <w:spacing w:after="0"/>
              <w:rPr>
                <w:sz w:val="1"/>
                <w:szCs w:val="1"/>
                <w:color w:val="auto"/>
              </w:rPr>
            </w:pPr>
          </w:p>
        </w:tc>
      </w:tr>
      <w:tr>
        <w:trPr>
          <w:trHeight w:val="54"/>
        </w:trPr>
        <w:tc>
          <w:tcPr>
            <w:tcW w:w="3200" w:type="dxa"/>
            <w:vAlign w:val="bottom"/>
          </w:tcPr>
          <w:p>
            <w:pPr>
              <w:spacing w:after="0"/>
              <w:rPr>
                <w:sz w:val="4"/>
                <w:szCs w:val="4"/>
                <w:color w:val="auto"/>
              </w:rPr>
            </w:pPr>
          </w:p>
        </w:tc>
        <w:tc>
          <w:tcPr>
            <w:tcW w:w="3760" w:type="dxa"/>
            <w:vAlign w:val="bottom"/>
            <w:vMerge w:val="continue"/>
          </w:tcPr>
          <w:p>
            <w:pPr>
              <w:spacing w:after="0"/>
              <w:rPr>
                <w:sz w:val="4"/>
                <w:szCs w:val="4"/>
                <w:color w:val="auto"/>
              </w:rPr>
            </w:pPr>
          </w:p>
        </w:tc>
        <w:tc>
          <w:tcPr>
            <w:tcW w:w="34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One Independent Drive, Suite 114</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Jacksonville, Florida 32202</w:t>
      </w:r>
    </w:p>
    <w:p>
      <w:pPr>
        <w:jc w:val="center"/>
        <w:spacing w:after="0" w:line="233" w:lineRule="auto"/>
        <w:rPr>
          <w:sz w:val="20"/>
          <w:szCs w:val="20"/>
          <w:color w:val="auto"/>
        </w:rPr>
      </w:pPr>
      <w:r>
        <w:rPr>
          <w:rFonts w:ascii="Times New Roman" w:cs="Times New Roman" w:eastAsia="Times New Roman" w:hAnsi="Times New Roman"/>
          <w:sz w:val="14"/>
          <w:szCs w:val="14"/>
          <w:color w:val="auto"/>
        </w:rPr>
        <w:t>(Address of principal executive offices) (Zip Code)</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(904) 598-7000</w:t>
      </w:r>
    </w:p>
    <w:p>
      <w:pPr>
        <w:jc w:val="center"/>
        <w:spacing w:after="0" w:line="234" w:lineRule="auto"/>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jc w:val="center"/>
        <w:spacing w:after="0" w:line="234" w:lineRule="auto"/>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Regency Centers Corporation</w:t>
      </w:r>
    </w:p>
    <w:p>
      <w:pPr>
        <w:spacing w:after="0" w:line="88"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5"/>
                <w:szCs w:val="15"/>
                <w:color w:val="auto"/>
              </w:rPr>
            </w:pPr>
          </w:p>
        </w:tc>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120" w:type="dxa"/>
            <w:vAlign w:val="bottom"/>
          </w:tcPr>
          <w:p>
            <w:pPr>
              <w:spacing w:after="0"/>
              <w:rPr>
                <w:sz w:val="15"/>
                <w:szCs w:val="15"/>
                <w:color w:val="auto"/>
              </w:rPr>
            </w:pPr>
          </w:p>
        </w:tc>
        <w:tc>
          <w:tcPr>
            <w:tcW w:w="3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17"/>
        </w:trPr>
        <w:tc>
          <w:tcPr>
            <w:tcW w:w="38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Common Stock, $0.01 par value</w:t>
            </w:r>
          </w:p>
        </w:tc>
        <w:tc>
          <w:tcPr>
            <w:tcW w:w="120" w:type="dxa"/>
            <w:vAlign w:val="bottom"/>
          </w:tcPr>
          <w:p>
            <w:pPr>
              <w:spacing w:after="0"/>
              <w:rPr>
                <w:sz w:val="10"/>
                <w:szCs w:val="10"/>
                <w:color w:val="auto"/>
              </w:rPr>
            </w:pPr>
          </w:p>
        </w:tc>
        <w:tc>
          <w:tcPr>
            <w:tcW w:w="33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REG</w:t>
            </w:r>
          </w:p>
        </w:tc>
        <w:tc>
          <w:tcPr>
            <w:tcW w:w="120" w:type="dxa"/>
            <w:vAlign w:val="bottom"/>
          </w:tcPr>
          <w:p>
            <w:pPr>
              <w:spacing w:after="0"/>
              <w:rPr>
                <w:sz w:val="10"/>
                <w:szCs w:val="10"/>
                <w:color w:val="auto"/>
              </w:rPr>
            </w:pPr>
          </w:p>
        </w:tc>
        <w:tc>
          <w:tcPr>
            <w:tcW w:w="38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The Nasdaq Stock Market LLC</w:t>
            </w:r>
          </w:p>
        </w:tc>
        <w:tc>
          <w:tcPr>
            <w:tcW w:w="0" w:type="dxa"/>
            <w:vAlign w:val="bottom"/>
          </w:tcPr>
          <w:p>
            <w:pPr>
              <w:spacing w:after="0"/>
              <w:rPr>
                <w:sz w:val="1"/>
                <w:szCs w:val="1"/>
                <w:color w:val="auto"/>
              </w:rPr>
            </w:pPr>
          </w:p>
        </w:tc>
      </w:tr>
      <w:tr>
        <w:trPr>
          <w:trHeight w:val="148"/>
        </w:trPr>
        <w:tc>
          <w:tcPr>
            <w:tcW w:w="3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6.250% Series A Cumulative Redeemable Preferred Stock,</w:t>
            </w:r>
          </w:p>
        </w:tc>
        <w:tc>
          <w:tcPr>
            <w:tcW w:w="120" w:type="dxa"/>
            <w:vAlign w:val="bottom"/>
          </w:tcPr>
          <w:p>
            <w:pPr>
              <w:spacing w:after="0"/>
              <w:rPr>
                <w:sz w:val="12"/>
                <w:szCs w:val="12"/>
                <w:color w:val="auto"/>
              </w:rPr>
            </w:pPr>
          </w:p>
        </w:tc>
        <w:tc>
          <w:tcPr>
            <w:tcW w:w="3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REGCP</w:t>
            </w:r>
          </w:p>
        </w:tc>
        <w:tc>
          <w:tcPr>
            <w:tcW w:w="120" w:type="dxa"/>
            <w:vAlign w:val="bottom"/>
          </w:tcPr>
          <w:p>
            <w:pPr>
              <w:spacing w:after="0"/>
              <w:rPr>
                <w:sz w:val="12"/>
                <w:szCs w:val="12"/>
                <w:color w:val="auto"/>
              </w:rPr>
            </w:pPr>
          </w:p>
        </w:tc>
        <w:tc>
          <w:tcPr>
            <w:tcW w:w="3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c>
          <w:tcPr>
            <w:tcW w:w="0" w:type="dxa"/>
            <w:vAlign w:val="bottom"/>
          </w:tcPr>
          <w:p>
            <w:pPr>
              <w:spacing w:after="0"/>
              <w:rPr>
                <w:sz w:val="1"/>
                <w:szCs w:val="1"/>
                <w:color w:val="auto"/>
              </w:rPr>
            </w:pPr>
          </w:p>
        </w:tc>
      </w:tr>
      <w:tr>
        <w:trPr>
          <w:trHeight w:val="148"/>
        </w:trPr>
        <w:tc>
          <w:tcPr>
            <w:tcW w:w="3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 value $0.01 per share</w:t>
            </w:r>
          </w:p>
        </w:tc>
        <w:tc>
          <w:tcPr>
            <w:tcW w:w="120" w:type="dxa"/>
            <w:vAlign w:val="bottom"/>
          </w:tcPr>
          <w:p>
            <w:pPr>
              <w:spacing w:after="0"/>
              <w:rPr>
                <w:sz w:val="12"/>
                <w:szCs w:val="12"/>
                <w:color w:val="auto"/>
              </w:rPr>
            </w:pPr>
          </w:p>
        </w:tc>
        <w:tc>
          <w:tcPr>
            <w:tcW w:w="33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3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5.875% Series B Cumulative Redeemable Preferred Stock,</w:t>
            </w:r>
          </w:p>
        </w:tc>
        <w:tc>
          <w:tcPr>
            <w:tcW w:w="120" w:type="dxa"/>
            <w:vAlign w:val="bottom"/>
          </w:tcPr>
          <w:p>
            <w:pPr>
              <w:spacing w:after="0"/>
              <w:rPr>
                <w:sz w:val="12"/>
                <w:szCs w:val="12"/>
                <w:color w:val="auto"/>
              </w:rPr>
            </w:pPr>
          </w:p>
        </w:tc>
        <w:tc>
          <w:tcPr>
            <w:tcW w:w="3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REGCO</w:t>
            </w:r>
          </w:p>
        </w:tc>
        <w:tc>
          <w:tcPr>
            <w:tcW w:w="120" w:type="dxa"/>
            <w:vAlign w:val="bottom"/>
          </w:tcPr>
          <w:p>
            <w:pPr>
              <w:spacing w:after="0"/>
              <w:rPr>
                <w:sz w:val="12"/>
                <w:szCs w:val="12"/>
                <w:color w:val="auto"/>
              </w:rPr>
            </w:pPr>
          </w:p>
        </w:tc>
        <w:tc>
          <w:tcPr>
            <w:tcW w:w="3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c>
          <w:tcPr>
            <w:tcW w:w="0" w:type="dxa"/>
            <w:vAlign w:val="bottom"/>
          </w:tcPr>
          <w:p>
            <w:pPr>
              <w:spacing w:after="0"/>
              <w:rPr>
                <w:sz w:val="1"/>
                <w:szCs w:val="1"/>
                <w:color w:val="auto"/>
              </w:rPr>
            </w:pPr>
          </w:p>
        </w:tc>
      </w:tr>
      <w:tr>
        <w:trPr>
          <w:trHeight w:val="190"/>
        </w:trPr>
        <w:tc>
          <w:tcPr>
            <w:tcW w:w="3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par value $0.01 per share</w:t>
            </w:r>
          </w:p>
        </w:tc>
        <w:tc>
          <w:tcPr>
            <w:tcW w:w="120" w:type="dxa"/>
            <w:vAlign w:val="bottom"/>
          </w:tcPr>
          <w:p>
            <w:pPr>
              <w:spacing w:after="0"/>
              <w:rPr>
                <w:sz w:val="16"/>
                <w:szCs w:val="16"/>
                <w:color w:val="auto"/>
              </w:rPr>
            </w:pPr>
          </w:p>
        </w:tc>
        <w:tc>
          <w:tcPr>
            <w:tcW w:w="33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3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Regency Centers, L.P.</w:t>
            </w:r>
          </w:p>
        </w:tc>
        <w:tc>
          <w:tcPr>
            <w:tcW w:w="1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9"/>
                <w:szCs w:val="19"/>
                <w:color w:val="auto"/>
              </w:rPr>
            </w:pPr>
          </w:p>
        </w:tc>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120" w:type="dxa"/>
            <w:vAlign w:val="bottom"/>
          </w:tcPr>
          <w:p>
            <w:pPr>
              <w:spacing w:after="0"/>
              <w:rPr>
                <w:sz w:val="19"/>
                <w:szCs w:val="19"/>
                <w:color w:val="auto"/>
              </w:rPr>
            </w:pPr>
          </w:p>
        </w:tc>
        <w:tc>
          <w:tcPr>
            <w:tcW w:w="3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4"/>
        </w:trPr>
        <w:tc>
          <w:tcPr>
            <w:tcW w:w="3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None</w:t>
            </w:r>
          </w:p>
        </w:tc>
        <w:tc>
          <w:tcPr>
            <w:tcW w:w="120" w:type="dxa"/>
            <w:vAlign w:val="bottom"/>
          </w:tcPr>
          <w:p>
            <w:pPr>
              <w:spacing w:after="0"/>
              <w:rPr>
                <w:sz w:val="15"/>
                <w:szCs w:val="15"/>
                <w:color w:val="auto"/>
              </w:rPr>
            </w:pPr>
          </w:p>
        </w:tc>
        <w:tc>
          <w:tcPr>
            <w:tcW w:w="3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N/A</w:t>
            </w:r>
          </w:p>
        </w:tc>
        <w:tc>
          <w:tcPr>
            <w:tcW w:w="120" w:type="dxa"/>
            <w:vAlign w:val="bottom"/>
          </w:tcPr>
          <w:p>
            <w:pPr>
              <w:spacing w:after="0"/>
              <w:rPr>
                <w:sz w:val="15"/>
                <w:szCs w:val="15"/>
                <w:color w:val="auto"/>
              </w:rPr>
            </w:pPr>
          </w:p>
        </w:tc>
        <w:tc>
          <w:tcPr>
            <w:tcW w:w="3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N/A</w:t>
            </w:r>
          </w:p>
        </w:tc>
        <w:tc>
          <w:tcPr>
            <w:tcW w:w="0" w:type="dxa"/>
            <w:vAlign w:val="bottom"/>
          </w:tcPr>
          <w:p>
            <w:pPr>
              <w:spacing w:after="0"/>
              <w:rPr>
                <w:sz w:val="1"/>
                <w:szCs w:val="1"/>
                <w:color w:val="auto"/>
              </w:rPr>
            </w:pPr>
          </w:p>
        </w:tc>
      </w:tr>
    </w:tbl>
    <w:p>
      <w:pPr>
        <w:spacing w:after="0" w:line="21" w:lineRule="exact"/>
        <w:rPr>
          <w:sz w:val="24"/>
          <w:szCs w:val="24"/>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42" w:lineRule="exact"/>
        <w:rPr>
          <w:sz w:val="24"/>
          <w:szCs w:val="24"/>
          <w:color w:val="auto"/>
        </w:rPr>
      </w:pPr>
    </w:p>
    <w:p>
      <w:pPr>
        <w:ind w:left="680" w:hanging="470"/>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 .425)</w:t>
      </w:r>
    </w:p>
    <w:p>
      <w:pPr>
        <w:spacing w:after="0" w:line="29" w:lineRule="exact"/>
        <w:rPr>
          <w:rFonts w:ascii="MS PGothic" w:cs="MS PGothic" w:eastAsia="MS PGothic" w:hAnsi="MS PGothic"/>
          <w:sz w:val="18"/>
          <w:szCs w:val="18"/>
          <w:color w:val="auto"/>
        </w:rPr>
      </w:pPr>
    </w:p>
    <w:p>
      <w:pPr>
        <w:ind w:left="680" w:hanging="470"/>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680" w:hanging="470"/>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680" w:hanging="470"/>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70"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1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753110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6" w:right="339" w:bottom="1440" w:gutter="0" w:footer="0" w:header="0"/>
        </w:sectPr>
      </w:pPr>
    </w:p>
    <w:bookmarkStart w:id="1" w:name="page2"/>
    <w:bookmarkEnd w:id="1"/>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May 18, 2026, Regency Centers Corporation (“Regency”) made available an updated investor presentation for use at various conferences and meetings beginning on the date hereof and in the coming weeks. The presentation is accessible through the investor relations section of Regency's website at investors.regencycenters.com.</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furnished under item 7.01, incorporated by reference herein, shall not be deemed “filed” for purposes of Section 18 of the Securities Exchange Act of 1934, as amended (the “Exchange Act”), or otherwise subject to the liabilities of that section and shall not be deemed to be incorporated by reference into any filing under the Securities Act of 1933, as amended, or the Exchange Act.</w:t>
      </w:r>
    </w:p>
    <w:p>
      <w:pPr>
        <w:spacing w:after="0" w:line="172"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p>
      <w:pPr>
        <w:spacing w:after="0" w:line="229" w:lineRule="exact"/>
        <w:rPr>
          <w:sz w:val="20"/>
          <w:szCs w:val="20"/>
          <w:color w:val="auto"/>
        </w:rPr>
      </w:pPr>
    </w:p>
    <w:p>
      <w:pPr>
        <w:ind w:left="5580" w:right="1940" w:hanging="5572"/>
        <w:spacing w:after="0" w:line="783" w:lineRule="auto"/>
        <w:tabs>
          <w:tab w:leader="none" w:pos="125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(the cover page XBRL tags are embedded within the inline XBRL documents)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00" w:type="dxa"/>
            <w:vAlign w:val="bottom"/>
          </w:tcPr>
          <w:p>
            <w:pPr>
              <w:spacing w:after="0"/>
              <w:rPr>
                <w:sz w:val="20"/>
                <w:szCs w:val="20"/>
                <w:color w:val="auto"/>
              </w:rPr>
            </w:pPr>
          </w:p>
        </w:tc>
        <w:tc>
          <w:tcPr>
            <w:tcW w:w="7940" w:type="dxa"/>
            <w:vAlign w:val="bottom"/>
            <w:gridSpan w:val="2"/>
          </w:tcPr>
          <w:p>
            <w:pPr>
              <w:ind w:left="2660"/>
              <w:spacing w:after="0"/>
              <w:rPr>
                <w:sz w:val="20"/>
                <w:szCs w:val="20"/>
                <w:color w:val="auto"/>
              </w:rPr>
            </w:pPr>
            <w:r>
              <w:rPr>
                <w:rFonts w:ascii="Times New Roman" w:cs="Times New Roman" w:eastAsia="Times New Roman" w:hAnsi="Times New Roman"/>
                <w:sz w:val="18"/>
                <w:szCs w:val="18"/>
                <w:b w:val="1"/>
                <w:bCs w:val="1"/>
                <w:color w:val="auto"/>
              </w:rPr>
              <w:t>REGENCY CENTERS CORPORATION</w:t>
            </w:r>
          </w:p>
        </w:tc>
      </w:tr>
      <w:tr>
        <w:trPr>
          <w:trHeight w:val="432"/>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May 18, 2026</w:t>
            </w:r>
          </w:p>
        </w:tc>
        <w:tc>
          <w:tcPr>
            <w:tcW w:w="7940" w:type="dxa"/>
            <w:vAlign w:val="bottom"/>
            <w:gridSpan w:val="2"/>
          </w:tcPr>
          <w:p>
            <w:pPr>
              <w:ind w:left="26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b w:val="1"/>
                <w:bCs w:val="1"/>
                <w:i w:val="1"/>
                <w:iCs w:val="1"/>
                <w:color w:val="auto"/>
              </w:rPr>
              <w:t>/s/ Michael R. Herman</w:t>
            </w:r>
          </w:p>
        </w:tc>
      </w:tr>
      <w:tr>
        <w:trPr>
          <w:trHeight w:val="191"/>
        </w:trPr>
        <w:tc>
          <w:tcPr>
            <w:tcW w:w="330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482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Michael R. Herman, Senior Vice President</w:t>
            </w:r>
          </w:p>
        </w:tc>
      </w:tr>
      <w:tr>
        <w:trPr>
          <w:trHeight w:val="234"/>
        </w:trPr>
        <w:tc>
          <w:tcPr>
            <w:tcW w:w="330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Counsel and Corporate Secretary</w:t>
            </w:r>
          </w:p>
        </w:tc>
      </w:tr>
      <w:tr>
        <w:trPr>
          <w:trHeight w:val="864"/>
        </w:trPr>
        <w:tc>
          <w:tcPr>
            <w:tcW w:w="3300" w:type="dxa"/>
            <w:vAlign w:val="bottom"/>
          </w:tcPr>
          <w:p>
            <w:pPr>
              <w:spacing w:after="0"/>
              <w:rPr>
                <w:sz w:val="24"/>
                <w:szCs w:val="24"/>
                <w:color w:val="auto"/>
              </w:rPr>
            </w:pPr>
          </w:p>
        </w:tc>
        <w:tc>
          <w:tcPr>
            <w:tcW w:w="7940" w:type="dxa"/>
            <w:vAlign w:val="bottom"/>
            <w:gridSpan w:val="2"/>
          </w:tcPr>
          <w:p>
            <w:pPr>
              <w:ind w:left="2660"/>
              <w:spacing w:after="0"/>
              <w:rPr>
                <w:sz w:val="20"/>
                <w:szCs w:val="20"/>
                <w:color w:val="auto"/>
              </w:rPr>
            </w:pPr>
            <w:r>
              <w:rPr>
                <w:rFonts w:ascii="Times New Roman" w:cs="Times New Roman" w:eastAsia="Times New Roman" w:hAnsi="Times New Roman"/>
                <w:sz w:val="18"/>
                <w:szCs w:val="18"/>
                <w:b w:val="1"/>
                <w:bCs w:val="1"/>
                <w:color w:val="auto"/>
              </w:rPr>
              <w:t>REGENCY CENTERS, L.P.</w:t>
            </w:r>
          </w:p>
        </w:tc>
      </w:tr>
      <w:tr>
        <w:trPr>
          <w:trHeight w:val="432"/>
        </w:trPr>
        <w:tc>
          <w:tcPr>
            <w:tcW w:w="3300" w:type="dxa"/>
            <w:vAlign w:val="bottom"/>
          </w:tcPr>
          <w:p>
            <w:pPr>
              <w:spacing w:after="0"/>
              <w:rPr>
                <w:sz w:val="24"/>
                <w:szCs w:val="24"/>
                <w:color w:val="auto"/>
              </w:rPr>
            </w:pPr>
          </w:p>
        </w:tc>
        <w:tc>
          <w:tcPr>
            <w:tcW w:w="7940" w:type="dxa"/>
            <w:vAlign w:val="bottom"/>
            <w:gridSpan w:val="2"/>
          </w:tcPr>
          <w:p>
            <w:pPr>
              <w:ind w:left="2660"/>
              <w:spacing w:after="0"/>
              <w:rPr>
                <w:sz w:val="20"/>
                <w:szCs w:val="20"/>
                <w:color w:val="auto"/>
              </w:rPr>
            </w:pPr>
            <w:r>
              <w:rPr>
                <w:rFonts w:ascii="Times New Roman" w:cs="Times New Roman" w:eastAsia="Times New Roman" w:hAnsi="Times New Roman"/>
                <w:sz w:val="18"/>
                <w:szCs w:val="18"/>
                <w:b w:val="1"/>
                <w:bCs w:val="1"/>
                <w:color w:val="auto"/>
              </w:rPr>
              <w:t>By: Regency Centers Corporation, its general partner</w:t>
            </w:r>
          </w:p>
        </w:tc>
      </w:tr>
      <w:tr>
        <w:trPr>
          <w:trHeight w:val="432"/>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May 18, 2026</w:t>
            </w:r>
          </w:p>
        </w:tc>
        <w:tc>
          <w:tcPr>
            <w:tcW w:w="7940" w:type="dxa"/>
            <w:vAlign w:val="bottom"/>
            <w:gridSpan w:val="2"/>
          </w:tcPr>
          <w:p>
            <w:pPr>
              <w:ind w:left="26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b w:val="1"/>
                <w:bCs w:val="1"/>
                <w:i w:val="1"/>
                <w:iCs w:val="1"/>
                <w:color w:val="auto"/>
              </w:rPr>
              <w:t>/s/ Michael R. Herman</w:t>
            </w:r>
          </w:p>
        </w:tc>
      </w:tr>
      <w:tr>
        <w:trPr>
          <w:trHeight w:val="191"/>
        </w:trPr>
        <w:tc>
          <w:tcPr>
            <w:tcW w:w="330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482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Michael R. Herman, Senior Vice President</w:t>
            </w:r>
          </w:p>
        </w:tc>
      </w:tr>
      <w:tr>
        <w:trPr>
          <w:trHeight w:val="234"/>
        </w:trPr>
        <w:tc>
          <w:tcPr>
            <w:tcW w:w="330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Counsel and Corporate Secretary</w:t>
            </w:r>
          </w:p>
        </w:tc>
      </w:tr>
      <w:tr>
        <w:trPr>
          <w:trHeight w:val="432"/>
        </w:trPr>
        <w:tc>
          <w:tcPr>
            <w:tcW w:w="3300" w:type="dxa"/>
            <w:vAlign w:val="bottom"/>
          </w:tcPr>
          <w:p>
            <w:pPr>
              <w:spacing w:after="0"/>
              <w:rPr>
                <w:sz w:val="24"/>
                <w:szCs w:val="24"/>
                <w:color w:val="auto"/>
              </w:rPr>
            </w:pPr>
          </w:p>
        </w:tc>
        <w:tc>
          <w:tcPr>
            <w:tcW w:w="312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3</w:t>
            </w:r>
          </w:p>
        </w:tc>
        <w:tc>
          <w:tcPr>
            <w:tcW w:w="4820" w:type="dxa"/>
            <w:vAlign w:val="bottom"/>
          </w:tcPr>
          <w:p>
            <w:pPr>
              <w:spacing w:after="0"/>
              <w:rPr>
                <w:sz w:val="24"/>
                <w:szCs w:val="24"/>
                <w:color w:val="auto"/>
              </w:rPr>
            </w:pPr>
          </w:p>
        </w:tc>
      </w:tr>
      <w:tr>
        <w:trPr>
          <w:trHeight w:val="763"/>
        </w:trPr>
        <w:tc>
          <w:tcPr>
            <w:tcW w:w="3300" w:type="dxa"/>
            <w:vAlign w:val="bottom"/>
            <w:tcBorders>
              <w:bottom w:val="single" w:sz="8" w:color="9A9A9A"/>
            </w:tcBorders>
          </w:tcPr>
          <w:p>
            <w:pPr>
              <w:spacing w:after="0"/>
              <w:rPr>
                <w:sz w:val="24"/>
                <w:szCs w:val="24"/>
                <w:color w:val="auto"/>
              </w:rPr>
            </w:pPr>
          </w:p>
        </w:tc>
        <w:tc>
          <w:tcPr>
            <w:tcW w:w="312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2026-05-18T11:29:06Z</dcterms:created>
  <dcterms:modified xsi:type="dcterms:W3CDTF">2026-05-18T11:29:06Z</dcterms:modified>
</cp:coreProperties>
</file>