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7, 2026 (May 6,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320" w:type="dxa"/>
            <w:vAlign w:val="bottom"/>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221"/>
        </w:trPr>
        <w:tc>
          <w:tcPr>
            <w:tcW w:w="3320" w:type="dxa"/>
            <w:vAlign w:val="bottom"/>
          </w:tcPr>
          <w:p>
            <w:pPr>
              <w:jc w:val="center"/>
              <w:ind w:left="36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(Commission File Number)</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gridSpan w:val="7"/>
          </w:tcPr>
          <w:p>
            <w:pPr>
              <w:jc w:val="center"/>
              <w:ind w:right="1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One Independent Drive, Suite 114</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00" w:type="dxa"/>
            <w:vAlign w:val="bottom"/>
            <w:gridSpan w:val="6"/>
          </w:tcPr>
          <w:p>
            <w:pPr>
              <w:jc w:val="center"/>
              <w:ind w:right="540"/>
              <w:spacing w:after="0" w:line="251" w:lineRule="exact"/>
              <w:rPr>
                <w:sz w:val="20"/>
                <w:szCs w:val="20"/>
                <w:color w:val="auto"/>
              </w:rPr>
            </w:pPr>
            <w:r>
              <w:rPr>
                <w:rFonts w:ascii="Times New Roman" w:cs="Times New Roman" w:eastAsia="Times New Roman" w:hAnsi="Times New Roman"/>
                <w:sz w:val="22"/>
                <w:szCs w:val="22"/>
                <w:b w:val="1"/>
                <w:bCs w:val="1"/>
                <w:color w:val="auto"/>
                <w:w w:val="98"/>
              </w:rPr>
              <w:t>Jacksonville, Florida 32202</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center"/>
              <w:ind w:left="41"/>
              <w:spacing w:after="0"/>
              <w:rPr>
                <w:sz w:val="20"/>
                <w:szCs w:val="20"/>
                <w:color w:val="auto"/>
              </w:rPr>
            </w:pPr>
            <w:r>
              <w:rPr>
                <w:rFonts w:ascii="Times New Roman" w:cs="Times New Roman" w:eastAsia="Times New Roman" w:hAnsi="Times New Roman"/>
                <w:sz w:val="18"/>
                <w:szCs w:val="18"/>
                <w:b w:val="1"/>
                <w:bCs w:val="1"/>
                <w:color w:val="auto"/>
                <w:w w:val="99"/>
              </w:rPr>
              <w:t>(904) 598-7000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gridSpan w:val="8"/>
          </w:tcPr>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320" w:type="dxa"/>
            <w:vAlign w:val="bottom"/>
          </w:tcPr>
          <w:p>
            <w:pPr>
              <w:spacing w:after="0"/>
              <w:rPr>
                <w:sz w:val="22"/>
                <w:szCs w:val="22"/>
                <w:color w:val="auto"/>
              </w:rPr>
            </w:pPr>
          </w:p>
        </w:tc>
        <w:tc>
          <w:tcPr>
            <w:tcW w:w="7920" w:type="dxa"/>
            <w:vAlign w:val="bottom"/>
            <w:gridSpan w:val="10"/>
          </w:tcPr>
          <w:p>
            <w:pPr>
              <w:jc w:val="center"/>
              <w:ind w:right="324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Regency Centers Corporation</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32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00" w:type="dxa"/>
            <w:vAlign w:val="bottom"/>
          </w:tcPr>
          <w:p>
            <w:pPr>
              <w:jc w:val="center"/>
              <w:ind w:right="48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320" w:type="dxa"/>
            <w:vAlign w:val="bottom"/>
            <w:tcBorders>
              <w:top w:val="single" w:sz="8" w:color="auto"/>
            </w:tcBorders>
          </w:tcPr>
          <w:p>
            <w:pPr>
              <w:jc w:val="center"/>
              <w:ind w:left="1007"/>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0" w:type="dxa"/>
            <w:vAlign w:val="bottom"/>
            <w:tcBorders>
              <w:top w:val="single" w:sz="8" w:color="auto"/>
            </w:tcBorders>
          </w:tcPr>
          <w:p>
            <w:pPr>
              <w:jc w:val="center"/>
              <w:ind w:right="507"/>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9"/>
        </w:trPr>
        <w:tc>
          <w:tcPr>
            <w:tcW w:w="4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4"/>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REGCP</w:t>
            </w:r>
          </w:p>
        </w:tc>
        <w:tc>
          <w:tcPr>
            <w:tcW w:w="3800" w:type="dxa"/>
            <w:vAlign w:val="bottom"/>
            <w:vMerge w:val="restart"/>
          </w:tcPr>
          <w:p>
            <w:pPr>
              <w:jc w:val="center"/>
              <w:ind w:right="507"/>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3320" w:type="dxa"/>
            <w:vAlign w:val="bottom"/>
            <w:vMerge w:val="restart"/>
          </w:tcPr>
          <w:p>
            <w:pPr>
              <w:jc w:val="center"/>
              <w:ind w:left="1027"/>
              <w:spacing w:after="0" w:line="149" w:lineRule="exact"/>
              <w:rPr>
                <w:sz w:val="20"/>
                <w:szCs w:val="20"/>
                <w:color w:val="auto"/>
              </w:rPr>
            </w:pPr>
            <w:r>
              <w:rPr>
                <w:rFonts w:ascii="Times New Roman" w:cs="Times New Roman" w:eastAsia="Times New Roman" w:hAnsi="Times New Roman"/>
                <w:sz w:val="14"/>
                <w:szCs w:val="14"/>
                <w:b w:val="1"/>
                <w:bCs w:val="1"/>
                <w:color w:val="auto"/>
              </w:rPr>
              <w:t>$0.01 per share</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4"/>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4"/>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REGCO</w:t>
            </w:r>
          </w:p>
        </w:tc>
        <w:tc>
          <w:tcPr>
            <w:tcW w:w="3800" w:type="dxa"/>
            <w:vAlign w:val="bottom"/>
            <w:vMerge w:val="restart"/>
          </w:tcPr>
          <w:p>
            <w:pPr>
              <w:jc w:val="center"/>
              <w:ind w:right="507"/>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3320" w:type="dxa"/>
            <w:vAlign w:val="bottom"/>
            <w:vMerge w:val="restart"/>
          </w:tcPr>
          <w:p>
            <w:pPr>
              <w:jc w:val="center"/>
              <w:ind w:left="1027"/>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4"/>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320" w:type="dxa"/>
            <w:vAlign w:val="bottom"/>
          </w:tcPr>
          <w:p>
            <w:pPr>
              <w:jc w:val="center"/>
              <w:ind w:left="44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320" w:type="dxa"/>
            <w:vAlign w:val="bottom"/>
            <w:tcBorders>
              <w:top w:val="single" w:sz="8" w:color="auto"/>
            </w:tcBorders>
          </w:tcPr>
          <w:p>
            <w:pPr>
              <w:jc w:val="center"/>
              <w:ind w:left="447"/>
              <w:spacing w:after="0"/>
              <w:rPr>
                <w:sz w:val="20"/>
                <w:szCs w:val="20"/>
                <w:color w:val="auto"/>
              </w:rPr>
            </w:pPr>
            <w:r>
              <w:rPr>
                <w:rFonts w:ascii="Times New Roman" w:cs="Times New Roman" w:eastAsia="Times New Roman" w:hAnsi="Times New Roman"/>
                <w:sz w:val="14"/>
                <w:szCs w:val="14"/>
                <w:b w:val="1"/>
                <w:bCs w:val="1"/>
                <w:color w:val="auto"/>
              </w:rPr>
              <w:t>None</w:t>
            </w: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2026, Regency Centers Corporation (the "Company”) held an annual meeting of its shareholders to vote on the following proposals: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One - Election of Directors: </w:t>
      </w:r>
      <w:r>
        <w:rPr>
          <w:rFonts w:ascii="Times New Roman" w:cs="Times New Roman" w:eastAsia="Times New Roman" w:hAnsi="Times New Roman"/>
          <w:sz w:val="18"/>
          <w:szCs w:val="18"/>
          <w:color w:val="auto"/>
        </w:rPr>
        <w:t>The board of directors proposed eleven nominees to stand for election at the 2026 annual meeting and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was elected. Each of the nominees was elected to serve until the 2027 annual meeting or until their successors are duly elected and qualified. The voting results are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6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0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00" w:type="dxa"/>
            <w:vAlign w:val="bottom"/>
          </w:tcPr>
          <w:p>
            <w:pPr>
              <w:spacing w:after="0"/>
              <w:rPr>
                <w:sz w:val="18"/>
                <w:szCs w:val="18"/>
                <w:color w:val="auto"/>
              </w:rPr>
            </w:pPr>
          </w:p>
        </w:tc>
        <w:tc>
          <w:tcPr>
            <w:tcW w:w="15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00" w:type="dxa"/>
            <w:vAlign w:val="bottom"/>
          </w:tcPr>
          <w:p>
            <w:pPr>
              <w:spacing w:after="0"/>
              <w:rPr>
                <w:sz w:val="18"/>
                <w:szCs w:val="18"/>
                <w:color w:val="auto"/>
              </w:rPr>
            </w:pP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6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Martin E. Stein, Jr.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169,577,767</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2,125,310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70,382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Gary E. Anderson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169,503,471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2,198,241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71,747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Bryce Blair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168,751,018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2,950,756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71,685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Kristin A. Campbell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168,212,220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3,490,341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70,898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Deirdre J. Evens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171,519,894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183,455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70,110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Thomas W. Furphy</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171,668,953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32,666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71,840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Karin M. Klein</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169,722,196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1,705,569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345,694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Peter D. Linneman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170,061,709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1,640,326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Lisa Palmer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171,679,364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70,171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Mark J. Parrell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171,666,729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71,668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H. Simmons, III</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171,515,994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184,058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73,407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Two - Advisory Vote on Executive Compensation for Fiscal Year 2025: </w:t>
      </w:r>
      <w:r>
        <w:rPr>
          <w:rFonts w:ascii="Times New Roman" w:cs="Times New Roman" w:eastAsia="Times New Roman" w:hAnsi="Times New Roman"/>
          <w:sz w:val="18"/>
          <w:szCs w:val="18"/>
          <w:color w:val="auto"/>
        </w:rPr>
        <w:t>Results of the non-binding advisory vote of the shareholders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compensation of the Company's named executive officers for fiscal year 2025 were as follows: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5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10"/>
        </w:trPr>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164,324,175</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7,114,045</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335,239</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3,181,307</w:t>
            </w:r>
          </w:p>
        </w:tc>
      </w:tr>
    </w:tbl>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Three - Ratification of Appointment of KPMG LLP as the Company's Independent Registered Public Accounting Firm: </w:t>
      </w:r>
      <w:r>
        <w:rPr>
          <w:rFonts w:ascii="Times New Roman" w:cs="Times New Roman" w:eastAsia="Times New Roman" w:hAnsi="Times New Roman"/>
          <w:sz w:val="18"/>
          <w:szCs w:val="18"/>
          <w:color w:val="auto"/>
        </w:rPr>
        <w:t>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the accounting firm of KPMG LLP to serve as the independent registered public accounting firm for the Company for the current fiscal year ending December 31, 2026, and also submitted such appointment for ratification by the shareholders at the annual meeting. The shareholders ratified the appointment of KPMG LLP, with the voting results as follows:</w:t>
      </w:r>
    </w:p>
    <w:p>
      <w:pPr>
        <w:spacing w:after="0" w:line="130" w:lineRule="exact"/>
        <w:rPr>
          <w:sz w:val="20"/>
          <w:szCs w:val="20"/>
          <w:color w:val="auto"/>
        </w:rPr>
      </w:pPr>
    </w:p>
    <w:tbl>
      <w:tblPr>
        <w:tblLayout w:type="fixed"/>
        <w:tblInd w:w="2260" w:type="dxa"/>
        <w:tblCellMar>
          <w:top w:w="0" w:type="dxa"/>
          <w:left w:w="0" w:type="dxa"/>
          <w:bottom w:w="0" w:type="dxa"/>
          <w:right w:w="0" w:type="dxa"/>
        </w:tblCellMar>
      </w:tblPr>
      <w:tr>
        <w:trPr>
          <w:trHeight w:val="212"/>
        </w:trPr>
        <w:tc>
          <w:tcPr>
            <w:tcW w:w="24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For</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00" w:type="dxa"/>
            <w:vAlign w:val="bottom"/>
          </w:tcPr>
          <w:p>
            <w:pPr>
              <w:spacing w:after="0"/>
              <w:rPr>
                <w:sz w:val="18"/>
                <w:szCs w:val="18"/>
                <w:color w:val="auto"/>
              </w:rPr>
            </w:pPr>
          </w:p>
        </w:tc>
        <w:tc>
          <w:tcPr>
            <w:tcW w:w="18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210"/>
        </w:trPr>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160,466,059</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14,454,754</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33,953</w:t>
            </w:r>
          </w:p>
        </w:tc>
      </w:tr>
    </w:tbl>
    <w:p>
      <w:pPr>
        <w:spacing w:after="0" w:line="18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Declaration of Dividend for Common Stock and Series A and Series B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the Board of the Company:</w:t>
      </w:r>
    </w:p>
    <w:p>
      <w:pPr>
        <w:spacing w:after="0" w:line="171" w:lineRule="exact"/>
        <w:rPr>
          <w:sz w:val="20"/>
          <w:szCs w:val="20"/>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Company's common stock of $0.755 per share, payable on July 2, 2026 to shareholders of record as of June 12, 2026.</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Company’s 6.250% Series A Cumulative Redeemable Preferred Stock (the “Series A Preferred Stock”), which will be paid at a rate of $0.390625 per share on July 31, 2026. The dividend will be payable to holders of record of the Company’s Series A Preferred Stock as of the close of business on July 16, 2026;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Company’s 5.875% Series B Cumulative Redeemable Preferred Stock (the “Series B Preferred Stock”), which will be paid at a rate of $0.367200 per share on July 31, 2026. The dividend will be payable to holders of record of the Company’s Series B Preferred Stock as of the close of business on July 16, 2026.</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9.01(d)</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Regency Centers Corporation on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318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2620" cy="8890"/>
                    </a:xfrm>
                    <a:prstGeom prst="rect">
                      <a:avLst/>
                    </a:prstGeom>
                    <a:noFill/>
                  </pic:spPr>
                </pic:pic>
              </a:graphicData>
            </a:graphic>
          </wp:anchor>
        </w:drawing>
      </w:r>
    </w:p>
    <w:p>
      <w:pPr>
        <w:spacing w:after="0" w:line="30" w:lineRule="exact"/>
        <w:rPr>
          <w:sz w:val="20"/>
          <w:szCs w:val="20"/>
          <w:color w:val="auto"/>
        </w:rPr>
      </w:pPr>
    </w:p>
    <w:p>
      <w:pPr>
        <w:ind w:left="5580" w:right="1940" w:hanging="5572"/>
        <w:spacing w:after="0" w:line="783" w:lineRule="auto"/>
        <w:tabs>
          <w:tab w:leader="none" w:pos="1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26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color w:val="auto"/>
          <w:shd w:val="clear" w:color="auto" w:fill="3A3430"/>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45920" cy="951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28"/>
          <w:szCs w:val="28"/>
          <w:color w:val="auto"/>
          <w:shd w:val="clear" w:color="auto" w:fill="3A3430"/>
        </w:rPr>
        <w:t>NEWS RELEASE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For immediate release</w:t>
      </w:r>
    </w:p>
    <w:p>
      <w:pPr>
        <w:spacing w:after="0" w:line="281"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3A3430"/>
        </w:rPr>
        <w:t>Kathryn McKie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904 598 7348</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3A3430"/>
        </w:rPr>
        <w:t>KathrynMcKie@regencycenters.com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Regency Centers Declares Quarterly Dividends</w:t>
      </w:r>
    </w:p>
    <w:p>
      <w:pPr>
        <w:spacing w:after="0" w:line="200" w:lineRule="exact"/>
        <w:rPr>
          <w:sz w:val="20"/>
          <w:szCs w:val="20"/>
          <w:color w:val="auto"/>
        </w:rPr>
      </w:pPr>
    </w:p>
    <w:p>
      <w:pPr>
        <w:spacing w:after="0" w:line="35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highlight w:val="black"/>
        </w:rPr>
        <w:t xml:space="preserve">JACKSONVILLE, Fla. </w:t>
      </w:r>
      <w:r>
        <w:rPr>
          <w:rFonts w:ascii="Arial" w:cs="Arial" w:eastAsia="Arial" w:hAnsi="Arial"/>
          <w:sz w:val="21"/>
          <w:szCs w:val="21"/>
          <w:color w:val="auto"/>
        </w:rPr>
        <w:t>(May 7, 2026) – Regency Centers Corporation (“Regency Centers,” “Regency” or the</w:t>
      </w:r>
      <w:r>
        <w:rPr>
          <w:rFonts w:ascii="Arial" w:cs="Arial" w:eastAsia="Arial" w:hAnsi="Arial"/>
          <w:sz w:val="21"/>
          <w:szCs w:val="21"/>
          <w:color w:val="auto"/>
          <w:highlight w:val="black"/>
        </w:rPr>
        <w:t xml:space="preserve"> </w:t>
      </w:r>
      <w:r>
        <w:rPr>
          <w:rFonts w:ascii="Arial" w:cs="Arial" w:eastAsia="Arial" w:hAnsi="Arial"/>
          <w:sz w:val="21"/>
          <w:szCs w:val="21"/>
          <w:color w:val="auto"/>
        </w:rPr>
        <w:t>“Company”) (NASDAQ: REG) announced today that the Company’s Board of Directors (the “Board”) declared quarterly cash dividends on Regency’s common stock, Series A preferred stock, and Series B preferred stock, respectively.</w:t>
      </w:r>
    </w:p>
    <w:p>
      <w:pPr>
        <w:spacing w:after="0" w:line="368" w:lineRule="exact"/>
        <w:rPr>
          <w:sz w:val="20"/>
          <w:szCs w:val="20"/>
          <w:color w:val="auto"/>
        </w:rPr>
      </w:pPr>
    </w:p>
    <w:p>
      <w:pPr>
        <w:ind w:left="380" w:right="20" w:hanging="372"/>
        <w:spacing w:after="0" w:line="239"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1"/>
          <w:szCs w:val="21"/>
          <w:color w:val="auto"/>
        </w:rPr>
        <w:t>On May 6, 2026, the Board declared a quarterly cash dividend on the Company’s common stock of $0.755 per share. The dividend is payable on July 2, 2026, to shareholders of record as of June 12, 2026.</w:t>
      </w:r>
    </w:p>
    <w:p>
      <w:pPr>
        <w:spacing w:after="0" w:line="128" w:lineRule="exact"/>
        <w:rPr>
          <w:rFonts w:ascii="Times New Roman" w:cs="Times New Roman" w:eastAsia="Times New Roman" w:hAnsi="Times New Roman"/>
          <w:sz w:val="22"/>
          <w:szCs w:val="22"/>
          <w:color w:val="auto"/>
        </w:rPr>
      </w:pPr>
    </w:p>
    <w:p>
      <w:pPr>
        <w:ind w:left="380" w:hanging="372"/>
        <w:spacing w:after="0" w:line="239"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1"/>
          <w:szCs w:val="21"/>
          <w:color w:val="auto"/>
        </w:rPr>
        <w:t>On May 6, 2026, the Board declared a quarterly cash dividend on the Company’s Series A preferred stock of $0.390625 per share. The dividend is payable on July 31, 2026, to shareholders of record as of July 16, 2026.</w:t>
      </w:r>
    </w:p>
    <w:p>
      <w:pPr>
        <w:spacing w:after="0" w:line="128" w:lineRule="exact"/>
        <w:rPr>
          <w:rFonts w:ascii="Times New Roman" w:cs="Times New Roman" w:eastAsia="Times New Roman" w:hAnsi="Times New Roman"/>
          <w:sz w:val="22"/>
          <w:szCs w:val="22"/>
          <w:color w:val="auto"/>
        </w:rPr>
      </w:pPr>
    </w:p>
    <w:p>
      <w:pPr>
        <w:ind w:left="380" w:right="20" w:hanging="372"/>
        <w:spacing w:after="0" w:line="239"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1"/>
          <w:szCs w:val="21"/>
          <w:color w:val="auto"/>
        </w:rPr>
        <w:t>On May 6, 2026, the Board declared a quarterly cash dividend on the Company’s Series B preferred stock of $0.367200 per share. The dividend is payable on July 31, 2026, to shareholders of record as of July 16,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About Regency Centers Corporation (NASDAQ: REG)</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RegencyCenters.com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2026-05-07T10:06:39Z</dcterms:created>
  <dcterms:modified xsi:type="dcterms:W3CDTF">2026-05-07T10:06:39Z</dcterms:modified>
</cp:coreProperties>
</file>