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line="228"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0"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quarterly period ended June 30, 2024</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74" w:lineRule="exact"/>
        <w:rPr>
          <w:sz w:val="24"/>
          <w:szCs w:val="24"/>
          <w:color w:val="auto"/>
        </w:rPr>
      </w:pPr>
    </w:p>
    <w:p>
      <w:pPr>
        <w:ind w:left="1140" w:hanging="198"/>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0" w:lineRule="exact"/>
        <w:rPr>
          <w:sz w:val="24"/>
          <w:szCs w:val="24"/>
          <w:color w:val="auto"/>
        </w:rPr>
      </w:pPr>
    </w:p>
    <w:p>
      <w:pPr>
        <w:ind w:left="4060"/>
        <w:spacing w:after="0"/>
        <w:tabs>
          <w:tab w:leader="none" w:pos="6520" w:val="left"/>
        </w:tabs>
        <w:rPr>
          <w:sz w:val="20"/>
          <w:szCs w:val="20"/>
          <w:color w:val="auto"/>
        </w:rPr>
      </w:pPr>
      <w:r>
        <w:rPr>
          <w:rFonts w:ascii="Times New Roman" w:cs="Times New Roman" w:eastAsia="Times New Roman" w:hAnsi="Times New Roman"/>
          <w:sz w:val="16"/>
          <w:szCs w:val="16"/>
          <w:color w:val="auto"/>
        </w:rPr>
        <w:t>For the transition period from</w:t>
      </w:r>
      <w:r>
        <w:rPr>
          <w:sz w:val="20"/>
          <w:szCs w:val="20"/>
          <w:color w:val="auto"/>
        </w:rPr>
        <w:tab/>
      </w:r>
      <w:r>
        <w:rPr>
          <w:rFonts w:ascii="Times New Roman" w:cs="Times New Roman" w:eastAsia="Times New Roman" w:hAnsi="Times New Roman"/>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3821430</wp:posOffset>
            </wp:positionH>
            <wp:positionV relativeFrom="paragraph">
              <wp:posOffset>-4445</wp:posOffset>
            </wp:positionV>
            <wp:extent cx="3086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1-12298 (Regency Centers Corporation)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0-24763 (Regency Centers, L.P.)</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CORPORATION</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L.P.</w:t>
      </w: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FLORIDA (REGENCY CENTERS CORPORATION)</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8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59-3191743</w:t>
            </w:r>
          </w:p>
        </w:tc>
        <w:tc>
          <w:tcPr>
            <w:tcW w:w="0" w:type="dxa"/>
            <w:vAlign w:val="bottom"/>
          </w:tcPr>
          <w:p>
            <w:pPr>
              <w:spacing w:after="0"/>
              <w:rPr>
                <w:sz w:val="1"/>
                <w:szCs w:val="1"/>
                <w:color w:val="auto"/>
              </w:rPr>
            </w:pPr>
          </w:p>
        </w:tc>
      </w:tr>
      <w:tr>
        <w:trPr>
          <w:trHeight w:val="216"/>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 (REGENCY CENTERS, L.P)</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78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59-3429602</w:t>
            </w:r>
          </w:p>
        </w:tc>
        <w:tc>
          <w:tcPr>
            <w:tcW w:w="0" w:type="dxa"/>
            <w:vAlign w:val="bottom"/>
          </w:tcPr>
          <w:p>
            <w:pPr>
              <w:spacing w:after="0"/>
              <w:rPr>
                <w:sz w:val="1"/>
                <w:szCs w:val="1"/>
                <w:color w:val="auto"/>
              </w:rPr>
            </w:pPr>
          </w:p>
        </w:tc>
      </w:tr>
      <w:tr>
        <w:trPr>
          <w:trHeight w:val="270"/>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780" w:type="dxa"/>
            <w:vAlign w:val="bottom"/>
          </w:tcPr>
          <w:p>
            <w:pPr>
              <w:jc w:val="center"/>
              <w:ind w:right="52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63"/>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One Independent Drive, Suite 114</w:t>
            </w: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Jacksonville, Florida 32202</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80" w:type="dxa"/>
            <w:vAlign w:val="bottom"/>
            <w:vMerge w:val="restart"/>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(904) 598-7000</w:t>
            </w:r>
          </w:p>
        </w:tc>
        <w:tc>
          <w:tcPr>
            <w:tcW w:w="0" w:type="dxa"/>
            <w:vAlign w:val="bottom"/>
          </w:tcPr>
          <w:p>
            <w:pPr>
              <w:spacing w:after="0"/>
              <w:rPr>
                <w:sz w:val="1"/>
                <w:szCs w:val="1"/>
                <w:color w:val="auto"/>
              </w:rPr>
            </w:pPr>
          </w:p>
        </w:tc>
      </w:tr>
      <w:tr>
        <w:trPr>
          <w:trHeight w:val="82"/>
        </w:trPr>
        <w:tc>
          <w:tcPr>
            <w:tcW w:w="4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80" w:type="dxa"/>
            <w:vAlign w:val="bottom"/>
          </w:tcPr>
          <w:p>
            <w:pPr>
              <w:jc w:val="center"/>
              <w:ind w:right="52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243"/>
        </w:trPr>
        <w:tc>
          <w:tcPr>
            <w:tcW w:w="7460" w:type="dxa"/>
            <w:vAlign w:val="bottom"/>
            <w:gridSpan w:val="5"/>
          </w:tcPr>
          <w:p>
            <w:pPr>
              <w:jc w:val="center"/>
              <w:ind w:left="370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Regency Centers Corporation</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294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78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58"/>
        </w:trPr>
        <w:tc>
          <w:tcPr>
            <w:tcW w:w="44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Common Stock, $0.01 par value</w:t>
            </w:r>
          </w:p>
        </w:tc>
        <w:tc>
          <w:tcPr>
            <w:tcW w:w="120" w:type="dxa"/>
            <w:vAlign w:val="bottom"/>
          </w:tcPr>
          <w:p>
            <w:pPr>
              <w:spacing w:after="0"/>
              <w:rPr>
                <w:sz w:val="13"/>
                <w:szCs w:val="13"/>
                <w:color w:val="auto"/>
              </w:rPr>
            </w:pPr>
          </w:p>
        </w:tc>
        <w:tc>
          <w:tcPr>
            <w:tcW w:w="22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REG</w:t>
            </w: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780" w:type="dxa"/>
            <w:vAlign w:val="bottom"/>
            <w:tcBorders>
              <w:top w:val="single" w:sz="8" w:color="auto"/>
            </w:tcBorders>
          </w:tcPr>
          <w:p>
            <w:pPr>
              <w:jc w:val="center"/>
              <w:ind w:right="528"/>
              <w:spacing w:after="0" w:line="158"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48"/>
        </w:trPr>
        <w:tc>
          <w:tcPr>
            <w:tcW w:w="4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6.250% Series A Cumulative Redeemable Preferred Stock, par value</w:t>
            </w:r>
          </w:p>
        </w:tc>
        <w:tc>
          <w:tcPr>
            <w:tcW w:w="120" w:type="dxa"/>
            <w:vAlign w:val="bottom"/>
          </w:tcPr>
          <w:p>
            <w:pPr>
              <w:spacing w:after="0"/>
              <w:rPr>
                <w:sz w:val="12"/>
                <w:szCs w:val="12"/>
                <w:color w:val="auto"/>
              </w:rPr>
            </w:pPr>
          </w:p>
        </w:tc>
        <w:tc>
          <w:tcPr>
            <w:tcW w:w="2940" w:type="dxa"/>
            <w:vAlign w:val="bottom"/>
            <w:gridSpan w:val="3"/>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REGCP</w:t>
            </w:r>
          </w:p>
        </w:tc>
        <w:tc>
          <w:tcPr>
            <w:tcW w:w="3780" w:type="dxa"/>
            <w:vAlign w:val="bottom"/>
            <w:vMerge w:val="restart"/>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09"/>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$0.01 per share</w:t>
            </w:r>
          </w:p>
        </w:tc>
        <w:tc>
          <w:tcPr>
            <w:tcW w:w="120" w:type="dxa"/>
            <w:vAlign w:val="bottom"/>
          </w:tcPr>
          <w:p>
            <w:pPr>
              <w:spacing w:after="0"/>
              <w:rPr>
                <w:sz w:val="9"/>
                <w:szCs w:val="9"/>
                <w:color w:val="auto"/>
              </w:rPr>
            </w:pPr>
          </w:p>
        </w:tc>
        <w:tc>
          <w:tcPr>
            <w:tcW w:w="2940" w:type="dxa"/>
            <w:vAlign w:val="bottom"/>
            <w:gridSpan w:val="3"/>
            <w:vMerge w:val="continue"/>
          </w:tcPr>
          <w:p>
            <w:pPr>
              <w:spacing w:after="0"/>
              <w:rPr>
                <w:sz w:val="9"/>
                <w:szCs w:val="9"/>
                <w:color w:val="auto"/>
              </w:rPr>
            </w:pPr>
          </w:p>
        </w:tc>
        <w:tc>
          <w:tcPr>
            <w:tcW w:w="3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5.875% Series B Cumulative Redeemable Preferred Stock, par value</w:t>
            </w:r>
          </w:p>
        </w:tc>
        <w:tc>
          <w:tcPr>
            <w:tcW w:w="120" w:type="dxa"/>
            <w:vAlign w:val="bottom"/>
          </w:tcPr>
          <w:p>
            <w:pPr>
              <w:spacing w:after="0"/>
              <w:rPr>
                <w:sz w:val="12"/>
                <w:szCs w:val="12"/>
                <w:color w:val="auto"/>
              </w:rPr>
            </w:pPr>
          </w:p>
        </w:tc>
        <w:tc>
          <w:tcPr>
            <w:tcW w:w="2940" w:type="dxa"/>
            <w:vAlign w:val="bottom"/>
            <w:gridSpan w:val="3"/>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REGCO</w:t>
            </w:r>
          </w:p>
        </w:tc>
        <w:tc>
          <w:tcPr>
            <w:tcW w:w="3780" w:type="dxa"/>
            <w:vAlign w:val="bottom"/>
            <w:vMerge w:val="restart"/>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09"/>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$0.01 per share</w:t>
            </w:r>
          </w:p>
        </w:tc>
        <w:tc>
          <w:tcPr>
            <w:tcW w:w="120" w:type="dxa"/>
            <w:vAlign w:val="bottom"/>
          </w:tcPr>
          <w:p>
            <w:pPr>
              <w:spacing w:after="0"/>
              <w:rPr>
                <w:sz w:val="9"/>
                <w:szCs w:val="9"/>
                <w:color w:val="auto"/>
              </w:rPr>
            </w:pPr>
          </w:p>
        </w:tc>
        <w:tc>
          <w:tcPr>
            <w:tcW w:w="2940" w:type="dxa"/>
            <w:vAlign w:val="bottom"/>
            <w:gridSpan w:val="3"/>
            <w:vMerge w:val="continue"/>
          </w:tcPr>
          <w:p>
            <w:pPr>
              <w:spacing w:after="0"/>
              <w:rPr>
                <w:sz w:val="9"/>
                <w:szCs w:val="9"/>
                <w:color w:val="auto"/>
              </w:rPr>
            </w:pPr>
          </w:p>
        </w:tc>
        <w:tc>
          <w:tcPr>
            <w:tcW w:w="3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4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40" w:type="dxa"/>
            <w:vAlign w:val="bottom"/>
            <w:gridSpan w:val="3"/>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Regency Centers, L.P.</w:t>
            </w:r>
          </w:p>
        </w:tc>
        <w:tc>
          <w:tcPr>
            <w:tcW w:w="3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294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78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4"/>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780" w:type="dxa"/>
            <w:vAlign w:val="bottom"/>
            <w:tcBorders>
              <w:top w:val="single" w:sz="8" w:color="auto"/>
            </w:tcBorders>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N/A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-2280285</wp:posOffset>
            </wp:positionV>
            <wp:extent cx="1337310" cy="780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780415"/>
                    </a:xfrm>
                    <a:prstGeom prst="rect">
                      <a:avLst/>
                    </a:prstGeom>
                    <a:noFill/>
                  </pic:spPr>
                </pic:pic>
              </a:graphicData>
            </a:graphic>
          </wp:anchor>
        </w:drawing>
      </w:r>
    </w:p>
    <w:p>
      <w:pPr>
        <w:spacing w:after="0" w:line="172" w:lineRule="exact"/>
        <w:rPr>
          <w:sz w:val="24"/>
          <w:szCs w:val="24"/>
          <w:color w:val="auto"/>
        </w:rPr>
      </w:pPr>
    </w:p>
    <w:p>
      <w:pPr>
        <w:ind w:right="22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980"/>
        <w:spacing w:after="0" w:line="161" w:lineRule="exact"/>
        <w:tabs>
          <w:tab w:leader="none" w:pos="4300" w:val="left"/>
          <w:tab w:leader="none" w:pos="5000" w:val="left"/>
          <w:tab w:leader="none" w:pos="6240" w:val="left"/>
          <w:tab w:leader="none" w:pos="8100" w:val="left"/>
          <w:tab w:leader="none" w:pos="8800" w:val="left"/>
        </w:tabs>
        <w:rPr>
          <w:sz w:val="20"/>
          <w:szCs w:val="20"/>
          <w:color w:val="auto"/>
        </w:rPr>
      </w:pPr>
      <w:r>
        <w:rPr>
          <w:rFonts w:ascii="Times New Roman" w:cs="Times New Roman" w:eastAsia="Times New Roman" w:hAnsi="Times New Roman"/>
          <w:sz w:val="14"/>
          <w:szCs w:val="14"/>
          <w:b w:val="1"/>
          <w:bCs w:val="1"/>
          <w:color w:val="auto"/>
        </w:rPr>
        <w:t>Regency Centers Corporation</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Regency Centers, L.P.</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0" w:lineRule="exact"/>
        <w:rPr>
          <w:sz w:val="24"/>
          <w:szCs w:val="24"/>
          <w:color w:val="auto"/>
        </w:rPr>
      </w:pPr>
    </w:p>
    <w:p>
      <w:pPr>
        <w:ind w:left="1980"/>
        <w:spacing w:after="0" w:line="161" w:lineRule="exact"/>
        <w:tabs>
          <w:tab w:leader="none" w:pos="4300" w:val="left"/>
          <w:tab w:leader="none" w:pos="5000" w:val="left"/>
          <w:tab w:leader="none" w:pos="6240" w:val="left"/>
          <w:tab w:leader="none" w:pos="8100" w:val="left"/>
          <w:tab w:leader="none" w:pos="8800" w:val="left"/>
        </w:tabs>
        <w:rPr>
          <w:sz w:val="20"/>
          <w:szCs w:val="20"/>
          <w:color w:val="auto"/>
        </w:rPr>
      </w:pPr>
      <w:r>
        <w:rPr>
          <w:rFonts w:ascii="Times New Roman" w:cs="Times New Roman" w:eastAsia="Times New Roman" w:hAnsi="Times New Roman"/>
          <w:sz w:val="14"/>
          <w:szCs w:val="14"/>
          <w:b w:val="1"/>
          <w:bCs w:val="1"/>
          <w:color w:val="auto"/>
        </w:rPr>
        <w:t>Regency Centers Corporation</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Regency Centers, L.P.</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right="4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091" w:right="339" w:bottom="1440" w:gutter="0" w:footer="0" w:header="0"/>
        </w:sectPr>
      </w:pPr>
    </w:p>
    <w:p>
      <w:pPr>
        <w:spacing w:after="0" w:line="53" w:lineRule="exact"/>
        <w:rPr>
          <w:sz w:val="24"/>
          <w:szCs w:val="24"/>
          <w:color w:val="auto"/>
        </w:rPr>
      </w:pPr>
    </w:p>
    <w:tbl>
      <w:tblPr>
        <w:tblLayout w:type="fixed"/>
        <w:tblInd w:w="1020" w:type="dxa"/>
        <w:tblCellMar>
          <w:top w:w="0" w:type="dxa"/>
          <w:left w:w="0" w:type="dxa"/>
          <w:bottom w:w="0" w:type="dxa"/>
          <w:right w:w="0" w:type="dxa"/>
        </w:tblCellMar>
      </w:tblPr>
      <w:tr>
        <w:trPr>
          <w:trHeight w:val="190"/>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Regency Centers Corporation:</w:t>
            </w:r>
          </w:p>
        </w:tc>
        <w:tc>
          <w:tcPr>
            <w:tcW w:w="580" w:type="dxa"/>
            <w:vAlign w:val="bottom"/>
            <w:vMerge w:val="restart"/>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2700" w:type="dxa"/>
            <w:vAlign w:val="bottom"/>
          </w:tcPr>
          <w:p>
            <w:pPr>
              <w:spacing w:after="0"/>
              <w:rPr>
                <w:sz w:val="16"/>
                <w:szCs w:val="16"/>
                <w:color w:val="auto"/>
              </w:rPr>
            </w:pPr>
          </w:p>
        </w:tc>
        <w:tc>
          <w:tcPr>
            <w:tcW w:w="1240" w:type="dxa"/>
            <w:vAlign w:val="bottom"/>
            <w:vMerge w:val="restart"/>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Large accelerated filer</w:t>
            </w:r>
          </w:p>
        </w:tc>
        <w:tc>
          <w:tcPr>
            <w:tcW w:w="580" w:type="dxa"/>
            <w:vAlign w:val="bottom"/>
            <w:vMerge w:val="continue"/>
          </w:tcPr>
          <w:p>
            <w:pPr>
              <w:spacing w:after="0"/>
              <w:rPr>
                <w:sz w:val="13"/>
                <w:szCs w:val="13"/>
                <w:color w:val="auto"/>
              </w:rPr>
            </w:pPr>
          </w:p>
        </w:tc>
        <w:tc>
          <w:tcPr>
            <w:tcW w:w="2700" w:type="dxa"/>
            <w:vAlign w:val="bottom"/>
          </w:tcPr>
          <w:p>
            <w:pPr>
              <w:ind w:left="220"/>
              <w:spacing w:after="0" w:line="159" w:lineRule="exact"/>
              <w:rPr>
                <w:sz w:val="20"/>
                <w:szCs w:val="20"/>
                <w:color w:val="auto"/>
              </w:rPr>
            </w:pPr>
            <w:r>
              <w:rPr>
                <w:rFonts w:ascii="Times New Roman" w:cs="Times New Roman" w:eastAsia="Times New Roman" w:hAnsi="Times New Roman"/>
                <w:sz w:val="14"/>
                <w:szCs w:val="14"/>
                <w:color w:val="auto"/>
              </w:rPr>
              <w:t>Accelerated filer</w:t>
            </w:r>
          </w:p>
        </w:tc>
        <w:tc>
          <w:tcPr>
            <w:tcW w:w="1240" w:type="dxa"/>
            <w:vAlign w:val="bottom"/>
            <w:vMerge w:val="continue"/>
          </w:tcPr>
          <w:p>
            <w:pPr>
              <w:spacing w:after="0"/>
              <w:rPr>
                <w:sz w:val="13"/>
                <w:szCs w:val="13"/>
                <w:color w:val="auto"/>
              </w:rPr>
            </w:pPr>
          </w:p>
        </w:tc>
        <w:tc>
          <w:tcPr>
            <w:tcW w:w="1800" w:type="dxa"/>
            <w:vAlign w:val="bottom"/>
          </w:tcPr>
          <w:p>
            <w:pPr>
              <w:ind w:left="220"/>
              <w:spacing w:after="0" w:line="159" w:lineRule="exact"/>
              <w:rPr>
                <w:sz w:val="20"/>
                <w:szCs w:val="20"/>
                <w:color w:val="auto"/>
              </w:rPr>
            </w:pPr>
            <w:r>
              <w:rPr>
                <w:rFonts w:ascii="Times New Roman" w:cs="Times New Roman" w:eastAsia="Times New Roman" w:hAnsi="Times New Roman"/>
                <w:sz w:val="14"/>
                <w:szCs w:val="14"/>
                <w:color w:val="auto"/>
              </w:rPr>
              <w:t>Emerging growth company</w:t>
            </w:r>
          </w:p>
        </w:tc>
        <w:tc>
          <w:tcPr>
            <w:tcW w:w="0" w:type="dxa"/>
            <w:vAlign w:val="bottom"/>
          </w:tcPr>
          <w:p>
            <w:pPr>
              <w:spacing w:after="0"/>
              <w:rPr>
                <w:sz w:val="1"/>
                <w:szCs w:val="1"/>
                <w:color w:val="auto"/>
              </w:rPr>
            </w:pPr>
          </w:p>
        </w:tc>
      </w:tr>
      <w:tr>
        <w:trPr>
          <w:trHeight w:val="242"/>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2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4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Regency Centers, L.P.:</w:t>
            </w:r>
          </w:p>
        </w:tc>
        <w:tc>
          <w:tcPr>
            <w:tcW w:w="580" w:type="dxa"/>
            <w:vAlign w:val="bottom"/>
            <w:vMerge w:val="restart"/>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2700" w:type="dxa"/>
            <w:vAlign w:val="bottom"/>
          </w:tcPr>
          <w:p>
            <w:pPr>
              <w:spacing w:after="0"/>
              <w:rPr>
                <w:sz w:val="22"/>
                <w:szCs w:val="22"/>
                <w:color w:val="auto"/>
              </w:rPr>
            </w:pPr>
          </w:p>
        </w:tc>
        <w:tc>
          <w:tcPr>
            <w:tcW w:w="1240" w:type="dxa"/>
            <w:vAlign w:val="bottom"/>
            <w:vMerge w:val="restart"/>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Large accelerated filer</w:t>
            </w:r>
          </w:p>
        </w:tc>
        <w:tc>
          <w:tcPr>
            <w:tcW w:w="580" w:type="dxa"/>
            <w:vAlign w:val="bottom"/>
            <w:vMerge w:val="continue"/>
          </w:tcPr>
          <w:p>
            <w:pPr>
              <w:spacing w:after="0"/>
              <w:rPr>
                <w:sz w:val="13"/>
                <w:szCs w:val="13"/>
                <w:color w:val="auto"/>
              </w:rPr>
            </w:pPr>
          </w:p>
        </w:tc>
        <w:tc>
          <w:tcPr>
            <w:tcW w:w="2700" w:type="dxa"/>
            <w:vAlign w:val="bottom"/>
          </w:tcPr>
          <w:p>
            <w:pPr>
              <w:ind w:left="220"/>
              <w:spacing w:after="0" w:line="159" w:lineRule="exact"/>
              <w:rPr>
                <w:sz w:val="20"/>
                <w:szCs w:val="20"/>
                <w:color w:val="auto"/>
              </w:rPr>
            </w:pPr>
            <w:r>
              <w:rPr>
                <w:rFonts w:ascii="Times New Roman" w:cs="Times New Roman" w:eastAsia="Times New Roman" w:hAnsi="Times New Roman"/>
                <w:sz w:val="14"/>
                <w:szCs w:val="14"/>
                <w:color w:val="auto"/>
              </w:rPr>
              <w:t>Accelerated filer</w:t>
            </w:r>
          </w:p>
        </w:tc>
        <w:tc>
          <w:tcPr>
            <w:tcW w:w="1240" w:type="dxa"/>
            <w:vAlign w:val="bottom"/>
            <w:vMerge w:val="continue"/>
          </w:tcPr>
          <w:p>
            <w:pPr>
              <w:spacing w:after="0"/>
              <w:rPr>
                <w:sz w:val="13"/>
                <w:szCs w:val="13"/>
                <w:color w:val="auto"/>
              </w:rPr>
            </w:pPr>
          </w:p>
        </w:tc>
        <w:tc>
          <w:tcPr>
            <w:tcW w:w="1800" w:type="dxa"/>
            <w:vAlign w:val="bottom"/>
          </w:tcPr>
          <w:p>
            <w:pPr>
              <w:ind w:left="220"/>
              <w:spacing w:after="0" w:line="159" w:lineRule="exact"/>
              <w:rPr>
                <w:sz w:val="20"/>
                <w:szCs w:val="20"/>
                <w:color w:val="auto"/>
              </w:rPr>
            </w:pPr>
            <w:r>
              <w:rPr>
                <w:rFonts w:ascii="Times New Roman" w:cs="Times New Roman" w:eastAsia="Times New Roman" w:hAnsi="Times New Roman"/>
                <w:sz w:val="14"/>
                <w:szCs w:val="14"/>
                <w:color w:val="auto"/>
              </w:rPr>
              <w:t>Emerging growth company</w:t>
            </w:r>
          </w:p>
        </w:tc>
        <w:tc>
          <w:tcPr>
            <w:tcW w:w="0" w:type="dxa"/>
            <w:vAlign w:val="bottom"/>
          </w:tcPr>
          <w:p>
            <w:pPr>
              <w:spacing w:after="0"/>
              <w:rPr>
                <w:sz w:val="1"/>
                <w:szCs w:val="1"/>
                <w:color w:val="auto"/>
              </w:rPr>
            </w:pPr>
          </w:p>
        </w:tc>
      </w:tr>
      <w:tr>
        <w:trPr>
          <w:trHeight w:val="242"/>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2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4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980"/>
        <w:spacing w:after="0" w:line="161" w:lineRule="exact"/>
        <w:tabs>
          <w:tab w:leader="none" w:pos="4300" w:val="left"/>
          <w:tab w:leader="none" w:pos="5020" w:val="left"/>
          <w:tab w:leader="none" w:pos="6220" w:val="left"/>
          <w:tab w:leader="none" w:pos="8080" w:val="left"/>
          <w:tab w:leader="none" w:pos="8780" w:val="left"/>
        </w:tabs>
        <w:rPr>
          <w:sz w:val="20"/>
          <w:szCs w:val="20"/>
          <w:color w:val="auto"/>
        </w:rPr>
      </w:pPr>
      <w:r>
        <w:rPr>
          <w:rFonts w:ascii="Times New Roman" w:cs="Times New Roman" w:eastAsia="Times New Roman" w:hAnsi="Times New Roman"/>
          <w:sz w:val="14"/>
          <w:szCs w:val="14"/>
          <w:b w:val="1"/>
          <w:bCs w:val="1"/>
          <w:color w:val="auto"/>
        </w:rPr>
        <w:t>Regency Centers Corporation</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Regency Centers, L.P.</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37" w:lineRule="exact"/>
        <w:rPr>
          <w:sz w:val="24"/>
          <w:szCs w:val="24"/>
          <w:color w:val="auto"/>
        </w:rPr>
      </w:pPr>
    </w:p>
    <w:p>
      <w:pPr>
        <w:ind w:left="1980"/>
        <w:spacing w:after="0" w:line="161" w:lineRule="exact"/>
        <w:tabs>
          <w:tab w:leader="none" w:pos="4300" w:val="left"/>
          <w:tab w:leader="none" w:pos="5020" w:val="left"/>
          <w:tab w:leader="none" w:pos="6220" w:val="left"/>
          <w:tab w:leader="none" w:pos="8080" w:val="left"/>
          <w:tab w:leader="none" w:pos="8780" w:val="left"/>
        </w:tabs>
        <w:rPr>
          <w:sz w:val="20"/>
          <w:szCs w:val="20"/>
          <w:color w:val="auto"/>
        </w:rPr>
      </w:pPr>
      <w:r>
        <w:rPr>
          <w:rFonts w:ascii="Times New Roman" w:cs="Times New Roman" w:eastAsia="Times New Roman" w:hAnsi="Times New Roman"/>
          <w:sz w:val="14"/>
          <w:szCs w:val="14"/>
          <w:b w:val="1"/>
          <w:bCs w:val="1"/>
          <w:color w:val="auto"/>
        </w:rPr>
        <w:t>Regency Centers Corporation</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Regency Centers, L.P.</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outstanding of Regency Centers Corporation's common stock was 181,496,694 as of July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0" w:lineRule="exact"/>
        <w:rPr>
          <w:sz w:val="24"/>
          <w:szCs w:val="24"/>
          <w:color w:val="auto"/>
        </w:rPr>
      </w:pPr>
    </w:p>
    <w:p>
      <w:pPr>
        <w:spacing w:after="0" w:line="34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680" w:space="340"/>
            <w:col w:w="220"/>
          </w:cols>
          <w:pgMar w:left="320" w:top="1091" w:right="33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(this "Report") combines the quarterly reports on Form 10-Q for the quarter ended June 30, 2024, of Regency Centers Corporation and Regency Centers, L.P. Unless stated otherwise or the context otherwise requires, references to "Regency Centers Corporation" or the "Parent Company" mean Regency Centers Corporation and its controlled subsidiaries and references to "Regency Centers, L.P." or the "Operating Partnership" mean Regency Centers, L.P. and its controlled subsidiaries. The terms "the Company," "Regency Centers," "Regency," "we," "our," and "us" as used in this Report mean the Parent Company and the Operating Partnership, collectively.</w:t>
      </w:r>
    </w:p>
    <w:p>
      <w:pPr>
        <w:spacing w:after="0" w:line="1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Parent Company is a real estate investment trust ("REIT") and the general partner of the Operating Partnership. As the sole general partner of the Operating Partnership, the Parent Company has exclusive control of the Operating Partnership's day-to-day management. The Operating Partnership's capital includes general and limited common partnership units ("Common Units"). As of June 30, 2024, the Parent Company owned approximately 99.4% of the Common Units in the Operating Partnership. The remaining Common Units, which are all limited Common Units, are owned by third party investors. In addition to the Common Units, the Operating Partnership has also issued two series of preferred units: the 6.250% Series A Cumulative Redeemable Preferred Units (the “Series A Preferred Units”) and the 5.875% Series B Cumulative Redeemable Preferred Units (the “Series B Preferred Units”). The Parent Company currently owns all of the Series A Preferred Units and Series B Preferred Units. The Series A Preferred Units and Series B Preferred Units are sometimes referred to collectively as the “Preferred Units."</w:t>
      </w:r>
    </w:p>
    <w:p>
      <w:pPr>
        <w:spacing w:after="0" w:line="1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believes combining the quarterly reports on Form 10-Q of the Parent Company and the Operating Partnership into this single report provides the following benefits:</w:t>
      </w:r>
    </w:p>
    <w:p>
      <w:pPr>
        <w:spacing w:after="0" w:line="243" w:lineRule="exact"/>
        <w:rPr>
          <w:sz w:val="20"/>
          <w:szCs w:val="20"/>
          <w:color w:val="auto"/>
        </w:rPr>
      </w:pPr>
    </w:p>
    <w:p>
      <w:pPr>
        <w:ind w:left="76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the Parent Company and the Operating Partnership by enabling investors to view the business as a whole in the same manner as management views and operates the business;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duplicative disclosure and provides a more streamlined and readable presentation; and</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through the preparation of one combined report instead of two separate reports.</w:t>
      </w:r>
    </w:p>
    <w:p>
      <w:pPr>
        <w:spacing w:after="0" w:line="1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Management operates the Parent Company and the Operating Partnership as one business. The management of the Parent Company consists of the same individuals as the management of the Operating Partnership. These individuals are officers of the Parent Company, and officers and employees of the Operating Partnership.</w:t>
      </w:r>
    </w:p>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believes it is important to understand the key differences between the Parent Company and the Operating Partnership in the context of how the Parent Company and the Operating Partnership operate as a consolidated company. The Parent Company is a REIT, whose only material asset is its ownership of Common and Preferred Units of the Operating Partnership. As a result, the Parent Company does not conduct business itself, other than acting as the sole general partner of the Operating Partnership, issuing public equity from time to time and guaranteeing certain debt of the Operating Partnership. Except for $200 million of unsecured private placement debt, the Parent Company does not hold any indebtedness, but guarantees all of the unsecured debt of the Operating Partnership. The Operating Partnership, directly or indirectly, is also the co-issuer and guarantor of the $200 million Parent Company’s unsecured private placement debt referenced above. The Operating Partnership holds all the assets of the Company and ownership of the Company's subsidiaries and equity interests in its joint ventures. Except for net proceeds from public equity issuances by the Parent Company, which are contributed to the Operating Partnership in exchange for Common Units or Preferred Units, the Operating Partnership generates all other capital required by the Company's business. These sources include the Operating Partnership's operations, its direct or indirect incurrence of indebtedness, and the issuance of Common Units and Preferred Units.</w:t>
      </w:r>
    </w:p>
    <w:p>
      <w:pPr>
        <w:spacing w:after="0" w:line="13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Shareholders' equity, partners' capital, and noncontrolling interests are the main areas of difference between the Consolidated Financial Statements of the Parent Company and those of the Operating Partnership. The Operating Partnership's capital includes the Common Units and the Preferred Units. The limited partners' Common Units in the Operating Partnership owned by third parties are accounted for in partners' capital in the Operating Partnership's financial statements and outside of shareholders' equity in noncontrolling interests in the Parent Company's financial statements. The Preferred Units owned by the Parent Company are eliminated in consolidation in the accompanying consolidated financial statements of the Parent Company and are classified as preferred units of the general partner in the accompanying consolidated financial statements of the Operating Partnership.</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order to highlight the differences between the Parent Company and the Operating Partnership, there are sections in this Report that separately discuss the Parent Company and the Operating Partnership, including separate financial statements, controls and procedures sections, and separate Exhibit 31 and 32 certifications. In the sections that combine disclosure for the Parent Company and the Operating Partnership, this Report refers to actions or holdings as being actions or holdings of the Company.</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general partner with control of the Operating Partnership, 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 w:name="page3"/>
    <w:bookmarkEnd w:id="2"/>
    <w:p>
      <w:pPr>
        <w:ind w:left="46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563C1"/>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985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85010" cy="8255"/>
                    </a:xfrm>
                    <a:prstGeom prst="rect">
                      <a:avLst/>
                    </a:prstGeom>
                    <a:noFill/>
                  </pic:spPr>
                </pic:pic>
              </a:graphicData>
            </a:graphic>
          </wp:anchor>
        </w:drawing>
      </w:r>
    </w:p>
    <w:p>
      <w:pPr>
        <w:spacing w:after="0" w:line="26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6"/>
          <w:szCs w:val="16"/>
          <w:u w:val="single" w:color="auto"/>
          <w:color w:val="0563C1"/>
        </w:rPr>
        <w:t>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1382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239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301" w:lineRule="exact"/>
        <w:rPr>
          <w:sz w:val="20"/>
          <w:szCs w:val="20"/>
          <w:color w:val="auto"/>
        </w:rPr>
      </w:pPr>
    </w:p>
    <w:p>
      <w:pPr>
        <w:ind w:left="1140" w:right="2060"/>
        <w:spacing w:after="0" w:line="628" w:lineRule="auto"/>
        <w:rPr>
          <w:sz w:val="20"/>
          <w:szCs w:val="20"/>
          <w:color w:val="auto"/>
        </w:rPr>
      </w:pPr>
      <w:r>
        <w:rPr>
          <w:rFonts w:ascii="Times New Roman" w:cs="Times New Roman" w:eastAsia="Times New Roman" w:hAnsi="Times New Roman"/>
          <w:sz w:val="16"/>
          <w:szCs w:val="16"/>
          <w:u w:val="single" w:color="auto"/>
          <w:color w:val="0563C1"/>
        </w:rPr>
        <w:t>Consolidated Balance Sheets as of June 30, 2024 and December 31, 2023 Consolidated Statements of Operations for the periods ended June 30, 2024 and 2023 Consolidated Statements of Comprehensive Income for the periods ended June 30, 2024 and 2023 Consolidated Statements of Equity for the periods ended June 30, 2024 and 2023 Consolidated Statements of Cash Flows for the periods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-1416050</wp:posOffset>
            </wp:positionV>
            <wp:extent cx="3025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2514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-1107440</wp:posOffset>
            </wp:positionV>
            <wp:extent cx="35109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1091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-798830</wp:posOffset>
            </wp:positionV>
            <wp:extent cx="4039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3987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-490220</wp:posOffset>
            </wp:positionV>
            <wp:extent cx="3333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3375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-181610</wp:posOffset>
            </wp:positionV>
            <wp:extent cx="35426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426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01" w:lineRule="exact"/>
        <w:rPr>
          <w:sz w:val="20"/>
          <w:szCs w:val="20"/>
          <w:color w:val="auto"/>
        </w:rPr>
      </w:pPr>
    </w:p>
    <w:p>
      <w:pPr>
        <w:ind w:left="1140" w:right="2060"/>
        <w:spacing w:after="0" w:line="657" w:lineRule="auto"/>
        <w:rPr>
          <w:sz w:val="20"/>
          <w:szCs w:val="20"/>
          <w:color w:val="auto"/>
        </w:rPr>
      </w:pPr>
      <w:r>
        <w:rPr>
          <w:rFonts w:ascii="Times New Roman" w:cs="Times New Roman" w:eastAsia="Times New Roman" w:hAnsi="Times New Roman"/>
          <w:sz w:val="16"/>
          <w:szCs w:val="16"/>
          <w:u w:val="single" w:color="auto"/>
          <w:color w:val="0563C1"/>
        </w:rPr>
        <w:t>Consolidated Balance Sheets as of June 30, 2024 and December 31, 2023 Consolidated Statements of Operations for the periods ended June 30, 2024 and 2023 Consolidated Statements of Comprehensive Income for the periods ended June 30, 2024 and 2023 Consolidated Statements of Capital for the periods ended June 30, 2024 and 2023 Consolidated Statements of Cash Flows for the periods ended June 30, 2024 and 2023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-1486535</wp:posOffset>
            </wp:positionV>
            <wp:extent cx="3025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2514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-1177925</wp:posOffset>
            </wp:positionV>
            <wp:extent cx="35109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091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-869315</wp:posOffset>
            </wp:positionV>
            <wp:extent cx="4039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3987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-560705</wp:posOffset>
            </wp:positionV>
            <wp:extent cx="33572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724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-252095</wp:posOffset>
            </wp:positionV>
            <wp:extent cx="35426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4266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55880</wp:posOffset>
            </wp:positionV>
            <wp:extent cx="18002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7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color w:val="auto"/>
        </w:rPr>
        <w:t>Item 2.</w:t>
      </w:r>
      <w:r>
        <w:rPr>
          <w:sz w:val="20"/>
          <w:szCs w:val="20"/>
          <w:color w:val="auto"/>
        </w:rPr>
        <w:tab/>
      </w:r>
      <w:r>
        <w:rPr>
          <w:rFonts w:ascii="Times New Roman" w:cs="Times New Roman" w:eastAsia="Times New Roman" w:hAnsi="Times New Roman"/>
          <w:sz w:val="16"/>
          <w:szCs w:val="16"/>
          <w:u w:val="single" w:color="auto"/>
          <w:color w:val="0563C1"/>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-4445</wp:posOffset>
            </wp:positionV>
            <wp:extent cx="3681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81095" cy="8255"/>
                    </a:xfrm>
                    <a:prstGeom prst="rect">
                      <a:avLst/>
                    </a:prstGeom>
                    <a:noFill/>
                  </pic:spPr>
                </pic:pic>
              </a:graphicData>
            </a:graphic>
          </wp:anchor>
        </w:drawing>
      </w:r>
    </w:p>
    <w:p>
      <w:pPr>
        <w:spacing w:after="0" w:line="28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color w:val="auto"/>
        </w:rPr>
        <w:t>Item 3.</w:t>
      </w:r>
      <w:r>
        <w:rPr>
          <w:sz w:val="20"/>
          <w:szCs w:val="20"/>
          <w:color w:val="auto"/>
        </w:rPr>
        <w:tab/>
      </w:r>
      <w:r>
        <w:rPr>
          <w:rFonts w:ascii="Times New Roman" w:cs="Times New Roman" w:eastAsia="Times New Roman" w:hAnsi="Times New Roman"/>
          <w:sz w:val="16"/>
          <w:szCs w:val="16"/>
          <w:u w:val="single" w:color="auto"/>
          <w:color w:val="0563C1"/>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-4445</wp:posOffset>
            </wp:positionV>
            <wp:extent cx="2462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62530" cy="8255"/>
                    </a:xfrm>
                    <a:prstGeom prst="rect">
                      <a:avLst/>
                    </a:prstGeom>
                    <a:noFill/>
                  </pic:spPr>
                </pic:pic>
              </a:graphicData>
            </a:graphic>
          </wp:anchor>
        </w:drawing>
      </w:r>
    </w:p>
    <w:p>
      <w:pPr>
        <w:spacing w:after="0" w:line="28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color w:val="auto"/>
        </w:rPr>
        <w:t>Item 4.</w:t>
      </w:r>
      <w:r>
        <w:rPr>
          <w:sz w:val="20"/>
          <w:szCs w:val="20"/>
          <w:color w:val="auto"/>
        </w:rPr>
        <w:tab/>
      </w:r>
      <w:r>
        <w:rPr>
          <w:rFonts w:ascii="Times New Roman" w:cs="Times New Roman" w:eastAsia="Times New Roman" w:hAnsi="Times New Roman"/>
          <w:sz w:val="16"/>
          <w:szCs w:val="16"/>
          <w:u w:val="single" w:color="auto"/>
          <w:color w:val="0563C1"/>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-4445</wp:posOffset>
            </wp:positionV>
            <wp:extent cx="10115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563C1"/>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7945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9451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3920" w:type="dxa"/>
            <w:vAlign w:val="bottom"/>
            <w:gridSpan w:val="7"/>
          </w:tcPr>
          <w:p>
            <w:pPr>
              <w:spacing w:after="0"/>
              <w:rPr>
                <w:sz w:val="20"/>
                <w:szCs w:val="20"/>
                <w:color w:val="auto"/>
              </w:rPr>
            </w:pPr>
            <w:r>
              <w:rPr>
                <w:rFonts w:ascii="Times New Roman" w:cs="Times New Roman" w:eastAsia="Times New Roman" w:hAnsi="Times New Roman"/>
                <w:sz w:val="16"/>
                <w:szCs w:val="16"/>
                <w:color w:val="0563C1"/>
              </w:rPr>
              <w:t>Legal Proceedings</w:t>
            </w:r>
          </w:p>
        </w:tc>
      </w:tr>
      <w:tr>
        <w:trPr>
          <w:trHeight w:val="46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top w:val="single" w:sz="8" w:color="0563C1"/>
              <w:bottom w:val="single" w:sz="8" w:color="0563C1"/>
            </w:tcBorders>
            <w:gridSpan w:val="2"/>
          </w:tcPr>
          <w:p>
            <w:pPr>
              <w:spacing w:after="0"/>
              <w:rPr>
                <w:sz w:val="20"/>
                <w:szCs w:val="20"/>
                <w:color w:val="auto"/>
              </w:rPr>
            </w:pPr>
            <w:r>
              <w:rPr>
                <w:rFonts w:ascii="Times New Roman" w:cs="Times New Roman" w:eastAsia="Times New Roman" w:hAnsi="Times New Roman"/>
                <w:sz w:val="16"/>
                <w:szCs w:val="16"/>
                <w:color w:val="0563C1"/>
                <w:w w:val="99"/>
              </w:rPr>
              <w:t>Risk Factors</w:t>
            </w:r>
          </w:p>
        </w:tc>
        <w:tc>
          <w:tcPr>
            <w:tcW w:w="380" w:type="dxa"/>
            <w:vAlign w:val="bottom"/>
            <w:tcBorders>
              <w:top w:val="single" w:sz="8" w:color="0563C1"/>
            </w:tcBorders>
            <w:gridSpan w:val="2"/>
          </w:tcPr>
          <w:p>
            <w:pPr>
              <w:spacing w:after="0"/>
              <w:rPr>
                <w:sz w:val="24"/>
                <w:szCs w:val="24"/>
                <w:color w:val="auto"/>
              </w:rPr>
            </w:pPr>
          </w:p>
        </w:tc>
        <w:tc>
          <w:tcPr>
            <w:tcW w:w="2720" w:type="dxa"/>
            <w:vAlign w:val="bottom"/>
            <w:gridSpan w:val="3"/>
          </w:tcPr>
          <w:p>
            <w:pPr>
              <w:spacing w:after="0"/>
              <w:rPr>
                <w:sz w:val="24"/>
                <w:szCs w:val="24"/>
                <w:color w:val="auto"/>
              </w:rPr>
            </w:pPr>
          </w:p>
        </w:tc>
      </w:tr>
      <w:tr>
        <w:trPr>
          <w:trHeight w:val="46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3920" w:type="dxa"/>
            <w:vAlign w:val="bottom"/>
            <w:tcBorders>
              <w:bottom w:val="single" w:sz="8" w:color="0563C1"/>
            </w:tcBorders>
            <w:gridSpan w:val="7"/>
          </w:tcPr>
          <w:p>
            <w:pPr>
              <w:spacing w:after="0"/>
              <w:rPr>
                <w:sz w:val="20"/>
                <w:szCs w:val="20"/>
                <w:color w:val="auto"/>
              </w:rPr>
            </w:pPr>
            <w:r>
              <w:rPr>
                <w:rFonts w:ascii="Times New Roman" w:cs="Times New Roman" w:eastAsia="Times New Roman" w:hAnsi="Times New Roman"/>
                <w:sz w:val="16"/>
                <w:szCs w:val="16"/>
                <w:color w:val="0563C1"/>
              </w:rPr>
              <w:t>Unregistered Sales of Equity Securities and Use of Proceeds</w:t>
            </w:r>
          </w:p>
        </w:tc>
      </w:tr>
      <w:tr>
        <w:trPr>
          <w:trHeight w:val="46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2100" w:type="dxa"/>
            <w:vAlign w:val="bottom"/>
            <w:tcBorders>
              <w:bottom w:val="single" w:sz="8" w:color="0563C1"/>
            </w:tcBorders>
            <w:gridSpan w:val="6"/>
          </w:tcPr>
          <w:p>
            <w:pPr>
              <w:spacing w:after="0"/>
              <w:rPr>
                <w:sz w:val="20"/>
                <w:szCs w:val="20"/>
                <w:color w:val="auto"/>
              </w:rPr>
            </w:pPr>
            <w:r>
              <w:rPr>
                <w:rFonts w:ascii="Times New Roman" w:cs="Times New Roman" w:eastAsia="Times New Roman" w:hAnsi="Times New Roman"/>
                <w:sz w:val="16"/>
                <w:szCs w:val="16"/>
                <w:color w:val="0563C1"/>
              </w:rPr>
              <w:t>Defaults Upon Senior Securities</w:t>
            </w:r>
          </w:p>
        </w:tc>
        <w:tc>
          <w:tcPr>
            <w:tcW w:w="1820" w:type="dxa"/>
            <w:vAlign w:val="bottom"/>
          </w:tcPr>
          <w:p>
            <w:pPr>
              <w:spacing w:after="0"/>
              <w:rPr>
                <w:sz w:val="24"/>
                <w:szCs w:val="24"/>
                <w:color w:val="auto"/>
              </w:rPr>
            </w:pPr>
          </w:p>
        </w:tc>
      </w:tr>
      <w:tr>
        <w:trPr>
          <w:trHeight w:val="46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6"/>
                <w:szCs w:val="16"/>
                <w:color w:val="0563C1"/>
              </w:rPr>
              <w:t>Mine Safety Disclosures</w:t>
            </w:r>
          </w:p>
        </w:tc>
        <w:tc>
          <w:tcPr>
            <w:tcW w:w="2320" w:type="dxa"/>
            <w:vAlign w:val="bottom"/>
            <w:gridSpan w:val="2"/>
          </w:tcPr>
          <w:p>
            <w:pPr>
              <w:spacing w:after="0"/>
              <w:rPr>
                <w:sz w:val="24"/>
                <w:szCs w:val="24"/>
                <w:color w:val="auto"/>
              </w:rPr>
            </w:pPr>
          </w:p>
        </w:tc>
      </w:tr>
      <w:tr>
        <w:trPr>
          <w:trHeight w:val="46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3920" w:type="dxa"/>
            <w:vAlign w:val="bottom"/>
            <w:gridSpan w:val="7"/>
          </w:tcPr>
          <w:p>
            <w:pPr>
              <w:spacing w:after="0"/>
              <w:rPr>
                <w:sz w:val="20"/>
                <w:szCs w:val="20"/>
                <w:color w:val="auto"/>
              </w:rPr>
            </w:pPr>
            <w:r>
              <w:rPr>
                <w:rFonts w:ascii="Times New Roman" w:cs="Times New Roman" w:eastAsia="Times New Roman" w:hAnsi="Times New Roman"/>
                <w:sz w:val="16"/>
                <w:szCs w:val="16"/>
                <w:color w:val="0563C1"/>
              </w:rPr>
              <w:t>Other Information</w:t>
            </w:r>
          </w:p>
        </w:tc>
      </w:tr>
      <w:tr>
        <w:trPr>
          <w:trHeight w:val="46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1180" w:type="dxa"/>
            <w:vAlign w:val="bottom"/>
            <w:tcBorders>
              <w:top w:val="single" w:sz="8" w:color="0563C1"/>
            </w:tcBorders>
            <w:gridSpan w:val="3"/>
          </w:tcPr>
          <w:p>
            <w:pPr>
              <w:spacing w:after="0"/>
              <w:rPr>
                <w:sz w:val="20"/>
                <w:szCs w:val="20"/>
                <w:color w:val="auto"/>
              </w:rPr>
            </w:pPr>
            <w:r>
              <w:rPr>
                <w:rFonts w:ascii="Times New Roman" w:cs="Times New Roman" w:eastAsia="Times New Roman" w:hAnsi="Times New Roman"/>
                <w:sz w:val="16"/>
                <w:szCs w:val="16"/>
                <w:color w:val="0563C1"/>
              </w:rPr>
              <w:t>Exhibits</w:t>
            </w:r>
          </w:p>
        </w:tc>
        <w:tc>
          <w:tcPr>
            <w:tcW w:w="2740" w:type="dxa"/>
            <w:vAlign w:val="bottom"/>
            <w:gridSpan w:val="4"/>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563C1"/>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787400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340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5080</wp:posOffset>
            </wp:positionV>
            <wp:extent cx="711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46</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2">
            <w:col w:w="9560" w:space="720"/>
            <w:col w:w="900"/>
          </w:cols>
          <w:pgMar w:left="360" w:top="1008" w:right="359" w:bottom="1068"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 and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6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7560" w:type="dxa"/>
            <w:vAlign w:val="bottom"/>
            <w:tcBorders>
              <w:bottom w:val="single" w:sz="8" w:color="CFF0FC"/>
            </w:tcBorders>
            <w:gridSpan w:val="2"/>
            <w:shd w:val="clear" w:color="auto" w:fill="CFF0FC"/>
          </w:tcPr>
          <w:p>
            <w:pPr>
              <w:spacing w:after="0"/>
              <w:rPr>
                <w:sz w:val="18"/>
                <w:szCs w:val="18"/>
                <w:color w:val="auto"/>
              </w:rPr>
            </w:pPr>
          </w:p>
        </w:tc>
        <w:tc>
          <w:tcPr>
            <w:tcW w:w="240" w:type="dxa"/>
            <w:vAlign w:val="bottom"/>
            <w:tcBorders>
              <w:top w:val="single" w:sz="8" w:color="auto"/>
              <w:bottom w:val="single" w:sz="8" w:color="CFF0FC"/>
            </w:tcBorders>
            <w:shd w:val="clear" w:color="auto" w:fill="CFF0FC"/>
          </w:tcPr>
          <w:p>
            <w:pPr>
              <w:spacing w:after="0"/>
              <w:rPr>
                <w:sz w:val="18"/>
                <w:szCs w:val="18"/>
                <w:color w:val="auto"/>
              </w:rPr>
            </w:pPr>
          </w:p>
        </w:tc>
        <w:tc>
          <w:tcPr>
            <w:tcW w:w="1420" w:type="dxa"/>
            <w:vAlign w:val="bottom"/>
            <w:tcBorders>
              <w:top w:val="single" w:sz="8" w:color="auto"/>
              <w:bottom w:val="single" w:sz="8" w:color="CFF0FC"/>
            </w:tcBorders>
            <w:shd w:val="clear" w:color="auto" w:fill="CFF0FC"/>
          </w:tcPr>
          <w:p>
            <w:pPr>
              <w:jc w:val="right"/>
              <w:ind w:right="399"/>
              <w:spacing w:after="0" w:line="175"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CFF0FC"/>
            </w:tcBorders>
            <w:shd w:val="clear" w:color="auto" w:fill="CFF0FC"/>
          </w:tcPr>
          <w:p>
            <w:pPr>
              <w:spacing w:after="0"/>
              <w:rPr>
                <w:sz w:val="18"/>
                <w:szCs w:val="18"/>
                <w:color w:val="auto"/>
              </w:rPr>
            </w:pPr>
          </w:p>
        </w:tc>
      </w:tr>
      <w:tr>
        <w:trPr>
          <w:trHeight w:val="220"/>
        </w:trPr>
        <w:tc>
          <w:tcPr>
            <w:tcW w:w="8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real estate investments: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9"/>
        </w:trPr>
        <w:tc>
          <w:tcPr>
            <w:tcW w:w="20" w:type="dxa"/>
            <w:vAlign w:val="bottom"/>
            <w:shd w:val="clear" w:color="auto" w:fill="CFF0FC"/>
          </w:tcPr>
          <w:p>
            <w:pPr>
              <w:spacing w:after="0"/>
              <w:rPr>
                <w:sz w:val="20"/>
                <w:szCs w:val="20"/>
                <w:color w:val="auto"/>
              </w:rPr>
            </w:pPr>
          </w:p>
        </w:tc>
        <w:tc>
          <w:tcPr>
            <w:tcW w:w="80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Real estate assets, at cost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13,532,046</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13,454,391</w:t>
            </w:r>
          </w:p>
        </w:tc>
      </w:tr>
      <w:tr>
        <w:trPr>
          <w:trHeight w:val="223"/>
        </w:trPr>
        <w:tc>
          <w:tcPr>
            <w:tcW w:w="20" w:type="dxa"/>
            <w:vAlign w:val="bottom"/>
          </w:tcPr>
          <w:p>
            <w:pPr>
              <w:spacing w:after="0"/>
              <w:rPr>
                <w:sz w:val="19"/>
                <w:szCs w:val="19"/>
                <w:color w:val="auto"/>
              </w:rPr>
            </w:pPr>
          </w:p>
        </w:tc>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2,822,272</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2,691,386</w:t>
            </w:r>
          </w:p>
        </w:tc>
      </w:tr>
      <w:tr>
        <w:trPr>
          <w:trHeight w:val="230"/>
        </w:trPr>
        <w:tc>
          <w:tcPr>
            <w:tcW w:w="20" w:type="dxa"/>
            <w:vAlign w:val="bottom"/>
            <w:shd w:val="clear" w:color="auto" w:fill="CFF0FC"/>
          </w:tcPr>
          <w:p>
            <w:pPr>
              <w:spacing w:after="0"/>
              <w:rPr>
                <w:sz w:val="19"/>
                <w:szCs w:val="19"/>
                <w:color w:val="auto"/>
              </w:rPr>
            </w:pPr>
          </w:p>
        </w:tc>
        <w:tc>
          <w:tcPr>
            <w:tcW w:w="80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Real estate assets, net</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10,709,774</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10,763,005</w:t>
            </w:r>
          </w:p>
        </w:tc>
      </w:tr>
      <w:tr>
        <w:trPr>
          <w:trHeight w:val="220"/>
        </w:trPr>
        <w:tc>
          <w:tcPr>
            <w:tcW w:w="20" w:type="dxa"/>
            <w:vAlign w:val="bottom"/>
          </w:tcPr>
          <w:p>
            <w:pPr>
              <w:spacing w:after="0"/>
              <w:rPr>
                <w:sz w:val="19"/>
                <w:szCs w:val="19"/>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Investments in sales-type lease, net</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15,826</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8,705</w:t>
            </w:r>
          </w:p>
        </w:tc>
      </w:tr>
      <w:tr>
        <w:trPr>
          <w:trHeight w:val="233"/>
        </w:trPr>
        <w:tc>
          <w:tcPr>
            <w:tcW w:w="20" w:type="dxa"/>
            <w:vAlign w:val="bottom"/>
            <w:tcBorders>
              <w:bottom w:val="single" w:sz="8" w:color="CFF0FC"/>
            </w:tcBorders>
            <w:shd w:val="clear" w:color="auto" w:fill="CFF0FC"/>
          </w:tcPr>
          <w:p>
            <w:pPr>
              <w:spacing w:after="0"/>
              <w:rPr>
                <w:sz w:val="20"/>
                <w:szCs w:val="20"/>
                <w:color w:val="auto"/>
              </w:rPr>
            </w:pPr>
          </w:p>
        </w:tc>
        <w:tc>
          <w:tcPr>
            <w:tcW w:w="800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378,091</w:t>
            </w:r>
          </w:p>
        </w:tc>
        <w:tc>
          <w:tcPr>
            <w:tcW w:w="1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370,605</w:t>
            </w:r>
          </w:p>
        </w:tc>
      </w:t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real estate investments</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11,103,691</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11,142,315</w:t>
            </w:r>
          </w:p>
        </w:tc>
      </w:tr>
      <w:tr>
        <w:trPr>
          <w:trHeight w:val="239"/>
        </w:trPr>
        <w:tc>
          <w:tcPr>
            <w:tcW w:w="80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Properties held for sale, net</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18,878</w:t>
            </w:r>
          </w:p>
        </w:tc>
      </w:tr>
      <w:tr>
        <w:trPr>
          <w:trHeight w:val="202"/>
        </w:trPr>
        <w:tc>
          <w:tcPr>
            <w:tcW w:w="8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including $6,109 and $6,383 of restricted cash at June 30, 2024 and</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0"/>
        </w:trPr>
        <w:tc>
          <w:tcPr>
            <w:tcW w:w="8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79,923</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91,354</w:t>
            </w:r>
          </w:p>
        </w:tc>
      </w:tr>
      <w:tr>
        <w:trPr>
          <w:trHeight w:val="239"/>
        </w:trPr>
        <w:tc>
          <w:tcPr>
            <w:tcW w:w="80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Tenant and other receivables, net</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236,999</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206,162</w:t>
            </w:r>
          </w:p>
        </w:tc>
      </w:tr>
      <w:tr>
        <w:trPr>
          <w:trHeight w:val="202"/>
        </w:trPr>
        <w:tc>
          <w:tcPr>
            <w:tcW w:w="8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Deferred leasing costs, less accumulated amortization of $126,867 and $124,107 at June 30, 2024 and December 31,</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0"/>
        </w:trPr>
        <w:tc>
          <w:tcPr>
            <w:tcW w:w="8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2023, respectively</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77,836</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73,398</w:t>
            </w:r>
          </w:p>
        </w:tc>
      </w:tr>
      <w:tr>
        <w:trPr>
          <w:trHeight w:val="212"/>
        </w:trPr>
        <w:tc>
          <w:tcPr>
            <w:tcW w:w="80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Acquired lease intangible assets, less accumulated amortization of $374,411 and $364,413 at June 30, 2024 and</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0"/>
        </w:trPr>
        <w:tc>
          <w:tcPr>
            <w:tcW w:w="80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256,639</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283,375</w:t>
            </w:r>
          </w:p>
        </w:tc>
      </w:tr>
      <w:tr>
        <w:trPr>
          <w:trHeight w:val="220"/>
        </w:trPr>
        <w:tc>
          <w:tcPr>
            <w:tcW w:w="8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Right of use assets, net</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323,015</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328,002</w:t>
            </w:r>
          </w:p>
        </w:tc>
      </w:tr>
      <w:tr>
        <w:trPr>
          <w:trHeight w:val="233"/>
        </w:trPr>
        <w:tc>
          <w:tcPr>
            <w:tcW w:w="802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306,077</w:t>
            </w:r>
          </w:p>
        </w:tc>
        <w:tc>
          <w:tcPr>
            <w:tcW w:w="1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283,429</w:t>
            </w: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12,384,180</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12,426,913</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800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20"/>
        </w:trPr>
        <w:tc>
          <w:tcPr>
            <w:tcW w:w="20" w:type="dxa"/>
            <w:vAlign w:val="bottom"/>
            <w:tcBorders>
              <w:top w:val="single" w:sz="8" w:color="CFF0FC"/>
            </w:tcBorders>
          </w:tcPr>
          <w:p>
            <w:pPr>
              <w:spacing w:after="0"/>
              <w:rPr>
                <w:sz w:val="19"/>
                <w:szCs w:val="19"/>
                <w:color w:val="auto"/>
              </w:rPr>
            </w:pPr>
          </w:p>
        </w:tc>
        <w:tc>
          <w:tcPr>
            <w:tcW w:w="1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Liabilities:</w:t>
            </w:r>
          </w:p>
        </w:tc>
        <w:tc>
          <w:tcPr>
            <w:tcW w:w="650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40" w:type="dxa"/>
            <w:vAlign w:val="bottom"/>
            <w:tcBorders>
              <w:top w:val="single" w:sz="8" w:color="CFF0FC"/>
            </w:tcBorders>
          </w:tcPr>
          <w:p>
            <w:pPr>
              <w:spacing w:after="0"/>
              <w:rPr>
                <w:sz w:val="19"/>
                <w:szCs w:val="19"/>
                <w:color w:val="auto"/>
              </w:rPr>
            </w:pPr>
          </w:p>
        </w:tc>
      </w:tr>
      <w:tr>
        <w:trPr>
          <w:trHeight w:val="239"/>
        </w:trPr>
        <w:tc>
          <w:tcPr>
            <w:tcW w:w="20" w:type="dxa"/>
            <w:vAlign w:val="bottom"/>
            <w:shd w:val="clear" w:color="auto" w:fill="CFF0FC"/>
          </w:tcPr>
          <w:p>
            <w:pPr>
              <w:spacing w:after="0"/>
              <w:rPr>
                <w:sz w:val="20"/>
                <w:szCs w:val="20"/>
                <w:color w:val="auto"/>
              </w:rPr>
            </w:pPr>
          </w:p>
        </w:tc>
        <w:tc>
          <w:tcPr>
            <w:tcW w:w="80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Notes payable, net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4,055,390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4,001,949</w:t>
            </w:r>
          </w:p>
        </w:tc>
      </w:tr>
      <w:tr>
        <w:trPr>
          <w:trHeight w:val="220"/>
        </w:trPr>
        <w:tc>
          <w:tcPr>
            <w:tcW w:w="20" w:type="dxa"/>
            <w:vAlign w:val="bottom"/>
          </w:tcPr>
          <w:p>
            <w:pPr>
              <w:spacing w:after="0"/>
              <w:rPr>
                <w:sz w:val="19"/>
                <w:szCs w:val="19"/>
                <w:color w:val="auto"/>
              </w:rPr>
            </w:pPr>
          </w:p>
        </w:tc>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Unsecured credit facility</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310,000</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152,000</w:t>
            </w:r>
          </w:p>
        </w:tc>
      </w:tr>
      <w:tr>
        <w:trPr>
          <w:trHeight w:val="239"/>
        </w:trPr>
        <w:tc>
          <w:tcPr>
            <w:tcW w:w="20" w:type="dxa"/>
            <w:vAlign w:val="bottom"/>
            <w:shd w:val="clear" w:color="auto" w:fill="CFF0FC"/>
          </w:tcPr>
          <w:p>
            <w:pPr>
              <w:spacing w:after="0"/>
              <w:rPr>
                <w:sz w:val="20"/>
                <w:szCs w:val="20"/>
                <w:color w:val="auto"/>
              </w:rPr>
            </w:pPr>
          </w:p>
        </w:tc>
        <w:tc>
          <w:tcPr>
            <w:tcW w:w="80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357,232</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358,612</w:t>
            </w:r>
          </w:p>
        </w:tc>
      </w:tr>
      <w:tr>
        <w:trPr>
          <w:trHeight w:val="202"/>
        </w:trPr>
        <w:tc>
          <w:tcPr>
            <w:tcW w:w="20" w:type="dxa"/>
            <w:vAlign w:val="bottom"/>
          </w:tcPr>
          <w:p>
            <w:pPr>
              <w:spacing w:after="0"/>
              <w:rPr>
                <w:sz w:val="17"/>
                <w:szCs w:val="17"/>
                <w:color w:val="auto"/>
              </w:rPr>
            </w:pPr>
          </w:p>
        </w:tc>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Acquired lease intangible liabilities, less accumulated amortization of $208,900 and $211,067 at June 30, 2024 and</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380,505</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398,302</w:t>
            </w:r>
          </w:p>
        </w:tc>
      </w:tr>
      <w:tr>
        <w:trPr>
          <w:trHeight w:val="239"/>
        </w:trPr>
        <w:tc>
          <w:tcPr>
            <w:tcW w:w="20" w:type="dxa"/>
            <w:vAlign w:val="bottom"/>
            <w:shd w:val="clear" w:color="auto" w:fill="CFF0FC"/>
          </w:tcPr>
          <w:p>
            <w:pPr>
              <w:spacing w:after="0"/>
              <w:rPr>
                <w:sz w:val="20"/>
                <w:szCs w:val="20"/>
                <w:color w:val="auto"/>
              </w:rPr>
            </w:pPr>
          </w:p>
        </w:tc>
        <w:tc>
          <w:tcPr>
            <w:tcW w:w="80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Lease liabilities</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243,318</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246,063</w:t>
            </w:r>
          </w:p>
        </w:tc>
      </w:tr>
      <w:tr>
        <w:trPr>
          <w:trHeight w:val="223"/>
        </w:trPr>
        <w:tc>
          <w:tcPr>
            <w:tcW w:w="20" w:type="dxa"/>
            <w:vAlign w:val="bottom"/>
          </w:tcPr>
          <w:p>
            <w:pPr>
              <w:spacing w:after="0"/>
              <w:rPr>
                <w:sz w:val="19"/>
                <w:szCs w:val="19"/>
                <w:color w:val="auto"/>
              </w:rPr>
            </w:pPr>
          </w:p>
        </w:tc>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Tenants' security, escrow deposits and prepaid rent</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74,565</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78,052</w:t>
            </w:r>
          </w:p>
        </w:tc>
      </w:tr>
      <w:tr>
        <w:trPr>
          <w:trHeight w:val="223"/>
        </w:trPr>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5,421,010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5,234,978</w:t>
            </w:r>
          </w:p>
        </w:tc>
      </w:tr>
      <w:tr>
        <w:trPr>
          <w:trHeight w:val="220"/>
        </w:trPr>
        <w:tc>
          <w:tcPr>
            <w:tcW w:w="8020" w:type="dxa"/>
            <w:vAlign w:val="bottom"/>
            <w:tcBorders>
              <w:top w:val="single" w:sz="8" w:color="CFF0FC"/>
            </w:tcBorders>
            <w:gridSpan w:val="4"/>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9"/>
                <w:szCs w:val="19"/>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0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Shareholders' equity:</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2"/>
        </w:trPr>
        <w:tc>
          <w:tcPr>
            <w:tcW w:w="20" w:type="dxa"/>
            <w:vAlign w:val="bottom"/>
            <w:shd w:val="clear" w:color="auto" w:fill="CFF0FC"/>
          </w:tcPr>
          <w:p>
            <w:pPr>
              <w:spacing w:after="0"/>
              <w:rPr>
                <w:sz w:val="18"/>
                <w:szCs w:val="18"/>
                <w:color w:val="auto"/>
              </w:rPr>
            </w:pPr>
          </w:p>
        </w:tc>
        <w:tc>
          <w:tcPr>
            <w:tcW w:w="80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Preferred stock $0.01 par value per share, 30,000,000 shares authorized; 9,000,000 shares issued and outstanding,</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03"/>
        </w:trPr>
        <w:tc>
          <w:tcPr>
            <w:tcW w:w="20" w:type="dxa"/>
            <w:vAlign w:val="bottom"/>
            <w:shd w:val="clear" w:color="auto" w:fill="CFF0FC"/>
          </w:tcPr>
          <w:p>
            <w:pPr>
              <w:spacing w:after="0"/>
              <w:rPr>
                <w:sz w:val="17"/>
                <w:szCs w:val="17"/>
                <w:color w:val="auto"/>
              </w:rPr>
            </w:pPr>
          </w:p>
        </w:tc>
        <w:tc>
          <w:tcPr>
            <w:tcW w:w="80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 the aggregate, in Series A and Series B at June 30, 2024 and December 31, 2023 with liquidation preference of</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0"/>
        </w:trPr>
        <w:tc>
          <w:tcPr>
            <w:tcW w:w="20" w:type="dxa"/>
            <w:vAlign w:val="bottom"/>
            <w:shd w:val="clear" w:color="auto" w:fill="CFF0FC"/>
          </w:tcPr>
          <w:p>
            <w:pPr>
              <w:spacing w:after="0"/>
              <w:rPr>
                <w:sz w:val="19"/>
                <w:szCs w:val="19"/>
                <w:color w:val="auto"/>
              </w:rPr>
            </w:pPr>
          </w:p>
        </w:tc>
        <w:tc>
          <w:tcPr>
            <w:tcW w:w="80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$25 per share</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225,000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225,000</w:t>
            </w:r>
          </w:p>
        </w:tc>
      </w:tr>
      <w:tr>
        <w:trPr>
          <w:trHeight w:val="202"/>
        </w:trPr>
        <w:tc>
          <w:tcPr>
            <w:tcW w:w="20" w:type="dxa"/>
            <w:vAlign w:val="bottom"/>
          </w:tcPr>
          <w:p>
            <w:pPr>
              <w:spacing w:after="0"/>
              <w:rPr>
                <w:sz w:val="17"/>
                <w:szCs w:val="17"/>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Common stock $0.01 par value per share, 220,000,000 shares authorized; 181,493,494 and 184,581,070 shares</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issued and outstanding at June 30, 2024 and December 31, 2023, respectively</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1,815</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1,846</w:t>
            </w:r>
          </w:p>
        </w:tc>
      </w:tr>
      <w:tr>
        <w:trPr>
          <w:trHeight w:val="239"/>
        </w:trPr>
        <w:tc>
          <w:tcPr>
            <w:tcW w:w="20" w:type="dxa"/>
            <w:vAlign w:val="bottom"/>
            <w:shd w:val="clear" w:color="auto" w:fill="CFF0FC"/>
          </w:tcPr>
          <w:p>
            <w:pPr>
              <w:spacing w:after="0"/>
              <w:rPr>
                <w:sz w:val="20"/>
                <w:szCs w:val="20"/>
                <w:color w:val="auto"/>
              </w:rPr>
            </w:pPr>
          </w:p>
        </w:tc>
        <w:tc>
          <w:tcPr>
            <w:tcW w:w="80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Treasury stock at cost, 468,068 and 448,140 shares held at June 30, 2024 and December 31, 2023, respectively</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(27,234 )</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(25,488 )</w:t>
            </w:r>
          </w:p>
        </w:tc>
      </w:tr>
      <w:tr>
        <w:trPr>
          <w:trHeight w:val="220"/>
        </w:trPr>
        <w:tc>
          <w:tcPr>
            <w:tcW w:w="20" w:type="dxa"/>
            <w:vAlign w:val="bottom"/>
          </w:tcPr>
          <w:p>
            <w:pPr>
              <w:spacing w:after="0"/>
              <w:rPr>
                <w:sz w:val="19"/>
                <w:szCs w:val="19"/>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8,502,753</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8,704,240</w:t>
            </w:r>
          </w:p>
        </w:tc>
      </w:tr>
      <w:tr>
        <w:trPr>
          <w:trHeight w:val="239"/>
        </w:trPr>
        <w:tc>
          <w:tcPr>
            <w:tcW w:w="20" w:type="dxa"/>
            <w:vAlign w:val="bottom"/>
            <w:shd w:val="clear" w:color="auto" w:fill="CFF0FC"/>
          </w:tcPr>
          <w:p>
            <w:pPr>
              <w:spacing w:after="0"/>
              <w:rPr>
                <w:sz w:val="20"/>
                <w:szCs w:val="20"/>
                <w:color w:val="auto"/>
              </w:rPr>
            </w:pPr>
          </w:p>
        </w:tc>
        <w:tc>
          <w:tcPr>
            <w:tcW w:w="80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5,135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(1,308 )</w:t>
            </w:r>
          </w:p>
        </w:tc>
      </w:tr>
      <w:tr>
        <w:trPr>
          <w:trHeight w:val="223"/>
        </w:trPr>
        <w:tc>
          <w:tcPr>
            <w:tcW w:w="20" w:type="dxa"/>
            <w:vAlign w:val="bottom"/>
          </w:tcPr>
          <w:p>
            <w:pPr>
              <w:spacing w:after="0"/>
              <w:rPr>
                <w:sz w:val="19"/>
                <w:szCs w:val="19"/>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Distributions in excess of net income</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(1,911,741 )</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(1,871,603 )</w:t>
            </w:r>
          </w:p>
        </w:tc>
      </w:tr>
      <w:tr>
        <w:trPr>
          <w:trHeight w:val="223"/>
        </w:trPr>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6,795,728</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7,032,687</w:t>
            </w:r>
          </w:p>
        </w:tc>
      </w:tr>
      <w:tr>
        <w:trPr>
          <w:trHeight w:val="220"/>
        </w:trPr>
        <w:tc>
          <w:tcPr>
            <w:tcW w:w="20" w:type="dxa"/>
            <w:vAlign w:val="bottom"/>
            <w:tcBorders>
              <w:top w:val="single" w:sz="8" w:color="CFF0FC"/>
            </w:tcBorders>
          </w:tcPr>
          <w:p>
            <w:pPr>
              <w:spacing w:after="0"/>
              <w:rPr>
                <w:sz w:val="19"/>
                <w:szCs w:val="19"/>
                <w:color w:val="auto"/>
              </w:rPr>
            </w:pPr>
          </w:p>
        </w:tc>
        <w:tc>
          <w:tcPr>
            <w:tcW w:w="8000" w:type="dxa"/>
            <w:vAlign w:val="bottom"/>
            <w:tcBorders>
              <w:top w:val="single" w:sz="8" w:color="CFF0FC"/>
            </w:tcBorders>
            <w:gridSpan w:val="3"/>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12"/>
        </w:trPr>
        <w:tc>
          <w:tcPr>
            <w:tcW w:w="20" w:type="dxa"/>
            <w:vAlign w:val="bottom"/>
            <w:shd w:val="clear" w:color="auto" w:fill="CFF0FC"/>
          </w:tcPr>
          <w:p>
            <w:pPr>
              <w:spacing w:after="0"/>
              <w:rPr>
                <w:sz w:val="18"/>
                <w:szCs w:val="18"/>
                <w:color w:val="auto"/>
              </w:rPr>
            </w:pPr>
          </w:p>
        </w:tc>
        <w:tc>
          <w:tcPr>
            <w:tcW w:w="80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Exchangeable operating partnership units, aggregate redemption value of $68,390 and $74,199 at June 30, 2024</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0"/>
        </w:trPr>
        <w:tc>
          <w:tcPr>
            <w:tcW w:w="20" w:type="dxa"/>
            <w:vAlign w:val="bottom"/>
            <w:shd w:val="clear" w:color="auto" w:fill="CFF0FC"/>
          </w:tcPr>
          <w:p>
            <w:pPr>
              <w:spacing w:after="0"/>
              <w:rPr>
                <w:sz w:val="19"/>
                <w:szCs w:val="19"/>
                <w:color w:val="auto"/>
              </w:rPr>
            </w:pPr>
          </w:p>
        </w:tc>
        <w:tc>
          <w:tcPr>
            <w:tcW w:w="80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and December 31, 2023, respectively</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40,738</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42,195</w:t>
            </w:r>
          </w:p>
        </w:tc>
      </w:tr>
      <w:tr>
        <w:trPr>
          <w:trHeight w:val="223"/>
        </w:trPr>
        <w:tc>
          <w:tcPr>
            <w:tcW w:w="20" w:type="dxa"/>
            <w:vAlign w:val="bottom"/>
          </w:tcPr>
          <w:p>
            <w:pPr>
              <w:spacing w:after="0"/>
              <w:rPr>
                <w:sz w:val="19"/>
                <w:szCs w:val="19"/>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Limited partners' interests in consolidated partnerships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126,704</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117,053</w:t>
            </w: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75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noncontrolling interests</w:t>
            </w: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167,442</w:t>
            </w: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159,248</w:t>
            </w: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5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6,963,170</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7,191,935</w:t>
            </w:r>
          </w:p>
        </w:tc>
      </w:tr>
      <w:tr>
        <w:trPr>
          <w:trHeight w:val="263"/>
        </w:trPr>
        <w:tc>
          <w:tcPr>
            <w:tcW w:w="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7560" w:type="dxa"/>
            <w:vAlign w:val="bottom"/>
            <w:tcBorders>
              <w:bottom w:val="single" w:sz="8" w:color="CFF0FC"/>
            </w:tcBorders>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12,384,180</w:t>
            </w:r>
          </w:p>
        </w:tc>
        <w:tc>
          <w:tcPr>
            <w:tcW w:w="12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12,426,913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-6111240</wp:posOffset>
            </wp:positionV>
            <wp:extent cx="85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-4551045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-2922270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-1062355</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-334010</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3"/>
        </w:trPr>
        <w:tc>
          <w:tcPr>
            <w:tcW w:w="6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4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6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r>
      <w:tr>
        <w:trPr>
          <w:trHeight w:val="220"/>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347,845</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304,458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700,951</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613,259</w:t>
            </w:r>
          </w:p>
        </w:tc>
      </w:tr>
      <w:tr>
        <w:trPr>
          <w:trHeight w:val="239"/>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property income</w:t>
            </w: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2,670</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2,683</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7,020</w:t>
            </w:r>
          </w:p>
        </w:tc>
        <w:tc>
          <w:tcPr>
            <w:tcW w:w="1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5,821</w:t>
            </w:r>
          </w:p>
        </w:tc>
      </w:tr>
      <w:tr>
        <w:trPr>
          <w:trHeight w:val="223"/>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6,735</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7,106</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13,131</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13,144</w:t>
            </w:r>
          </w:p>
        </w:tc>
      </w:tr>
      <w:tr>
        <w:trPr>
          <w:trHeight w:val="223"/>
        </w:trPr>
        <w:tc>
          <w:tcPr>
            <w:tcW w:w="6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357,250</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314,247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721,102</w:t>
            </w:r>
          </w:p>
        </w:tc>
        <w:tc>
          <w:tcPr>
            <w:tcW w:w="1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632,224</w:t>
            </w:r>
          </w:p>
        </w:tc>
      </w:tr>
      <w:tr>
        <w:trPr>
          <w:trHeight w:val="220"/>
        </w:trPr>
        <w:tc>
          <w:tcPr>
            <w:tcW w:w="6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39"/>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100,968</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83,161</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198,553</w:t>
            </w:r>
          </w:p>
        </w:tc>
        <w:tc>
          <w:tcPr>
            <w:tcW w:w="1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165,868</w:t>
            </w:r>
          </w:p>
        </w:tc>
      </w:tr>
      <w:tr>
        <w:trPr>
          <w:trHeight w:val="220"/>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operating expense</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59,491</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54,394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122,765</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105,416</w:t>
            </w:r>
          </w:p>
        </w:tc>
      </w:tr>
      <w:tr>
        <w:trPr>
          <w:trHeight w:val="239"/>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Real estate taxes</w:t>
            </w: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45,478</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38,509</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89,785</w:t>
            </w:r>
          </w:p>
        </w:tc>
        <w:tc>
          <w:tcPr>
            <w:tcW w:w="1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76,986</w:t>
            </w:r>
          </w:p>
        </w:tc>
      </w:tr>
      <w:tr>
        <w:trPr>
          <w:trHeight w:val="220"/>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24,238</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25,065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50,370</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50,345</w:t>
            </w:r>
          </w:p>
        </w:tc>
      </w:tr>
      <w:tr>
        <w:trPr>
          <w:trHeight w:val="233"/>
        </w:trPr>
        <w:tc>
          <w:tcPr>
            <w:tcW w:w="6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3,066</w:t>
            </w:r>
          </w:p>
        </w:tc>
        <w:tc>
          <w:tcPr>
            <w:tcW w:w="1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1,682</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5,709</w:t>
            </w:r>
          </w:p>
        </w:tc>
        <w:tc>
          <w:tcPr>
            <w:tcW w:w="16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1,185</w:t>
            </w:r>
          </w:p>
        </w:tc>
      </w:tr>
      <w:tr>
        <w:trPr>
          <w:trHeight w:val="223"/>
        </w:trPr>
        <w:tc>
          <w:tcPr>
            <w:tcW w:w="6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233,241</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202,811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467,182</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399,800</w:t>
            </w:r>
          </w:p>
        </w:tc>
      </w:tr>
      <w:tr>
        <w:trPr>
          <w:trHeight w:val="229"/>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r>
      <w:tr>
        <w:trPr>
          <w:trHeight w:val="220"/>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43,178</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36,956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86,046</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73,349</w:t>
            </w:r>
          </w:p>
        </w:tc>
      </w:tr>
      <w:tr>
        <w:trPr>
          <w:trHeight w:val="239"/>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(11,081 )</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(22,484 )</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(331 )</w:t>
            </w:r>
          </w:p>
        </w:tc>
      </w:tr>
      <w:tr>
        <w:trPr>
          <w:trHeight w:val="220"/>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180</w:t>
            </w:r>
          </w:p>
        </w:tc>
        <w:tc>
          <w:tcPr>
            <w:tcW w:w="1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investment income</w:t>
            </w:r>
          </w:p>
        </w:tc>
        <w:tc>
          <w:tcPr>
            <w:tcW w:w="1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(703 )</w:t>
            </w:r>
          </w:p>
        </w:tc>
        <w:tc>
          <w:tcPr>
            <w:tcW w:w="1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(1,742 )</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(3,134 )</w:t>
            </w:r>
          </w:p>
        </w:tc>
        <w:tc>
          <w:tcPr>
            <w:tcW w:w="16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(3,469 )</w:t>
            </w:r>
          </w:p>
        </w:tc>
      </w:tr>
      <w:tr>
        <w:trPr>
          <w:trHeight w:val="223"/>
        </w:trPr>
        <w:tc>
          <w:tcPr>
            <w:tcW w:w="6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expense, net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31,394</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35,133</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60,608</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69,549</w:t>
            </w:r>
          </w:p>
        </w:tc>
      </w:tr>
      <w:tr>
        <w:trPr>
          <w:trHeight w:val="230"/>
        </w:trPr>
        <w:tc>
          <w:tcPr>
            <w:tcW w:w="6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Income before equity in income of investments in real estate partnerships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92,615</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76,303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193,312</w:t>
            </w:r>
          </w:p>
        </w:tc>
        <w:tc>
          <w:tcPr>
            <w:tcW w:w="1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162,875</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income of investments in real estate partnerships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12,314</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11,869</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24,275</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23,785</w:t>
            </w:r>
          </w:p>
        </w:tc>
      </w:tr>
      <w:tr>
        <w:trPr>
          <w:trHeight w:val="223"/>
        </w:trPr>
        <w:tc>
          <w:tcPr>
            <w:tcW w:w="6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104,929</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88,172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217,587</w:t>
            </w:r>
          </w:p>
        </w:tc>
        <w:tc>
          <w:tcPr>
            <w:tcW w:w="1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186,660</w:t>
            </w:r>
          </w:p>
        </w:tc>
      </w:tr>
      <w:tr>
        <w:trPr>
          <w:trHeight w:val="220"/>
        </w:trPr>
        <w:tc>
          <w:tcPr>
            <w:tcW w:w="6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39"/>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Exchangeable operating partnership units</w:t>
            </w: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(601 )</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(1,243 )</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(970 )</w:t>
            </w:r>
          </w:p>
        </w:tc>
      </w:tr>
      <w:tr>
        <w:trPr>
          <w:trHeight w:val="223"/>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Limited partners' interests in consolidated partnerships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(1,660 )</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(840 )</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(3,902 )</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(1,627 )</w:t>
            </w:r>
          </w:p>
        </w:tc>
      </w:tr>
      <w:tr>
        <w:trPr>
          <w:trHeight w:val="223"/>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(2,261 )</w:t>
            </w:r>
          </w:p>
        </w:tc>
        <w:tc>
          <w:tcPr>
            <w:tcW w:w="1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(1,390 )</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(5,145 )</w:t>
            </w: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(2,597 )</w:t>
            </w:r>
          </w:p>
        </w:tc>
      </w:tr>
      <w:tr>
        <w:trPr>
          <w:trHeight w:val="220"/>
        </w:trPr>
        <w:tc>
          <w:tcPr>
            <w:tcW w:w="6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102,668</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86,782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212,442</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184,063</w:t>
            </w:r>
          </w:p>
        </w:tc>
      </w:tr>
      <w:tr>
        <w:trPr>
          <w:trHeight w:val="233"/>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(3,413 )</w:t>
            </w:r>
          </w:p>
        </w:tc>
        <w:tc>
          <w:tcPr>
            <w:tcW w:w="1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(6,826 )</w:t>
            </w:r>
          </w:p>
        </w:tc>
        <w:tc>
          <w:tcPr>
            <w:tcW w:w="16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99,255</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86,782</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205,616</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184,063</w:t>
            </w:r>
          </w:p>
        </w:tc>
      </w:tr>
      <w:tr>
        <w:trPr>
          <w:trHeight w:val="20"/>
        </w:trPr>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20"/>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Per common share - 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0.54</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0.51</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1.12</w:t>
            </w:r>
          </w:p>
        </w:tc>
        <w:tc>
          <w:tcPr>
            <w:tcW w:w="1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r>
      <w:tr>
        <w:trPr>
          <w:trHeight w:val="210"/>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Per common share -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0.54</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0.51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1.12</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-4033520</wp:posOffset>
            </wp:positionV>
            <wp:extent cx="1111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-4033520</wp:posOffset>
            </wp:positionV>
            <wp:extent cx="1028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-4033520</wp:posOffset>
            </wp:positionV>
            <wp:extent cx="1028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-3150235</wp:posOffset>
            </wp:positionV>
            <wp:extent cx="1111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-3150235</wp:posOffset>
            </wp:positionV>
            <wp:extent cx="102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-3150235</wp:posOffset>
            </wp:positionV>
            <wp:extent cx="1028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-2258695</wp:posOffset>
            </wp:positionV>
            <wp:extent cx="1111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-2258695</wp:posOffset>
            </wp:positionV>
            <wp:extent cx="102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-2258695</wp:posOffset>
            </wp:positionV>
            <wp:extent cx="102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-1650365</wp:posOffset>
            </wp:positionV>
            <wp:extent cx="111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-1650365</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-1650365</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-1050290</wp:posOffset>
            </wp:positionV>
            <wp:extent cx="111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-1050290</wp:posOffset>
            </wp:positionV>
            <wp:extent cx="102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-1050290</wp:posOffset>
            </wp:positionV>
            <wp:extent cx="102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-749935</wp:posOffset>
            </wp:positionV>
            <wp:extent cx="11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-749935</wp:posOffset>
            </wp:positionV>
            <wp:extent cx="102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-749935</wp:posOffset>
            </wp:positionV>
            <wp:extent cx="102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3"/>
        </w:trPr>
        <w:tc>
          <w:tcPr>
            <w:tcW w:w="6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9"/>
                <w:szCs w:val="19"/>
                <w:color w:val="auto"/>
              </w:rPr>
            </w:pPr>
          </w:p>
        </w:tc>
        <w:tc>
          <w:tcPr>
            <w:tcW w:w="11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9"/>
                <w:szCs w:val="19"/>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104,929</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88,172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217,587</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186,660</w:t>
            </w:r>
          </w:p>
        </w:tc>
      </w:tr>
      <w:tr>
        <w:trPr>
          <w:trHeight w:val="22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9"/>
        </w:trPr>
        <w:tc>
          <w:tcPr>
            <w:tcW w:w="6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Effective portion of change in fair value of derivative instruments:</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20"/>
        </w:trPr>
        <w:tc>
          <w:tcPr>
            <w:tcW w:w="6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Effective portion of change in fair value of derivative instruments</w:t>
            </w:r>
          </w:p>
        </w:tc>
        <w:tc>
          <w:tcPr>
            <w:tcW w:w="16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3,124</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5,457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11,717</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2,721</w:t>
            </w:r>
          </w:p>
        </w:tc>
      </w:tr>
      <w:tr>
        <w:trPr>
          <w:trHeight w:val="239"/>
        </w:trPr>
        <w:tc>
          <w:tcPr>
            <w:tcW w:w="6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Reclassification adjustment of derivative instruments included in net income</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(2,440 )</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(1,649 )</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(4,807 )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(3,141 )</w:t>
            </w:r>
          </w:p>
        </w:tc>
      </w:tr>
      <w:tr>
        <w:trPr>
          <w:trHeight w:val="223"/>
        </w:trPr>
        <w:tc>
          <w:tcPr>
            <w:tcW w:w="6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Unrealized (loss) gain on available-for-sale debt securities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6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r>
      <w:tr>
        <w:trPr>
          <w:trHeight w:val="223"/>
        </w:trPr>
        <w:tc>
          <w:tcPr>
            <w:tcW w:w="61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683</w:t>
            </w:r>
          </w:p>
        </w:tc>
        <w:tc>
          <w:tcPr>
            <w:tcW w:w="1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3,693</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6,790</w:t>
            </w:r>
          </w:p>
        </w:tc>
        <w:tc>
          <w:tcPr>
            <w:tcW w:w="1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(343 )</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6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105,612</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91,865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224,377</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186,317</w:t>
            </w:r>
          </w:p>
        </w:tc>
      </w:tr>
      <w:tr>
        <w:trPr>
          <w:trHeight w:val="229"/>
        </w:trPr>
        <w:tc>
          <w:tcPr>
            <w:tcW w:w="6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r>
      <w:tr>
        <w:trPr>
          <w:trHeight w:val="220"/>
        </w:trPr>
        <w:tc>
          <w:tcPr>
            <w:tcW w:w="6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6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2,261</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5,145</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2,597</w:t>
            </w:r>
          </w:p>
        </w:tc>
      </w:tr>
      <w:tr>
        <w:trPr>
          <w:trHeight w:val="233"/>
        </w:trPr>
        <w:tc>
          <w:tcPr>
            <w:tcW w:w="61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comprehensive income (loss) attributable to noncontrolling interests</w:t>
            </w: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284</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347</w:t>
            </w:r>
          </w:p>
        </w:tc>
        <w:tc>
          <w:tcPr>
            <w:tcW w:w="1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(119 )</w:t>
            </w:r>
          </w:p>
        </w:tc>
      </w:tr>
      <w:tr>
        <w:trPr>
          <w:trHeight w:val="223"/>
        </w:trPr>
        <w:tc>
          <w:tcPr>
            <w:tcW w:w="6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2,274</w:t>
            </w:r>
          </w:p>
        </w:tc>
        <w:tc>
          <w:tcPr>
            <w:tcW w:w="180" w:type="dxa"/>
            <w:vAlign w:val="bottom"/>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1,674</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5,492</w:t>
            </w:r>
          </w:p>
        </w:tc>
        <w:tc>
          <w:tcPr>
            <w:tcW w:w="16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2,478</w:t>
            </w:r>
          </w:p>
        </w:tc>
      </w:tr>
      <w:tr>
        <w:trPr>
          <w:trHeight w:val="263"/>
        </w:trPr>
        <w:tc>
          <w:tcPr>
            <w:tcW w:w="61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Comprehensive income attributable to the Company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103,338</w:t>
            </w:r>
          </w:p>
        </w:tc>
        <w:tc>
          <w:tcPr>
            <w:tcW w:w="18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90,191</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218,885</w:t>
            </w:r>
          </w:p>
        </w:tc>
        <w:tc>
          <w:tcPr>
            <w:tcW w:w="16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183,839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-934085</wp:posOffset>
            </wp:positionV>
            <wp:extent cx="111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-934085</wp:posOffset>
            </wp:positionV>
            <wp:extent cx="1028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-934085</wp:posOffset>
            </wp:positionV>
            <wp:extent cx="1028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-334010</wp:posOffset>
            </wp:positionV>
            <wp:extent cx="1111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-334010</wp:posOffset>
            </wp:positionV>
            <wp:extent cx="1028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-334010</wp:posOffset>
            </wp:positionV>
            <wp:extent cx="102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-25400</wp:posOffset>
            </wp:positionV>
            <wp:extent cx="111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111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1028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1028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1028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1028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REGENCY CENTERS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2024 and 2023</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Borders>
              <w:bottom w:val="single" w:sz="8" w:color="auto"/>
            </w:tcBorders>
            <w:gridSpan w:val="5"/>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Noncontrolling Interests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37"/>
              <w:spacing w:after="0" w:line="123" w:lineRule="exact"/>
              <w:rPr>
                <w:sz w:val="20"/>
                <w:szCs w:val="20"/>
                <w:color w:val="auto"/>
              </w:rPr>
            </w:pPr>
            <w:r>
              <w:rPr>
                <w:rFonts w:ascii="Times New Roman" w:cs="Times New Roman" w:eastAsia="Times New Roman" w:hAnsi="Times New Roman"/>
                <w:sz w:val="13"/>
                <w:szCs w:val="13"/>
                <w:b w:val="1"/>
                <w:bCs w:val="1"/>
                <w:color w:val="auto"/>
                <w:w w:val="99"/>
              </w:rPr>
              <w:t>Limited</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Distributi</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9"/>
              </w:rPr>
              <w:t>Partners'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1"/>
                <w:szCs w:val="11"/>
                <w:color w:val="auto"/>
              </w:rPr>
            </w:pPr>
          </w:p>
        </w:tc>
        <w:tc>
          <w:tcPr>
            <w:tcW w:w="7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ons</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Exchangeabl</w:t>
            </w:r>
          </w:p>
        </w:tc>
        <w:tc>
          <w:tcPr>
            <w:tcW w:w="10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Interest in</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70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 Excess</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8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e</w:t>
            </w:r>
          </w:p>
        </w:tc>
        <w:tc>
          <w:tcPr>
            <w:tcW w:w="100" w:type="dxa"/>
            <w:vAlign w:val="bottom"/>
          </w:tcPr>
          <w:p>
            <w:pPr>
              <w:spacing w:after="0"/>
              <w:rPr>
                <w:sz w:val="11"/>
                <w:szCs w:val="11"/>
                <w:color w:val="auto"/>
              </w:rPr>
            </w:pPr>
          </w:p>
        </w:tc>
        <w:tc>
          <w:tcPr>
            <w:tcW w:w="7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Consolidat</w:t>
            </w:r>
          </w:p>
        </w:tc>
        <w:tc>
          <w:tcPr>
            <w:tcW w:w="12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54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Prefer</w:t>
            </w:r>
          </w:p>
        </w:tc>
        <w:tc>
          <w:tcPr>
            <w:tcW w:w="120" w:type="dxa"/>
            <w:vAlign w:val="bottom"/>
          </w:tcPr>
          <w:p>
            <w:pPr>
              <w:spacing w:after="0"/>
              <w:rPr>
                <w:sz w:val="11"/>
                <w:szCs w:val="11"/>
                <w:color w:val="auto"/>
              </w:rPr>
            </w:pPr>
          </w:p>
        </w:tc>
        <w:tc>
          <w:tcPr>
            <w:tcW w:w="6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Commo</w:t>
            </w:r>
          </w:p>
        </w:tc>
        <w:tc>
          <w:tcPr>
            <w:tcW w:w="120" w:type="dxa"/>
            <w:vAlign w:val="bottom"/>
          </w:tcPr>
          <w:p>
            <w:pPr>
              <w:spacing w:after="0"/>
              <w:rPr>
                <w:sz w:val="11"/>
                <w:szCs w:val="11"/>
                <w:color w:val="auto"/>
              </w:rPr>
            </w:pPr>
          </w:p>
        </w:tc>
        <w:tc>
          <w:tcPr>
            <w:tcW w:w="6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w:t>
            </w:r>
          </w:p>
        </w:tc>
        <w:tc>
          <w:tcPr>
            <w:tcW w:w="12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w:t>
            </w:r>
          </w:p>
        </w:tc>
        <w:tc>
          <w:tcPr>
            <w:tcW w:w="100" w:type="dxa"/>
            <w:vAlign w:val="bottom"/>
          </w:tcPr>
          <w:p>
            <w:pPr>
              <w:spacing w:after="0"/>
              <w:rPr>
                <w:sz w:val="11"/>
                <w:szCs w:val="11"/>
                <w:color w:val="auto"/>
              </w:rPr>
            </w:pPr>
          </w:p>
        </w:tc>
        <w:tc>
          <w:tcPr>
            <w:tcW w:w="7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Shareholders</w:t>
            </w: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10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ed</w:t>
            </w:r>
          </w:p>
        </w:tc>
        <w:tc>
          <w:tcPr>
            <w:tcW w:w="12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Noncontrolli</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red</w:t>
            </w:r>
          </w:p>
        </w:tc>
        <w:tc>
          <w:tcPr>
            <w:tcW w:w="120" w:type="dxa"/>
            <w:vAlign w:val="bottom"/>
          </w:tcPr>
          <w:p>
            <w:pPr>
              <w:spacing w:after="0"/>
              <w:rPr>
                <w:sz w:val="11"/>
                <w:szCs w:val="11"/>
                <w:color w:val="auto"/>
              </w:rPr>
            </w:pPr>
          </w:p>
        </w:tc>
        <w:tc>
          <w:tcPr>
            <w:tcW w:w="6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n</w:t>
            </w:r>
          </w:p>
        </w:tc>
        <w:tc>
          <w:tcPr>
            <w:tcW w:w="120" w:type="dxa"/>
            <w:vAlign w:val="bottom"/>
          </w:tcPr>
          <w:p>
            <w:pPr>
              <w:spacing w:after="0"/>
              <w:rPr>
                <w:sz w:val="11"/>
                <w:szCs w:val="11"/>
                <w:color w:val="auto"/>
              </w:rPr>
            </w:pPr>
          </w:p>
        </w:tc>
        <w:tc>
          <w:tcPr>
            <w:tcW w:w="6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1"/>
              </w:rPr>
              <w:t>y</w:t>
            </w:r>
          </w:p>
        </w:tc>
        <w:tc>
          <w:tcPr>
            <w:tcW w:w="120" w:type="dxa"/>
            <w:vAlign w:val="bottom"/>
          </w:tcPr>
          <w:p>
            <w:pPr>
              <w:spacing w:after="0"/>
              <w:rPr>
                <w:sz w:val="11"/>
                <w:szCs w:val="11"/>
                <w:color w:val="auto"/>
              </w:rPr>
            </w:pPr>
          </w:p>
        </w:tc>
        <w:tc>
          <w:tcPr>
            <w:tcW w:w="72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Paid In</w:t>
            </w:r>
          </w:p>
        </w:tc>
        <w:tc>
          <w:tcPr>
            <w:tcW w:w="12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ive</w:t>
            </w:r>
          </w:p>
        </w:tc>
        <w:tc>
          <w:tcPr>
            <w:tcW w:w="100" w:type="dxa"/>
            <w:vAlign w:val="bottom"/>
          </w:tcPr>
          <w:p>
            <w:pPr>
              <w:spacing w:after="0"/>
              <w:rPr>
                <w:sz w:val="11"/>
                <w:szCs w:val="11"/>
                <w:color w:val="auto"/>
              </w:rPr>
            </w:pPr>
          </w:p>
        </w:tc>
        <w:tc>
          <w:tcPr>
            <w:tcW w:w="70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Partnership</w:t>
            </w:r>
          </w:p>
        </w:tc>
        <w:tc>
          <w:tcPr>
            <w:tcW w:w="10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Partnershi</w:t>
            </w:r>
          </w:p>
        </w:tc>
        <w:tc>
          <w:tcPr>
            <w:tcW w:w="12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87"/>
              </w:rPr>
              <w:t>ng</w:t>
            </w:r>
          </w:p>
        </w:tc>
        <w:tc>
          <w:tcPr>
            <w:tcW w:w="120" w:type="dxa"/>
            <w:vAlign w:val="bottom"/>
          </w:tcPr>
          <w:p>
            <w:pPr>
              <w:spacing w:after="0"/>
              <w:rPr>
                <w:sz w:val="11"/>
                <w:szCs w:val="11"/>
                <w:color w:val="auto"/>
              </w:rPr>
            </w:pPr>
          </w:p>
        </w:tc>
        <w:tc>
          <w:tcPr>
            <w:tcW w:w="76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7"/>
        </w:trPr>
        <w:tc>
          <w:tcPr>
            <w:tcW w:w="2020" w:type="dxa"/>
            <w:vAlign w:val="bottom"/>
          </w:tcPr>
          <w:p>
            <w:pPr>
              <w:spacing w:after="0"/>
              <w:rPr>
                <w:sz w:val="14"/>
                <w:szCs w:val="14"/>
                <w:color w:val="auto"/>
              </w:rPr>
            </w:pPr>
          </w:p>
        </w:tc>
        <w:tc>
          <w:tcPr>
            <w:tcW w:w="540" w:type="dxa"/>
            <w:vAlign w:val="bottom"/>
            <w:tcBorders>
              <w:bottom w:val="single" w:sz="8" w:color="auto"/>
            </w:tcBorders>
            <w:gridSpan w:val="2"/>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ps</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25"/>
        </w:trPr>
        <w:tc>
          <w:tcPr>
            <w:tcW w:w="2120" w:type="dxa"/>
            <w:vAlign w:val="bottom"/>
            <w:gridSpan w:val="2"/>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(25,69</w:t>
            </w:r>
          </w:p>
        </w:tc>
        <w:tc>
          <w:tcPr>
            <w:tcW w:w="840" w:type="dxa"/>
            <w:vAlign w:val="bottom"/>
            <w:gridSpan w:val="2"/>
            <w:shd w:val="clear" w:color="auto" w:fill="CFF0FC"/>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7,856,42</w:t>
            </w: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(1,779,0</w:t>
            </w: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20" w:type="dxa"/>
            <w:vAlign w:val="bottom"/>
            <w:gridSpan w:val="2"/>
            <w:shd w:val="clear" w:color="auto" w:fill="CFF0FC"/>
          </w:tcPr>
          <w:p>
            <w:pPr>
              <w:ind w:left="204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1,710</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9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3,927</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6,057,321</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34,411</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47,703</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82,114</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6,139,435</w:t>
            </w:r>
          </w:p>
        </w:tc>
        <w:tc>
          <w:tcPr>
            <w:tcW w:w="0" w:type="dxa"/>
            <w:vAlign w:val="bottom"/>
          </w:tcPr>
          <w:p>
            <w:pPr>
              <w:spacing w:after="0"/>
              <w:rPr>
                <w:sz w:val="1"/>
                <w:szCs w:val="1"/>
                <w:color w:val="auto"/>
              </w:rPr>
            </w:pPr>
          </w:p>
        </w:tc>
      </w:tr>
      <w:tr>
        <w:trPr>
          <w:trHeight w:val="162"/>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86,782</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86,782</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550</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840</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1,390</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88,172</w:t>
            </w:r>
          </w:p>
        </w:tc>
        <w:tc>
          <w:tcPr>
            <w:tcW w:w="0" w:type="dxa"/>
            <w:vAlign w:val="bottom"/>
          </w:tcPr>
          <w:p>
            <w:pPr>
              <w:spacing w:after="0"/>
              <w:rPr>
                <w:sz w:val="1"/>
                <w:szCs w:val="1"/>
                <w:color w:val="auto"/>
              </w:rPr>
            </w:pPr>
          </w:p>
        </w:tc>
      </w:tr>
      <w:tr>
        <w:trPr>
          <w:trHeight w:val="162"/>
        </w:trPr>
        <w:tc>
          <w:tcPr>
            <w:tcW w:w="2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2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3"/>
                <w:szCs w:val="13"/>
                <w:color w:val="auto"/>
              </w:rPr>
              <w:t>Other comprehensive income</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before reclassification</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4,886</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4,886</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424</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456</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5,342</w:t>
            </w:r>
          </w:p>
        </w:tc>
        <w:tc>
          <w:tcPr>
            <w:tcW w:w="0" w:type="dxa"/>
            <w:vAlign w:val="bottom"/>
          </w:tcPr>
          <w:p>
            <w:pPr>
              <w:spacing w:after="0"/>
              <w:rPr>
                <w:sz w:val="1"/>
                <w:szCs w:val="1"/>
                <w:color w:val="auto"/>
              </w:rPr>
            </w:pPr>
          </w:p>
        </w:tc>
      </w:tr>
      <w:tr>
        <w:trPr>
          <w:trHeight w:val="132"/>
        </w:trPr>
        <w:tc>
          <w:tcPr>
            <w:tcW w:w="2120" w:type="dxa"/>
            <w:vAlign w:val="bottom"/>
            <w:gridSpan w:val="2"/>
            <w:shd w:val="clear" w:color="auto" w:fill="CFF0FC"/>
          </w:tcPr>
          <w:p>
            <w:pPr>
              <w:ind w:left="160"/>
              <w:spacing w:after="0" w:line="132" w:lineRule="exact"/>
              <w:rPr>
                <w:sz w:val="20"/>
                <w:szCs w:val="20"/>
                <w:color w:val="auto"/>
              </w:rPr>
            </w:pPr>
            <w:r>
              <w:rPr>
                <w:rFonts w:ascii="Times New Roman" w:cs="Times New Roman" w:eastAsia="Times New Roman" w:hAnsi="Times New Roman"/>
                <w:sz w:val="13"/>
                <w:szCs w:val="13"/>
                <w:color w:val="auto"/>
              </w:rPr>
              <w:t>Amounts reclassified from</w:t>
            </w: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accumulated other</w:t>
            </w: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comprehensive income</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(1,477 )</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(1,477 )</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(162 )</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(172 )</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(1,649 )</w:t>
            </w:r>
          </w:p>
        </w:tc>
        <w:tc>
          <w:tcPr>
            <w:tcW w:w="0" w:type="dxa"/>
            <w:vAlign w:val="bottom"/>
          </w:tcPr>
          <w:p>
            <w:pPr>
              <w:spacing w:after="0"/>
              <w:rPr>
                <w:sz w:val="1"/>
                <w:szCs w:val="1"/>
                <w:color w:val="auto"/>
              </w:rPr>
            </w:pPr>
          </w:p>
        </w:tc>
      </w:tr>
      <w:tr>
        <w:trPr>
          <w:trHeight w:val="162"/>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Deferred compensation plan, net</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1,023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(1,023 )</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212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Restricted stock issued, net of</w:t>
            </w: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4,105</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4,105</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4,105</w:t>
            </w:r>
          </w:p>
        </w:tc>
        <w:tc>
          <w:tcPr>
            <w:tcW w:w="0" w:type="dxa"/>
            <w:vAlign w:val="bottom"/>
          </w:tcPr>
          <w:p>
            <w:pPr>
              <w:spacing w:after="0"/>
              <w:rPr>
                <w:sz w:val="1"/>
                <w:szCs w:val="1"/>
                <w:color w:val="auto"/>
              </w:rPr>
            </w:pPr>
          </w:p>
        </w:tc>
      </w:tr>
      <w:tr>
        <w:trPr>
          <w:trHeight w:val="130"/>
        </w:trPr>
        <w:tc>
          <w:tcPr>
            <w:tcW w:w="2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Common stock repurchased for</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taxes withheld for stock based</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compensation, net</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(406 )</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(406 )</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(406 )</w:t>
            </w:r>
          </w:p>
        </w:tc>
        <w:tc>
          <w:tcPr>
            <w:tcW w:w="0" w:type="dxa"/>
            <w:vAlign w:val="bottom"/>
          </w:tcPr>
          <w:p>
            <w:pPr>
              <w:spacing w:after="0"/>
              <w:rPr>
                <w:sz w:val="1"/>
                <w:szCs w:val="1"/>
                <w:color w:val="auto"/>
              </w:rPr>
            </w:pPr>
          </w:p>
        </w:tc>
      </w:tr>
      <w:tr>
        <w:trPr>
          <w:trHeight w:val="132"/>
        </w:trPr>
        <w:tc>
          <w:tcPr>
            <w:tcW w:w="212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issued under</w:t>
            </w: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 reinvestment plan</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157</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130"/>
        </w:trPr>
        <w:tc>
          <w:tcPr>
            <w:tcW w:w="2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Common stock issued, net of</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issuance costs</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0" w:type="dxa"/>
            <w:vAlign w:val="bottom"/>
          </w:tcPr>
          <w:p>
            <w:pPr>
              <w:spacing w:after="0"/>
              <w:rPr>
                <w:sz w:val="1"/>
                <w:szCs w:val="1"/>
                <w:color w:val="auto"/>
              </w:rPr>
            </w:pPr>
          </w:p>
        </w:tc>
      </w:tr>
      <w:tr>
        <w:trPr>
          <w:trHeight w:val="163"/>
        </w:trPr>
        <w:tc>
          <w:tcPr>
            <w:tcW w:w="2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Contributions from partners</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1,428</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1,428</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1,428</w:t>
            </w:r>
          </w:p>
        </w:tc>
        <w:tc>
          <w:tcPr>
            <w:tcW w:w="0" w:type="dxa"/>
            <w:vAlign w:val="bottom"/>
          </w:tcPr>
          <w:p>
            <w:pPr>
              <w:spacing w:after="0"/>
              <w:rPr>
                <w:sz w:val="1"/>
                <w:szCs w:val="1"/>
                <w:color w:val="auto"/>
              </w:rPr>
            </w:pPr>
          </w:p>
        </w:tc>
      </w:tr>
      <w:tr>
        <w:trPr>
          <w:trHeight w:val="130"/>
        </w:trPr>
        <w:tc>
          <w:tcPr>
            <w:tcW w:w="2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exchangeable operating</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partnership units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20,000</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20,000</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20,000</w:t>
            </w:r>
          </w:p>
        </w:tc>
        <w:tc>
          <w:tcPr>
            <w:tcW w:w="0" w:type="dxa"/>
            <w:vAlign w:val="bottom"/>
          </w:tcPr>
          <w:p>
            <w:pPr>
              <w:spacing w:after="0"/>
              <w:rPr>
                <w:sz w:val="1"/>
                <w:szCs w:val="1"/>
                <w:color w:val="auto"/>
              </w:rPr>
            </w:pPr>
          </w:p>
        </w:tc>
      </w:tr>
      <w:tr>
        <w:trPr>
          <w:trHeight w:val="163"/>
        </w:trPr>
        <w:tc>
          <w:tcPr>
            <w:tcW w:w="2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Distributions to partners</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(941 )</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(941 )</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(941 )</w:t>
            </w:r>
          </w:p>
        </w:tc>
        <w:tc>
          <w:tcPr>
            <w:tcW w:w="0" w:type="dxa"/>
            <w:vAlign w:val="bottom"/>
          </w:tcPr>
          <w:p>
            <w:pPr>
              <w:spacing w:after="0"/>
              <w:rPr>
                <w:sz w:val="1"/>
                <w:szCs w:val="1"/>
                <w:color w:val="auto"/>
              </w:rPr>
            </w:pPr>
          </w:p>
        </w:tc>
      </w:tr>
      <w:tr>
        <w:trPr>
          <w:trHeight w:val="162"/>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20" w:type="dxa"/>
            <w:vAlign w:val="bottom"/>
            <w:gridSpan w:val="2"/>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Common stock/unit ($0.650 per</w:t>
            </w:r>
          </w:p>
        </w:tc>
        <w:tc>
          <w:tcPr>
            <w:tcW w:w="44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(111,145 )</w:t>
            </w:r>
          </w:p>
        </w:tc>
        <w:tc>
          <w:tcPr>
            <w:tcW w:w="100" w:type="dxa"/>
            <w:vAlign w:val="bottom"/>
            <w:vMerge w:val="restart"/>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(111,145 )</w:t>
            </w:r>
          </w:p>
        </w:tc>
        <w:tc>
          <w:tcPr>
            <w:tcW w:w="10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(702 )</w:t>
            </w:r>
          </w:p>
        </w:tc>
        <w:tc>
          <w:tcPr>
            <w:tcW w:w="10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(702 )</w:t>
            </w:r>
          </w:p>
        </w:tc>
        <w:tc>
          <w:tcPr>
            <w:tcW w:w="120" w:type="dxa"/>
            <w:vAlign w:val="bottom"/>
            <w:vMerge w:val="restart"/>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(111,847 )</w:t>
            </w:r>
          </w:p>
        </w:tc>
        <w:tc>
          <w:tcPr>
            <w:tcW w:w="0" w:type="dxa"/>
            <w:vAlign w:val="bottom"/>
          </w:tcPr>
          <w:p>
            <w:pPr>
              <w:spacing w:after="0"/>
              <w:rPr>
                <w:sz w:val="1"/>
                <w:szCs w:val="1"/>
                <w:color w:val="auto"/>
              </w:rPr>
            </w:pPr>
          </w:p>
        </w:tc>
      </w:tr>
      <w:tr>
        <w:trPr>
          <w:trHeight w:val="153"/>
        </w:trPr>
        <w:tc>
          <w:tcPr>
            <w:tcW w:w="20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share)</w:t>
            </w:r>
          </w:p>
        </w:tc>
        <w:tc>
          <w:tcPr>
            <w:tcW w:w="10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8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vMerge w:val="continue"/>
            <w:shd w:val="clear" w:color="auto" w:fill="CFF0FC"/>
          </w:tcPr>
          <w:p>
            <w:pPr>
              <w:spacing w:after="0"/>
              <w:rPr>
                <w:sz w:val="13"/>
                <w:szCs w:val="13"/>
                <w:color w:val="auto"/>
              </w:rPr>
            </w:pPr>
          </w:p>
        </w:tc>
        <w:tc>
          <w:tcPr>
            <w:tcW w:w="84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vMerge w:val="continue"/>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12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gridSpan w:val="2"/>
          </w:tcPr>
          <w:p>
            <w:pPr>
              <w:jc w:val="right"/>
              <w:ind w:right="77"/>
              <w:spacing w:after="0" w:line="124" w:lineRule="exact"/>
              <w:rPr>
                <w:sz w:val="20"/>
                <w:szCs w:val="20"/>
                <w:color w:val="auto"/>
              </w:rPr>
            </w:pPr>
            <w:r>
              <w:rPr>
                <w:rFonts w:ascii="Times New Roman" w:cs="Times New Roman" w:eastAsia="Times New Roman" w:hAnsi="Times New Roman"/>
                <w:sz w:val="13"/>
                <w:szCs w:val="13"/>
                <w:color w:val="auto"/>
              </w:rPr>
              <w:t>(24,67</w:t>
            </w:r>
          </w:p>
        </w:tc>
        <w:tc>
          <w:tcPr>
            <w:tcW w:w="840" w:type="dxa"/>
            <w:vAlign w:val="bottom"/>
            <w:gridSpan w:val="2"/>
          </w:tcPr>
          <w:p>
            <w:pPr>
              <w:jc w:val="right"/>
              <w:ind w:right="77"/>
              <w:spacing w:after="0" w:line="124" w:lineRule="exact"/>
              <w:rPr>
                <w:sz w:val="20"/>
                <w:szCs w:val="20"/>
                <w:color w:val="auto"/>
              </w:rPr>
            </w:pPr>
            <w:r>
              <w:rPr>
                <w:rFonts w:ascii="Times New Roman" w:cs="Times New Roman" w:eastAsia="Times New Roman" w:hAnsi="Times New Roman"/>
                <w:sz w:val="13"/>
                <w:szCs w:val="13"/>
                <w:color w:val="auto"/>
              </w:rPr>
              <w:t>7,859,24</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gridSpan w:val="2"/>
          </w:tcPr>
          <w:p>
            <w:pPr>
              <w:jc w:val="right"/>
              <w:ind w:right="57"/>
              <w:spacing w:after="0" w:line="124" w:lineRule="exact"/>
              <w:rPr>
                <w:sz w:val="20"/>
                <w:szCs w:val="20"/>
                <w:color w:val="auto"/>
              </w:rPr>
            </w:pPr>
            <w:r>
              <w:rPr>
                <w:rFonts w:ascii="Times New Roman" w:cs="Times New Roman" w:eastAsia="Times New Roman" w:hAnsi="Times New Roman"/>
                <w:sz w:val="13"/>
                <w:szCs w:val="13"/>
                <w:color w:val="auto"/>
              </w:rPr>
              <w:t>(1,803,4</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20" w:type="dxa"/>
            <w:vAlign w:val="bottom"/>
            <w:gridSpan w:val="2"/>
          </w:tcPr>
          <w:p>
            <w:pPr>
              <w:ind w:left="204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1,710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7,336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6,040,213</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54,281</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49,292</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103,573</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6,143,786</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2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440" w:type="dxa"/>
            <w:vAlign w:val="bottom"/>
            <w:shd w:val="clear" w:color="auto" w:fill="CFF0FC"/>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225,</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(26,32</w:t>
            </w:r>
          </w:p>
        </w:tc>
        <w:tc>
          <w:tcPr>
            <w:tcW w:w="840" w:type="dxa"/>
            <w:vAlign w:val="bottom"/>
            <w:gridSpan w:val="2"/>
            <w:shd w:val="clear" w:color="auto" w:fill="CFF0FC"/>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8,703,75</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(1,889,0</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gridSpan w:val="2"/>
            <w:shd w:val="clear" w:color="auto" w:fill="CFF0FC"/>
          </w:tcPr>
          <w:p>
            <w:pPr>
              <w:ind w:left="204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000</w:t>
            </w:r>
          </w:p>
        </w:tc>
        <w:tc>
          <w:tcPr>
            <w:tcW w:w="7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1,848</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9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4,465</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37 )</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7,019,711</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41,606</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116,702</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158,308</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7,178,019</w:t>
            </w:r>
          </w:p>
        </w:tc>
        <w:tc>
          <w:tcPr>
            <w:tcW w:w="0" w:type="dxa"/>
            <w:vAlign w:val="bottom"/>
          </w:tcPr>
          <w:p>
            <w:pPr>
              <w:spacing w:after="0"/>
              <w:rPr>
                <w:sz w:val="1"/>
                <w:szCs w:val="1"/>
                <w:color w:val="auto"/>
              </w:rPr>
            </w:pPr>
          </w:p>
        </w:tc>
      </w:tr>
      <w:tr>
        <w:trPr>
          <w:trHeight w:val="162"/>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102,668</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102,668</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601</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1,660</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2,261</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104,929</w:t>
            </w:r>
          </w:p>
        </w:tc>
        <w:tc>
          <w:tcPr>
            <w:tcW w:w="0" w:type="dxa"/>
            <w:vAlign w:val="bottom"/>
          </w:tcPr>
          <w:p>
            <w:pPr>
              <w:spacing w:after="0"/>
              <w:rPr>
                <w:sz w:val="1"/>
                <w:szCs w:val="1"/>
                <w:color w:val="auto"/>
              </w:rPr>
            </w:pPr>
          </w:p>
        </w:tc>
      </w:tr>
      <w:tr>
        <w:trPr>
          <w:trHeight w:val="162"/>
        </w:trPr>
        <w:tc>
          <w:tcPr>
            <w:tcW w:w="2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2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3"/>
                <w:szCs w:val="13"/>
                <w:color w:val="auto"/>
              </w:rPr>
              <w:t>Other comprehensive income</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before reclassification</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2,955</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2,955</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150</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168</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3,123</w:t>
            </w:r>
          </w:p>
        </w:tc>
        <w:tc>
          <w:tcPr>
            <w:tcW w:w="0" w:type="dxa"/>
            <w:vAlign w:val="bottom"/>
          </w:tcPr>
          <w:p>
            <w:pPr>
              <w:spacing w:after="0"/>
              <w:rPr>
                <w:sz w:val="1"/>
                <w:szCs w:val="1"/>
                <w:color w:val="auto"/>
              </w:rPr>
            </w:pPr>
          </w:p>
        </w:tc>
      </w:tr>
      <w:tr>
        <w:trPr>
          <w:trHeight w:val="132"/>
        </w:trPr>
        <w:tc>
          <w:tcPr>
            <w:tcW w:w="2120" w:type="dxa"/>
            <w:vAlign w:val="bottom"/>
            <w:gridSpan w:val="2"/>
            <w:shd w:val="clear" w:color="auto" w:fill="CFF0FC"/>
          </w:tcPr>
          <w:p>
            <w:pPr>
              <w:ind w:left="160"/>
              <w:spacing w:after="0" w:line="132" w:lineRule="exact"/>
              <w:rPr>
                <w:sz w:val="20"/>
                <w:szCs w:val="20"/>
                <w:color w:val="auto"/>
              </w:rPr>
            </w:pPr>
            <w:r>
              <w:rPr>
                <w:rFonts w:ascii="Times New Roman" w:cs="Times New Roman" w:eastAsia="Times New Roman" w:hAnsi="Times New Roman"/>
                <w:sz w:val="13"/>
                <w:szCs w:val="13"/>
                <w:color w:val="auto"/>
              </w:rPr>
              <w:t>Amounts reclassified from</w:t>
            </w: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accumulated other</w:t>
            </w: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comprehensive income</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(2,285 )</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(2,285 )</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(141 )</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(155 )</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(2,440 )</w:t>
            </w:r>
          </w:p>
        </w:tc>
        <w:tc>
          <w:tcPr>
            <w:tcW w:w="0" w:type="dxa"/>
            <w:vAlign w:val="bottom"/>
          </w:tcPr>
          <w:p>
            <w:pPr>
              <w:spacing w:after="0"/>
              <w:rPr>
                <w:sz w:val="1"/>
                <w:szCs w:val="1"/>
                <w:color w:val="auto"/>
              </w:rPr>
            </w:pPr>
          </w:p>
        </w:tc>
      </w:tr>
      <w:tr>
        <w:trPr>
          <w:trHeight w:val="130"/>
        </w:trPr>
        <w:tc>
          <w:tcPr>
            <w:tcW w:w="2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Adjustment for noncontrolling</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(8,694 )</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(8,694 )</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8,694</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8,694</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Deferred compensation plan, net</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(913 )</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913</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2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Restricted stock issued, net of</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6,561</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6,561</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6,561</w:t>
            </w:r>
          </w:p>
        </w:tc>
        <w:tc>
          <w:tcPr>
            <w:tcW w:w="0" w:type="dxa"/>
            <w:vAlign w:val="bottom"/>
          </w:tcPr>
          <w:p>
            <w:pPr>
              <w:spacing w:after="0"/>
              <w:rPr>
                <w:sz w:val="1"/>
                <w:szCs w:val="1"/>
                <w:color w:val="auto"/>
              </w:rPr>
            </w:pPr>
          </w:p>
        </w:tc>
      </w:tr>
      <w:tr>
        <w:trPr>
          <w:trHeight w:val="132"/>
        </w:trPr>
        <w:tc>
          <w:tcPr>
            <w:tcW w:w="212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repurchased for</w:t>
            </w: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taxes withheld for stock based</w:t>
            </w: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compensation, net</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30"/>
        </w:trPr>
        <w:tc>
          <w:tcPr>
            <w:tcW w:w="2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Common stock repurchased and</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retired</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(200,033 )</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(200,066 )</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(200,066 )</w:t>
            </w:r>
          </w:p>
        </w:tc>
        <w:tc>
          <w:tcPr>
            <w:tcW w:w="0" w:type="dxa"/>
            <w:vAlign w:val="bottom"/>
          </w:tcPr>
          <w:p>
            <w:pPr>
              <w:spacing w:after="0"/>
              <w:rPr>
                <w:sz w:val="1"/>
                <w:szCs w:val="1"/>
                <w:color w:val="auto"/>
              </w:rPr>
            </w:pPr>
          </w:p>
        </w:tc>
      </w:tr>
      <w:tr>
        <w:trPr>
          <w:trHeight w:val="132"/>
        </w:trPr>
        <w:tc>
          <w:tcPr>
            <w:tcW w:w="212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issued under</w:t>
            </w: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 reinvestment plan</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166</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164"/>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Contributions from partners</w:t>
            </w:r>
          </w:p>
        </w:tc>
        <w:tc>
          <w:tcPr>
            <w:tcW w:w="44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1,529</w:t>
            </w:r>
          </w:p>
        </w:tc>
        <w:tc>
          <w:tcPr>
            <w:tcW w:w="96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1,529</w:t>
            </w:r>
          </w:p>
        </w:tc>
        <w:tc>
          <w:tcPr>
            <w:tcW w:w="88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1,529</w:t>
            </w:r>
          </w:p>
        </w:tc>
        <w:tc>
          <w:tcPr>
            <w:tcW w:w="0" w:type="dxa"/>
            <w:vAlign w:val="bottom"/>
          </w:tcPr>
          <w:p>
            <w:pPr>
              <w:spacing w:after="0"/>
              <w:rPr>
                <w:sz w:val="1"/>
                <w:szCs w:val="1"/>
                <w:color w:val="auto"/>
              </w:rPr>
            </w:pPr>
          </w:p>
        </w:tc>
      </w:tr>
      <w:tr>
        <w:trPr>
          <w:trHeight w:val="105"/>
        </w:trPr>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Distributions to partners</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(1,890 )</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(1,890 )</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(1,890 )</w:t>
            </w:r>
          </w:p>
        </w:tc>
        <w:tc>
          <w:tcPr>
            <w:tcW w:w="0" w:type="dxa"/>
            <w:vAlign w:val="bottom"/>
          </w:tcPr>
          <w:p>
            <w:pPr>
              <w:spacing w:after="0"/>
              <w:rPr>
                <w:sz w:val="1"/>
                <w:szCs w:val="1"/>
                <w:color w:val="auto"/>
              </w:rPr>
            </w:pPr>
          </w:p>
        </w:tc>
      </w:tr>
      <w:tr>
        <w:trPr>
          <w:trHeight w:val="162"/>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Preferred stock/unit</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(3,413 )</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(3,413 )</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(3,413 )</w:t>
            </w:r>
          </w:p>
        </w:tc>
        <w:tc>
          <w:tcPr>
            <w:tcW w:w="0" w:type="dxa"/>
            <w:vAlign w:val="bottom"/>
          </w:tcPr>
          <w:p>
            <w:pPr>
              <w:spacing w:after="0"/>
              <w:rPr>
                <w:sz w:val="1"/>
                <w:szCs w:val="1"/>
                <w:color w:val="auto"/>
              </w:rPr>
            </w:pPr>
          </w:p>
        </w:tc>
      </w:tr>
      <w:tr>
        <w:trPr>
          <w:trHeight w:val="130"/>
        </w:trPr>
        <w:tc>
          <w:tcPr>
            <w:tcW w:w="212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3"/>
                <w:szCs w:val="13"/>
                <w:color w:val="auto"/>
              </w:rPr>
              <w:t>Common stock/unit ($0.670 per</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(121,95</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(121,959 )</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(1,473 )</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(1,473 )</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(123,432 )</w:t>
            </w:r>
          </w:p>
        </w:tc>
        <w:tc>
          <w:tcPr>
            <w:tcW w:w="0" w:type="dxa"/>
            <w:vAlign w:val="bottom"/>
          </w:tcPr>
          <w:p>
            <w:pPr>
              <w:spacing w:after="0"/>
              <w:rPr>
                <w:sz w:val="1"/>
                <w:szCs w:val="1"/>
                <w:color w:val="auto"/>
              </w:rPr>
            </w:pPr>
          </w:p>
        </w:tc>
      </w:tr>
      <w:tr>
        <w:trPr>
          <w:trHeight w:val="125"/>
        </w:trPr>
        <w:tc>
          <w:tcPr>
            <w:tcW w:w="2120" w:type="dxa"/>
            <w:vAlign w:val="bottom"/>
            <w:gridSpan w:val="2"/>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440" w:type="dxa"/>
            <w:vAlign w:val="bottom"/>
            <w:shd w:val="clear" w:color="auto" w:fill="CFF0FC"/>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225,</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(27,23</w:t>
            </w:r>
          </w:p>
        </w:tc>
        <w:tc>
          <w:tcPr>
            <w:tcW w:w="840" w:type="dxa"/>
            <w:vAlign w:val="bottom"/>
            <w:gridSpan w:val="2"/>
            <w:shd w:val="clear" w:color="auto" w:fill="CFF0FC"/>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8,502,75</w:t>
            </w: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(1,911,7</w:t>
            </w: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0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000</w:t>
            </w: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1,815</w:t>
            </w: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5,135</w:t>
            </w:r>
          </w:p>
        </w:tc>
        <w:tc>
          <w:tcPr>
            <w:tcW w:w="1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41 )</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6,795,728</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40,738</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126,704</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167,442</w:t>
            </w:r>
          </w:p>
        </w:tc>
        <w:tc>
          <w:tcPr>
            <w:tcW w:w="1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6,963,170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-3205480</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-3205480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-3205480</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-3205480</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-3205480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-3205480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-3205480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-3205480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-3205480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-3205480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-25400</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-8255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-25400</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-8255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-25400</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-8255</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-25400</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-8255</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 financial statements.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REGENCY CENTERS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2024 and 2023</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Borders>
              <w:bottom w:val="single" w:sz="8" w:color="auto"/>
            </w:tcBorders>
            <w:gridSpan w:val="5"/>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Noncontrolling Interests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3"/>
        </w:trPr>
        <w:tc>
          <w:tcPr>
            <w:tcW w:w="2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37"/>
              <w:spacing w:after="0" w:line="123" w:lineRule="exact"/>
              <w:rPr>
                <w:sz w:val="20"/>
                <w:szCs w:val="20"/>
                <w:color w:val="auto"/>
              </w:rPr>
            </w:pPr>
            <w:r>
              <w:rPr>
                <w:rFonts w:ascii="Times New Roman" w:cs="Times New Roman" w:eastAsia="Times New Roman" w:hAnsi="Times New Roman"/>
                <w:sz w:val="13"/>
                <w:szCs w:val="13"/>
                <w:b w:val="1"/>
                <w:bCs w:val="1"/>
                <w:color w:val="auto"/>
                <w:w w:val="99"/>
              </w:rPr>
              <w:t>Limited</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1"/>
                <w:szCs w:val="11"/>
                <w:color w:val="auto"/>
              </w:rPr>
            </w:pPr>
          </w:p>
        </w:tc>
        <w:tc>
          <w:tcPr>
            <w:tcW w:w="6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Distributi</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9"/>
              </w:rPr>
              <w:t>Partners'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ons</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Exchangeabl</w:t>
            </w:r>
          </w:p>
        </w:tc>
        <w:tc>
          <w:tcPr>
            <w:tcW w:w="10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Interest in</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Additiona</w:t>
            </w:r>
          </w:p>
        </w:tc>
        <w:tc>
          <w:tcPr>
            <w:tcW w:w="12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w:t>
            </w:r>
          </w:p>
        </w:tc>
        <w:tc>
          <w:tcPr>
            <w:tcW w:w="100" w:type="dxa"/>
            <w:vAlign w:val="bottom"/>
          </w:tcPr>
          <w:p>
            <w:pPr>
              <w:spacing w:after="0"/>
              <w:rPr>
                <w:sz w:val="11"/>
                <w:szCs w:val="11"/>
                <w:color w:val="auto"/>
              </w:rPr>
            </w:pPr>
          </w:p>
        </w:tc>
        <w:tc>
          <w:tcPr>
            <w:tcW w:w="68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 Excess</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8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e</w:t>
            </w:r>
          </w:p>
        </w:tc>
        <w:tc>
          <w:tcPr>
            <w:tcW w:w="100" w:type="dxa"/>
            <w:vAlign w:val="bottom"/>
          </w:tcPr>
          <w:p>
            <w:pPr>
              <w:spacing w:after="0"/>
              <w:rPr>
                <w:sz w:val="11"/>
                <w:szCs w:val="11"/>
                <w:color w:val="auto"/>
              </w:rPr>
            </w:pPr>
          </w:p>
        </w:tc>
        <w:tc>
          <w:tcPr>
            <w:tcW w:w="7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Consolidat</w:t>
            </w:r>
          </w:p>
        </w:tc>
        <w:tc>
          <w:tcPr>
            <w:tcW w:w="12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0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Preferre</w:t>
            </w:r>
          </w:p>
        </w:tc>
        <w:tc>
          <w:tcPr>
            <w:tcW w:w="120" w:type="dxa"/>
            <w:vAlign w:val="bottom"/>
          </w:tcPr>
          <w:p>
            <w:pPr>
              <w:spacing w:after="0"/>
              <w:rPr>
                <w:sz w:val="11"/>
                <w:szCs w:val="11"/>
                <w:color w:val="auto"/>
              </w:rPr>
            </w:pPr>
          </w:p>
        </w:tc>
        <w:tc>
          <w:tcPr>
            <w:tcW w:w="5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Comm</w:t>
            </w:r>
          </w:p>
        </w:tc>
        <w:tc>
          <w:tcPr>
            <w:tcW w:w="120" w:type="dxa"/>
            <w:vAlign w:val="bottom"/>
          </w:tcPr>
          <w:p>
            <w:pPr>
              <w:spacing w:after="0"/>
              <w:rPr>
                <w:sz w:val="11"/>
                <w:szCs w:val="11"/>
                <w:color w:val="auto"/>
              </w:rPr>
            </w:pPr>
          </w:p>
        </w:tc>
        <w:tc>
          <w:tcPr>
            <w:tcW w:w="6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w:t>
            </w:r>
          </w:p>
        </w:tc>
        <w:tc>
          <w:tcPr>
            <w:tcW w:w="12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l</w:t>
            </w:r>
          </w:p>
        </w:tc>
        <w:tc>
          <w:tcPr>
            <w:tcW w:w="12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ive</w:t>
            </w:r>
          </w:p>
        </w:tc>
        <w:tc>
          <w:tcPr>
            <w:tcW w:w="10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Shareholders</w:t>
            </w: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10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ed</w:t>
            </w:r>
          </w:p>
        </w:tc>
        <w:tc>
          <w:tcPr>
            <w:tcW w:w="12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Noncontrolli</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257"/>
              <w:spacing w:after="0" w:line="135" w:lineRule="exact"/>
              <w:rPr>
                <w:sz w:val="20"/>
                <w:szCs w:val="20"/>
                <w:color w:val="auto"/>
              </w:rPr>
            </w:pPr>
            <w:r>
              <w:rPr>
                <w:rFonts w:ascii="Times New Roman" w:cs="Times New Roman" w:eastAsia="Times New Roman" w:hAnsi="Times New Roman"/>
                <w:sz w:val="13"/>
                <w:szCs w:val="13"/>
                <w:b w:val="1"/>
                <w:bCs w:val="1"/>
                <w:color w:val="auto"/>
              </w:rPr>
              <w:t>d</w:t>
            </w:r>
          </w:p>
        </w:tc>
        <w:tc>
          <w:tcPr>
            <w:tcW w:w="120" w:type="dxa"/>
            <w:vAlign w:val="bottom"/>
          </w:tcPr>
          <w:p>
            <w:pPr>
              <w:spacing w:after="0"/>
              <w:rPr>
                <w:sz w:val="11"/>
                <w:szCs w:val="11"/>
                <w:color w:val="auto"/>
              </w:rPr>
            </w:pPr>
          </w:p>
        </w:tc>
        <w:tc>
          <w:tcPr>
            <w:tcW w:w="5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on</w:t>
            </w:r>
          </w:p>
        </w:tc>
        <w:tc>
          <w:tcPr>
            <w:tcW w:w="120" w:type="dxa"/>
            <w:vAlign w:val="bottom"/>
          </w:tcPr>
          <w:p>
            <w:pPr>
              <w:spacing w:after="0"/>
              <w:rPr>
                <w:sz w:val="11"/>
                <w:szCs w:val="11"/>
                <w:color w:val="auto"/>
              </w:rPr>
            </w:pPr>
          </w:p>
        </w:tc>
        <w:tc>
          <w:tcPr>
            <w:tcW w:w="6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y</w:t>
            </w:r>
          </w:p>
        </w:tc>
        <w:tc>
          <w:tcPr>
            <w:tcW w:w="12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Paid In</w:t>
            </w:r>
          </w:p>
        </w:tc>
        <w:tc>
          <w:tcPr>
            <w:tcW w:w="120" w:type="dxa"/>
            <w:vAlign w:val="bottom"/>
          </w:tcPr>
          <w:p>
            <w:pPr>
              <w:spacing w:after="0"/>
              <w:rPr>
                <w:sz w:val="11"/>
                <w:szCs w:val="11"/>
                <w:color w:val="auto"/>
              </w:rPr>
            </w:pPr>
          </w:p>
        </w:tc>
        <w:tc>
          <w:tcPr>
            <w:tcW w:w="86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1"/>
                <w:szCs w:val="11"/>
                <w:color w:val="auto"/>
              </w:rPr>
            </w:pPr>
          </w:p>
        </w:tc>
        <w:tc>
          <w:tcPr>
            <w:tcW w:w="68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Partnership</w:t>
            </w:r>
          </w:p>
        </w:tc>
        <w:tc>
          <w:tcPr>
            <w:tcW w:w="10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Partnershi</w:t>
            </w:r>
          </w:p>
        </w:tc>
        <w:tc>
          <w:tcPr>
            <w:tcW w:w="12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87"/>
              </w:rPr>
              <w:t>ng</w:t>
            </w:r>
          </w:p>
        </w:tc>
        <w:tc>
          <w:tcPr>
            <w:tcW w:w="120" w:type="dxa"/>
            <w:vAlign w:val="bottom"/>
          </w:tcPr>
          <w:p>
            <w:pPr>
              <w:spacing w:after="0"/>
              <w:rPr>
                <w:sz w:val="11"/>
                <w:szCs w:val="11"/>
                <w:color w:val="auto"/>
              </w:rPr>
            </w:pPr>
          </w:p>
        </w:tc>
        <w:tc>
          <w:tcPr>
            <w:tcW w:w="76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67"/>
        </w:trPr>
        <w:tc>
          <w:tcPr>
            <w:tcW w:w="2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ps</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25"/>
        </w:trPr>
        <w:tc>
          <w:tcPr>
            <w:tcW w:w="2100" w:type="dxa"/>
            <w:vAlign w:val="bottom"/>
            <w:gridSpan w:val="2"/>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(24,46</w:t>
            </w:r>
          </w:p>
        </w:tc>
        <w:tc>
          <w:tcPr>
            <w:tcW w:w="840" w:type="dxa"/>
            <w:vAlign w:val="bottom"/>
            <w:gridSpan w:val="2"/>
            <w:shd w:val="clear" w:color="auto" w:fill="CFF0FC"/>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7,877,15</w:t>
            </w: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(1,764,9</w:t>
            </w: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r>
      <w:tr>
        <w:trPr>
          <w:trHeight w:val="167"/>
        </w:trPr>
        <w:tc>
          <w:tcPr>
            <w:tcW w:w="2100" w:type="dxa"/>
            <w:vAlign w:val="bottom"/>
            <w:gridSpan w:val="2"/>
            <w:shd w:val="clear" w:color="auto" w:fill="CFF0FC"/>
          </w:tcPr>
          <w:p>
            <w:pPr>
              <w:ind w:left="2040"/>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1,711</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84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9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7,560</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6,096,985</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34,489</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46,565</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81,054</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6,178,039</w:t>
            </w:r>
          </w:p>
        </w:tc>
      </w:tr>
      <w:tr>
        <w:trPr>
          <w:trHeight w:val="162"/>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184,063</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184,063</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970</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1,627</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2,597</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186,660</w:t>
            </w:r>
          </w:p>
        </w:tc>
      </w:tr>
      <w:tr>
        <w:trPr>
          <w:trHeight w:val="162"/>
        </w:trPr>
        <w:tc>
          <w:tcPr>
            <w:tcW w:w="2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r>
      <w:tr>
        <w:trPr>
          <w:trHeight w:val="130"/>
        </w:trPr>
        <w:tc>
          <w:tcPr>
            <w:tcW w:w="210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3"/>
                <w:szCs w:val="13"/>
                <w:color w:val="auto"/>
              </w:rPr>
              <w:t>Other comprehensive income</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5"/>
        </w:trPr>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before reclassification</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2,570</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2,570</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207</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228</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2,798</w:t>
            </w:r>
          </w:p>
        </w:tc>
      </w:tr>
      <w:tr>
        <w:trPr>
          <w:trHeight w:val="132"/>
        </w:trPr>
        <w:tc>
          <w:tcPr>
            <w:tcW w:w="2100" w:type="dxa"/>
            <w:vAlign w:val="bottom"/>
            <w:gridSpan w:val="2"/>
            <w:shd w:val="clear" w:color="auto" w:fill="CFF0FC"/>
          </w:tcPr>
          <w:p>
            <w:pPr>
              <w:ind w:left="160"/>
              <w:spacing w:after="0" w:line="132" w:lineRule="exact"/>
              <w:rPr>
                <w:sz w:val="20"/>
                <w:szCs w:val="20"/>
                <w:color w:val="auto"/>
              </w:rPr>
            </w:pPr>
            <w:r>
              <w:rPr>
                <w:rFonts w:ascii="Times New Roman" w:cs="Times New Roman" w:eastAsia="Times New Roman" w:hAnsi="Times New Roman"/>
                <w:sz w:val="13"/>
                <w:szCs w:val="13"/>
                <w:color w:val="auto"/>
              </w:rPr>
              <w:t>Amounts reclassified from</w:t>
            </w: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35"/>
        </w:trPr>
        <w:tc>
          <w:tcPr>
            <w:tcW w:w="210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accumulated other</w:t>
            </w: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67"/>
        </w:trPr>
        <w:tc>
          <w:tcPr>
            <w:tcW w:w="21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comprehensive income</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(2,794 )</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(2,794 )</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(332 )</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(347 )</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(3,141 )</w:t>
            </w:r>
          </w:p>
        </w:tc>
      </w:tr>
      <w:tr>
        <w:trPr>
          <w:trHeight w:val="162"/>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Deferred compensation plan, net</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(215 )</w:t>
            </w:r>
          </w:p>
        </w:tc>
        <w:tc>
          <w:tcPr>
            <w:tcW w:w="84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215</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30"/>
        </w:trPr>
        <w:tc>
          <w:tcPr>
            <w:tcW w:w="210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Restricted stock issued, net of</w:t>
            </w: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67"/>
        </w:trPr>
        <w:tc>
          <w:tcPr>
            <w:tcW w:w="2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8,922</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8,924</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8,924</w:t>
            </w:r>
          </w:p>
        </w:tc>
      </w:tr>
      <w:tr>
        <w:trPr>
          <w:trHeight w:val="130"/>
        </w:trPr>
        <w:tc>
          <w:tcPr>
            <w:tcW w:w="21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Common stock repurchased for</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taxes withheld for stock based</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5"/>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compensation, net</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(7,326 )</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(7,326 )</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(7,326 )</w:t>
            </w:r>
          </w:p>
        </w:tc>
      </w:tr>
      <w:tr>
        <w:trPr>
          <w:trHeight w:val="132"/>
        </w:trPr>
        <w:tc>
          <w:tcPr>
            <w:tcW w:w="210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repurchased and</w:t>
            </w: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67"/>
        </w:trPr>
        <w:tc>
          <w:tcPr>
            <w:tcW w:w="2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retired</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(3 )</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(20,003 )</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(20,006 )</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(20,006 )</w:t>
            </w:r>
          </w:p>
        </w:tc>
      </w:tr>
      <w:tr>
        <w:trPr>
          <w:trHeight w:val="130"/>
        </w:trPr>
        <w:tc>
          <w:tcPr>
            <w:tcW w:w="21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Common stock issued under</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5"/>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dividend reinvestment plan</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299</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299</w:t>
            </w:r>
          </w:p>
        </w:tc>
      </w:tr>
      <w:tr>
        <w:trPr>
          <w:trHeight w:val="132"/>
        </w:trPr>
        <w:tc>
          <w:tcPr>
            <w:tcW w:w="210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issued, net of</w:t>
            </w: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67"/>
        </w:trPr>
        <w:tc>
          <w:tcPr>
            <w:tcW w:w="2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costs</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(10 )</w:t>
            </w:r>
          </w:p>
        </w:tc>
      </w:tr>
      <w:tr>
        <w:trPr>
          <w:trHeight w:val="162"/>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Contributions from partners</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3,205</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3,205</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3,205</w:t>
            </w:r>
          </w:p>
        </w:tc>
      </w:tr>
      <w:tr>
        <w:trPr>
          <w:trHeight w:val="130"/>
        </w:trPr>
        <w:tc>
          <w:tcPr>
            <w:tcW w:w="210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exchangeable operating</w:t>
            </w: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67"/>
        </w:trPr>
        <w:tc>
          <w:tcPr>
            <w:tcW w:w="2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partnership units</w:t>
            </w: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20,000</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20,000</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20,000</w:t>
            </w:r>
          </w:p>
        </w:tc>
      </w:tr>
      <w:tr>
        <w:trPr>
          <w:trHeight w:val="162"/>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Distributions to partners</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(1,980 )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(1,980 )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(1,980 )</w:t>
            </w:r>
          </w:p>
        </w:tc>
      </w:tr>
      <w:tr>
        <w:trPr>
          <w:trHeight w:val="162"/>
        </w:trPr>
        <w:tc>
          <w:tcPr>
            <w:tcW w:w="2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r>
      <w:tr>
        <w:trPr>
          <w:trHeight w:val="130"/>
        </w:trPr>
        <w:tc>
          <w:tcPr>
            <w:tcW w:w="210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3"/>
                <w:szCs w:val="13"/>
                <w:color w:val="auto"/>
              </w:rPr>
              <w:t>Common stock/unit ($1.300 per</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(222,49</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5"/>
        </w:trPr>
        <w:tc>
          <w:tcPr>
            <w:tcW w:w="2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(222,492 )</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(1,184 )</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(1,184 )</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(223,676 )</w:t>
            </w:r>
          </w:p>
        </w:tc>
      </w:tr>
      <w:tr>
        <w:trPr>
          <w:trHeight w:val="125"/>
        </w:trPr>
        <w:tc>
          <w:tcPr>
            <w:tcW w:w="2100" w:type="dxa"/>
            <w:vAlign w:val="bottom"/>
            <w:gridSpan w:val="2"/>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(24,67</w:t>
            </w:r>
          </w:p>
        </w:tc>
        <w:tc>
          <w:tcPr>
            <w:tcW w:w="840" w:type="dxa"/>
            <w:vAlign w:val="bottom"/>
            <w:gridSpan w:val="2"/>
            <w:shd w:val="clear" w:color="auto" w:fill="CFF0FC"/>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7,859,24</w:t>
            </w: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(1,803,4</w:t>
            </w: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r>
      <w:tr>
        <w:trPr>
          <w:trHeight w:val="205"/>
        </w:trPr>
        <w:tc>
          <w:tcPr>
            <w:tcW w:w="2100" w:type="dxa"/>
            <w:vAlign w:val="bottom"/>
            <w:gridSpan w:val="2"/>
            <w:shd w:val="clear" w:color="auto" w:fill="CFF0FC"/>
          </w:tcPr>
          <w:p>
            <w:pPr>
              <w:ind w:left="2040"/>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1,710</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84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9</w:t>
            </w:r>
          </w:p>
        </w:tc>
        <w:tc>
          <w:tcPr>
            <w:tcW w:w="9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7,336</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6,040,213</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54,281</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49,292</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103,573</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6,143,786</w:t>
            </w:r>
          </w:p>
        </w:tc>
      </w:tr>
      <w:tr>
        <w:trPr>
          <w:trHeight w:val="144"/>
        </w:trPr>
        <w:tc>
          <w:tcPr>
            <w:tcW w:w="20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30"/>
        </w:trPr>
        <w:tc>
          <w:tcPr>
            <w:tcW w:w="210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520" w:type="dxa"/>
            <w:vAlign w:val="bottom"/>
            <w:shd w:val="clear" w:color="auto" w:fill="CFF0FC"/>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225,0</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(25,48</w:t>
            </w:r>
          </w:p>
        </w:tc>
        <w:tc>
          <w:tcPr>
            <w:tcW w:w="840" w:type="dxa"/>
            <w:vAlign w:val="bottom"/>
            <w:gridSpan w:val="2"/>
            <w:shd w:val="clear" w:color="auto" w:fill="CFF0FC"/>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8,704,24</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(1,871,6</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67"/>
        </w:trPr>
        <w:tc>
          <w:tcPr>
            <w:tcW w:w="2100" w:type="dxa"/>
            <w:vAlign w:val="bottom"/>
            <w:gridSpan w:val="2"/>
            <w:shd w:val="clear" w:color="auto" w:fill="CFF0FC"/>
          </w:tcPr>
          <w:p>
            <w:pPr>
              <w:ind w:left="2040"/>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00</w:t>
            </w:r>
          </w:p>
        </w:tc>
        <w:tc>
          <w:tcPr>
            <w:tcW w:w="70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$ 1,846</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84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(1,308 )</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7,032,687</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42,195</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117,053</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159,248</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7,191,935</w:t>
            </w:r>
          </w:p>
        </w:tc>
      </w:tr>
      <w:tr>
        <w:trPr>
          <w:trHeight w:val="162"/>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212,442</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212,442</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1,243</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3,902</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5,145</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217,587</w:t>
            </w:r>
          </w:p>
        </w:tc>
      </w:tr>
      <w:tr>
        <w:trPr>
          <w:trHeight w:val="162"/>
        </w:trPr>
        <w:tc>
          <w:tcPr>
            <w:tcW w:w="2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r>
      <w:tr>
        <w:trPr>
          <w:trHeight w:val="130"/>
        </w:trPr>
        <w:tc>
          <w:tcPr>
            <w:tcW w:w="210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3"/>
                <w:szCs w:val="13"/>
                <w:color w:val="auto"/>
              </w:rPr>
              <w:t>Other comprehensive income</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5"/>
        </w:trPr>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before reclassification</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10,942</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10,942</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66</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589</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655</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11,597</w:t>
            </w:r>
          </w:p>
        </w:tc>
      </w:tr>
      <w:tr>
        <w:trPr>
          <w:trHeight w:val="132"/>
        </w:trPr>
        <w:tc>
          <w:tcPr>
            <w:tcW w:w="2100" w:type="dxa"/>
            <w:vAlign w:val="bottom"/>
            <w:gridSpan w:val="2"/>
            <w:shd w:val="clear" w:color="auto" w:fill="CFF0FC"/>
          </w:tcPr>
          <w:p>
            <w:pPr>
              <w:ind w:left="160"/>
              <w:spacing w:after="0" w:line="132" w:lineRule="exact"/>
              <w:rPr>
                <w:sz w:val="20"/>
                <w:szCs w:val="20"/>
                <w:color w:val="auto"/>
              </w:rPr>
            </w:pPr>
            <w:r>
              <w:rPr>
                <w:rFonts w:ascii="Times New Roman" w:cs="Times New Roman" w:eastAsia="Times New Roman" w:hAnsi="Times New Roman"/>
                <w:sz w:val="13"/>
                <w:szCs w:val="13"/>
                <w:color w:val="auto"/>
              </w:rPr>
              <w:t>Amounts reclassified from</w:t>
            </w: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35"/>
        </w:trPr>
        <w:tc>
          <w:tcPr>
            <w:tcW w:w="210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accumulated other</w:t>
            </w: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67"/>
        </w:trPr>
        <w:tc>
          <w:tcPr>
            <w:tcW w:w="21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comprehensive income</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(4,499 )</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(4,499 )</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(281 )</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(308 )</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(4,807 )</w:t>
            </w:r>
          </w:p>
        </w:tc>
      </w:tr>
      <w:tr>
        <w:trPr>
          <w:trHeight w:val="130"/>
        </w:trPr>
        <w:tc>
          <w:tcPr>
            <w:tcW w:w="21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Adjustment for noncontrolling</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5"/>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(8,694 )</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(8,694 )</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8,694</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8,694</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2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Deferred compensation plan, net</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(1,746 )</w:t>
            </w:r>
          </w:p>
        </w:tc>
        <w:tc>
          <w:tcPr>
            <w:tcW w:w="84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1,746</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30"/>
        </w:trPr>
        <w:tc>
          <w:tcPr>
            <w:tcW w:w="21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Restricted stock issued, net of</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5"/>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13,135</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13,137</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13,137</w:t>
            </w:r>
          </w:p>
        </w:tc>
      </w:tr>
      <w:tr>
        <w:trPr>
          <w:trHeight w:val="132"/>
        </w:trPr>
        <w:tc>
          <w:tcPr>
            <w:tcW w:w="210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repurchased for</w:t>
            </w: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35"/>
        </w:trPr>
        <w:tc>
          <w:tcPr>
            <w:tcW w:w="210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taxes withheld for stock based</w:t>
            </w: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67"/>
        </w:trPr>
        <w:tc>
          <w:tcPr>
            <w:tcW w:w="2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compensation, net</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(8,494 )</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(8,494 )</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(8,494 )</w:t>
            </w:r>
          </w:p>
        </w:tc>
      </w:tr>
      <w:tr>
        <w:trPr>
          <w:trHeight w:val="130"/>
        </w:trPr>
        <w:tc>
          <w:tcPr>
            <w:tcW w:w="21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Common stock repurchased and</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(200,03</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5"/>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retired</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(33 )</w:t>
            </w: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(200,066 )</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(200,066 )</w:t>
            </w:r>
          </w:p>
        </w:tc>
      </w:tr>
      <w:tr>
        <w:trPr>
          <w:trHeight w:val="132"/>
        </w:trPr>
        <w:tc>
          <w:tcPr>
            <w:tcW w:w="210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issued under</w:t>
            </w: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67"/>
        </w:trPr>
        <w:tc>
          <w:tcPr>
            <w:tcW w:w="2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 reinvestment plan</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324</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324</w:t>
            </w:r>
          </w:p>
        </w:tc>
      </w:tr>
      <w:tr>
        <w:trPr>
          <w:trHeight w:val="130"/>
        </w:trPr>
        <w:tc>
          <w:tcPr>
            <w:tcW w:w="21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Common stock issued for</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exchangeable operating partnership</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5"/>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529</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529</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(529 )</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(529 )</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2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Contributions from partners</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3,001</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3,001</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3,001</w:t>
            </w:r>
          </w:p>
        </w:tc>
      </w:tr>
      <w:tr>
        <w:trPr>
          <w:trHeight w:val="162"/>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Distributions to partners</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(6,254 )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(6,254 )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(6,254 )</w:t>
            </w:r>
          </w:p>
        </w:tc>
      </w:tr>
      <w:tr>
        <w:trPr>
          <w:trHeight w:val="162"/>
        </w:trPr>
        <w:tc>
          <w:tcPr>
            <w:tcW w:w="2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r>
      <w:tr>
        <w:trPr>
          <w:trHeight w:val="162"/>
        </w:trPr>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Preferred stock</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(6,826 )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(6,826 )</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(6,826 )</w:t>
            </w:r>
          </w:p>
        </w:tc>
      </w:tr>
      <w:tr>
        <w:trPr>
          <w:trHeight w:val="130"/>
        </w:trPr>
        <w:tc>
          <w:tcPr>
            <w:tcW w:w="2100" w:type="dxa"/>
            <w:vAlign w:val="bottom"/>
            <w:gridSpan w:val="2"/>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Common stock ($1.340 per</w:t>
            </w: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(245,75</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65"/>
        </w:trPr>
        <w:tc>
          <w:tcPr>
            <w:tcW w:w="20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share/unit)</w:t>
            </w:r>
          </w:p>
        </w:tc>
        <w:tc>
          <w:tcPr>
            <w:tcW w:w="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0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(245,754 )</w:t>
            </w:r>
          </w:p>
        </w:tc>
        <w:tc>
          <w:tcPr>
            <w:tcW w:w="10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(2,210 )</w:t>
            </w: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(2,210 )</w:t>
            </w:r>
          </w:p>
        </w:tc>
        <w:tc>
          <w:tcPr>
            <w:tcW w:w="1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(247,964 )</w:t>
            </w:r>
          </w:p>
        </w:tc>
      </w:tr>
      <w:tr>
        <w:trPr>
          <w:trHeight w:val="125"/>
        </w:trPr>
        <w:tc>
          <w:tcPr>
            <w:tcW w:w="21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520" w:type="dxa"/>
            <w:vAlign w:val="bottom"/>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225,0</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(27,23</w:t>
            </w:r>
          </w:p>
        </w:tc>
        <w:tc>
          <w:tcPr>
            <w:tcW w:w="840" w:type="dxa"/>
            <w:vAlign w:val="bottom"/>
            <w:gridSpan w:val="2"/>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8,502,75</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gridSpan w:val="2"/>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(1,911,7</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65"/>
        </w:trPr>
        <w:tc>
          <w:tcPr>
            <w:tcW w:w="2100" w:type="dxa"/>
            <w:vAlign w:val="bottom"/>
            <w:gridSpan w:val="2"/>
          </w:tcPr>
          <w:p>
            <w:pPr>
              <w:ind w:left="2040"/>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00</w:t>
            </w:r>
          </w:p>
        </w:tc>
        <w:tc>
          <w:tcPr>
            <w:tcW w:w="7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1,815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84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5,135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41 )</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6,795,728</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40,738</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126,704</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167,442</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6,963,170</w:t>
            </w:r>
          </w:p>
        </w:tc>
      </w:tr>
      <w:tr>
        <w:trPr>
          <w:trHeight w:val="20"/>
        </w:trPr>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-3213735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-3196590</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-3213735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-3196590</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-3213735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-3196590</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-3213735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-3196590</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-3213735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-3196590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-3213735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-3196590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-3213735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-3196590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-3213735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-3196590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-3213735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-3196590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-3213735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-3196590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-222250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-222250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-222250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-222250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-222250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-222250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-222250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-222250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-222250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-222250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8" w:name="page9"/>
    <w:bookmarkEnd w:id="8"/>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7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217,587</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186,660</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198,553</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165,868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Amortization of deferred loan costs and debt premiums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of above and below market lease intangibles, net</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(12,193 )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(13,842 )</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Stock-based compensation, net of capitalization</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12,539</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8,854</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Equity in income of investments in real estate partnerships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(24,275 )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(23,785 )</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(22,484 )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(331 )</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40" w:type="dxa"/>
            <w:vAlign w:val="bottom"/>
          </w:tcPr>
          <w:p>
            <w:pPr>
              <w:spacing w:after="0"/>
              <w:rPr>
                <w:sz w:val="19"/>
                <w:szCs w:val="19"/>
                <w:color w:val="auto"/>
              </w:rPr>
            </w:pP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Distribution of earnings from investments in real estate partnerships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32,440</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31,869</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compensation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Realized and unrealized gain on investments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(3,013 )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(3,376 )</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(3,565 )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(14,549 )</w:t>
            </w:r>
          </w:p>
        </w:tc>
      </w:tr>
      <w:tr>
        <w:trPr>
          <w:trHeight w:val="220"/>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Deferred leasing costs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(6,311 )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(3,591 )</w:t>
            </w:r>
          </w:p>
        </w:tc>
      </w:tr>
      <w:tr>
        <w:trPr>
          <w:trHeight w:val="239"/>
        </w:trPr>
        <w:tc>
          <w:tcPr>
            <w:tcW w:w="74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(13,793 )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(17,951 )</w:t>
            </w:r>
          </w:p>
        </w:tc>
      </w:tr>
      <w:tr>
        <w:trPr>
          <w:trHeight w:val="220"/>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(9,776 )</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6,091</w:t>
            </w:r>
          </w:p>
        </w:tc>
        <w:tc>
          <w:tcPr>
            <w:tcW w:w="100" w:type="dxa"/>
            <w:vAlign w:val="bottom"/>
          </w:tcPr>
          <w:p>
            <w:pPr>
              <w:spacing w:after="0"/>
              <w:rPr>
                <w:sz w:val="19"/>
                <w:szCs w:val="19"/>
                <w:color w:val="auto"/>
              </w:rPr>
            </w:pPr>
          </w:p>
        </w:tc>
      </w:tr>
      <w:tr>
        <w:trPr>
          <w:trHeight w:val="233"/>
        </w:trPr>
        <w:tc>
          <w:tcPr>
            <w:tcW w:w="74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Tenants' security, escrow deposits and prepaid rent</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(3,602 )</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6,837</w:t>
            </w:r>
          </w:p>
        </w:tc>
        <w:tc>
          <w:tcPr>
            <w:tcW w:w="100" w:type="dxa"/>
            <w:vAlign w:val="bottom"/>
            <w:shd w:val="clear" w:color="auto" w:fill="CFF0FC"/>
          </w:tcPr>
          <w:p>
            <w:pPr>
              <w:spacing w:after="0"/>
              <w:rPr>
                <w:sz w:val="20"/>
                <w:szCs w:val="20"/>
                <w:color w:val="auto"/>
              </w:rPr>
            </w:pPr>
          </w:p>
        </w:tc>
      </w:tr>
      <w:tr>
        <w:trPr>
          <w:trHeight w:val="223"/>
        </w:trPr>
        <w:tc>
          <w:tcPr>
            <w:tcW w:w="7400" w:type="dxa"/>
            <w:vAlign w:val="bottom"/>
            <w:tcBorders>
              <w:top w:val="single" w:sz="8" w:color="CFF0FC"/>
            </w:tcBorders>
          </w:tcPr>
          <w:p>
            <w:pPr>
              <w:ind w:left="7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371,214</w:t>
            </w:r>
          </w:p>
        </w:tc>
        <w:tc>
          <w:tcPr>
            <w:tcW w:w="240" w:type="dxa"/>
            <w:vAlign w:val="bottom"/>
            <w:tcBorders>
              <w:top w:val="single" w:sz="8" w:color="CFF0FC"/>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334,677</w:t>
            </w:r>
          </w:p>
        </w:tc>
        <w:tc>
          <w:tcPr>
            <w:tcW w:w="100" w:type="dxa"/>
            <w:vAlign w:val="bottom"/>
            <w:tcBorders>
              <w:top w:val="single" w:sz="8" w:color="CFF0FC"/>
            </w:tcBorders>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of operating real estate</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(45,208 )</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Real estate development and capital improvements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(141,775 )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(100,114 )</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real estate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92,159</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property insurance casualty claims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4,638</w:t>
            </w:r>
          </w:p>
        </w:tc>
        <w:tc>
          <w:tcPr>
            <w:tcW w:w="2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Issuance of notes receivable</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(32,651 )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(4,000 )</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Collection of notes receivable</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2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(8,582 )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(3,109 )</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Return of capital from investments in real estate partnerships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10,038</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Dividends on investment securities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Acquisition of investment securities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(95,519 )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(2,748 )</w:t>
            </w: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investment securities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99,490</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10,751</w:t>
            </w:r>
          </w:p>
        </w:tc>
        <w:tc>
          <w:tcPr>
            <w:tcW w:w="100" w:type="dxa"/>
            <w:vAlign w:val="bottom"/>
          </w:tcPr>
          <w:p>
            <w:pPr>
              <w:spacing w:after="0"/>
              <w:rPr>
                <w:sz w:val="19"/>
                <w:szCs w:val="19"/>
                <w:color w:val="auto"/>
              </w:rPr>
            </w:pPr>
          </w:p>
        </w:tc>
      </w:tr>
      <w:tr>
        <w:trPr>
          <w:trHeight w:val="223"/>
        </w:trPr>
        <w:tc>
          <w:tcPr>
            <w:tcW w:w="74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(114,143 )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(91,411 )</w:t>
            </w:r>
          </w:p>
        </w:tc>
      </w:tr>
      <w:tr>
        <w:trPr>
          <w:trHeight w:val="220"/>
        </w:trPr>
        <w:tc>
          <w:tcPr>
            <w:tcW w:w="7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proceeds from common stock issuance</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Repurchase of common shares in conjunction with equity award plans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(8,776 )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(7,621 )</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Common shares repurchased through share repurchase program</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(200,066 )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(20,006 )</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treasury stock</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Distributions to and redemptions of non-controlling interests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(6,254 )</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Distributions to exchangeable operating partnership unit holders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(1,479 )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(964 )</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Dividends paid to common shareholders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(247,138 )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(222,275 )</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Dividends paid to preferred shareholders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(6,825 )</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 of fixed rate unsecured notes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(250,000 )</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issuance of fixed rate unsecured notes, net of debt discount</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398,468</w:t>
            </w:r>
          </w:p>
        </w:tc>
        <w:tc>
          <w:tcPr>
            <w:tcW w:w="2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unsecured credit facilities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422,419</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235,000</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Repayment of unsecured credit facilities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(264,419 )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(235,000 )</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notes payable</w:t>
            </w:r>
          </w:p>
        </w:tc>
        <w:tc>
          <w:tcPr>
            <w:tcW w:w="260" w:type="dxa"/>
            <w:vAlign w:val="bottom"/>
          </w:tcPr>
          <w:p>
            <w:pPr>
              <w:spacing w:after="0"/>
              <w:rPr>
                <w:sz w:val="19"/>
                <w:szCs w:val="19"/>
                <w:color w:val="auto"/>
              </w:rPr>
            </w:pPr>
          </w:p>
        </w:tc>
        <w:tc>
          <w:tcPr>
            <w:tcW w:w="11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Repayment of notes payable</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(88,069 )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(29,616 )</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Scheduled principal payments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(6,121 )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(5,054 )</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Payment of loan costs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(13,453 )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(141 )</w:t>
            </w:r>
          </w:p>
        </w:tc>
      </w:tr>
      <w:tr>
        <w:trPr>
          <w:trHeight w:val="216"/>
        </w:trPr>
        <w:tc>
          <w:tcPr>
            <w:tcW w:w="74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(268,502</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(268,934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9"/>
        </w:trPr>
        <w:tc>
          <w:tcPr>
            <w:tcW w:w="74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Net decrease in cash and cash equivalents and restricted cash</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(11,431 )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(25,668 )</w:t>
            </w: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the period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91,354</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68,776</w:t>
            </w:r>
          </w:p>
        </w:tc>
        <w:tc>
          <w:tcPr>
            <w:tcW w:w="100" w:type="dxa"/>
            <w:vAlign w:val="bottom"/>
          </w:tcPr>
          <w:p>
            <w:pPr>
              <w:spacing w:after="0"/>
              <w:rPr>
                <w:sz w:val="19"/>
                <w:szCs w:val="19"/>
                <w:color w:val="auto"/>
              </w:rPr>
            </w:pPr>
          </w:p>
        </w:tc>
      </w:tr>
      <w:tr>
        <w:trPr>
          <w:trHeight w:val="263"/>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the period</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79,923</w:t>
            </w:r>
          </w:p>
        </w:tc>
        <w:tc>
          <w:tcPr>
            <w:tcW w:w="24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43,108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-5331460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-5331460</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-3265170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-3265170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-646430</wp:posOffset>
            </wp:positionV>
            <wp:extent cx="93980" cy="1879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-646430</wp:posOffset>
            </wp:positionV>
            <wp:extent cx="85725" cy="1879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8796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80"/>
          </w:cols>
          <w:pgMar w:left="320" w:top="981" w:right="899" w:bottom="312"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7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2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interest (net of capitalized interest of $3,176 and $2,534 in 2024 and 2023, respectively)</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77,408</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71,091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6,405</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07"/>
        </w:trPr>
        <w:tc>
          <w:tcPr>
            <w:tcW w:w="7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Supplemental disclosure of non-cash transactions:</w:t>
            </w: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Common and Preferred stock, and exchangeable operating partnership dividends declared</w:t>
            </w:r>
          </w:p>
        </w:tc>
        <w:tc>
          <w:tcPr>
            <w:tcW w:w="260" w:type="dxa"/>
            <w:vAlign w:val="bottom"/>
            <w:vMerge w:val="restart"/>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125,709</w:t>
            </w:r>
          </w:p>
        </w:tc>
        <w:tc>
          <w:tcPr>
            <w:tcW w:w="1420" w:type="dxa"/>
            <w:vAlign w:val="bottom"/>
            <w:gridSpan w:val="2"/>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111,847</w:t>
            </w: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but not paid</w:t>
            </w:r>
          </w:p>
        </w:tc>
        <w:tc>
          <w:tcPr>
            <w:tcW w:w="260" w:type="dxa"/>
            <w:vAlign w:val="bottom"/>
            <w:vMerge w:val="continue"/>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14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Sale of leased asset in exchange for net investment in sales-type lease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2,808</w:t>
            </w:r>
          </w:p>
        </w:tc>
        <w:tc>
          <w:tcPr>
            <w:tcW w:w="140" w:type="dxa"/>
            <w:vAlign w:val="bottom"/>
            <w:tcBorders>
              <w:top w:val="single" w:sz="8" w:color="CFF0FC"/>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Common stock issued for partnership units exchanged</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529</w:t>
            </w:r>
          </w:p>
        </w:tc>
        <w:tc>
          <w:tcPr>
            <w:tcW w:w="1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Reallocation of equity upon acqusition of non-controlling interest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8,694</w:t>
            </w:r>
          </w:p>
        </w:tc>
        <w:tc>
          <w:tcPr>
            <w:tcW w:w="140" w:type="dxa"/>
            <w:vAlign w:val="bottom"/>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Exchangeable operating partnership units issued for acquisition of real estate</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accrued capital expenditures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3,094</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9,011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Common stock issued under dividend reinvestment plan</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324</w:t>
            </w:r>
          </w:p>
        </w:tc>
        <w:tc>
          <w:tcPr>
            <w:tcW w:w="1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capitalized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880</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Contributions to investments in real estate partnerships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17,984</w:t>
            </w:r>
          </w:p>
        </w:tc>
        <w:tc>
          <w:tcPr>
            <w:tcW w:w="1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issued for dividend reinvestment in trust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604</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Contribution of stock awards into trust</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1,659</w:t>
            </w:r>
          </w:p>
        </w:tc>
        <w:tc>
          <w:tcPr>
            <w:tcW w:w="1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1,844</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 of stock held in trust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476</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2,245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Change in fair value of securities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c>
          <w:tcPr>
            <w:tcW w:w="1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-2502535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-2485390</wp:posOffset>
            </wp:positionV>
            <wp:extent cx="768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-2082165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-2065020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-1739265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-1722120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-1396365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-1379220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-1053465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-1036320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-710565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-693420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-367665</wp:posOffset>
            </wp:positionV>
            <wp:extent cx="768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-350520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1" w:right="8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 and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6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786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CFF0FC"/>
            </w:tcBorders>
            <w:shd w:val="clear" w:color="auto" w:fill="CFF0FC"/>
          </w:tcPr>
          <w:p>
            <w:pPr>
              <w:jc w:val="right"/>
              <w:ind w:right="239"/>
              <w:spacing w:after="0" w:line="175"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top w:val="single" w:sz="8" w:color="auto"/>
              <w:bottom w:val="single" w:sz="8" w:color="CFF0FC"/>
            </w:tcBorders>
            <w:shd w:val="clear" w:color="auto" w:fill="CFF0FC"/>
          </w:tcPr>
          <w:p>
            <w:pPr>
              <w:spacing w:after="0"/>
              <w:rPr>
                <w:sz w:val="18"/>
                <w:szCs w:val="18"/>
                <w:color w:val="auto"/>
              </w:rPr>
            </w:pPr>
          </w:p>
        </w:tc>
      </w:tr>
      <w:tr>
        <w:trPr>
          <w:trHeight w:val="220"/>
        </w:trPr>
        <w:tc>
          <w:tcPr>
            <w:tcW w:w="8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real estate investments: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9"/>
        </w:trPr>
        <w:tc>
          <w:tcPr>
            <w:tcW w:w="20" w:type="dxa"/>
            <w:vAlign w:val="bottom"/>
            <w:shd w:val="clear" w:color="auto" w:fill="CFF0FC"/>
          </w:tcPr>
          <w:p>
            <w:pPr>
              <w:spacing w:after="0"/>
              <w:rPr>
                <w:sz w:val="20"/>
                <w:szCs w:val="20"/>
                <w:color w:val="auto"/>
              </w:rPr>
            </w:pPr>
          </w:p>
        </w:tc>
        <w:tc>
          <w:tcPr>
            <w:tcW w:w="8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Real estate assets, at cost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13,532,046</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13,454,391</w:t>
            </w:r>
          </w:p>
        </w:tc>
      </w:tr>
      <w:tr>
        <w:trPr>
          <w:trHeight w:val="223"/>
        </w:trPr>
        <w:tc>
          <w:tcPr>
            <w:tcW w:w="20" w:type="dxa"/>
            <w:vAlign w:val="bottom"/>
          </w:tcPr>
          <w:p>
            <w:pPr>
              <w:spacing w:after="0"/>
              <w:rPr>
                <w:sz w:val="19"/>
                <w:szCs w:val="19"/>
                <w:color w:val="auto"/>
              </w:rPr>
            </w:pPr>
          </w:p>
        </w:tc>
        <w:tc>
          <w:tcPr>
            <w:tcW w:w="83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2,822,272</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2,691,386</w:t>
            </w:r>
          </w:p>
        </w:tc>
      </w:tr>
      <w:tr>
        <w:trPr>
          <w:trHeight w:val="229"/>
        </w:trPr>
        <w:tc>
          <w:tcPr>
            <w:tcW w:w="20" w:type="dxa"/>
            <w:vAlign w:val="bottom"/>
            <w:shd w:val="clear" w:color="auto" w:fill="CFF0FC"/>
          </w:tcPr>
          <w:p>
            <w:pPr>
              <w:spacing w:after="0"/>
              <w:rPr>
                <w:sz w:val="19"/>
                <w:szCs w:val="19"/>
                <w:color w:val="auto"/>
              </w:rPr>
            </w:pPr>
          </w:p>
        </w:tc>
        <w:tc>
          <w:tcPr>
            <w:tcW w:w="8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Real estate assets, net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10,709,774</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10,763,005</w:t>
            </w:r>
          </w:p>
        </w:tc>
      </w:tr>
      <w:tr>
        <w:trPr>
          <w:trHeight w:val="220"/>
        </w:trPr>
        <w:tc>
          <w:tcPr>
            <w:tcW w:w="20" w:type="dxa"/>
            <w:vAlign w:val="bottom"/>
          </w:tcPr>
          <w:p>
            <w:pPr>
              <w:spacing w:after="0"/>
              <w:rPr>
                <w:sz w:val="19"/>
                <w:szCs w:val="19"/>
                <w:color w:val="auto"/>
              </w:rPr>
            </w:pPr>
          </w:p>
        </w:tc>
        <w:tc>
          <w:tcPr>
            <w:tcW w:w="83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Investments in sales-type lease, net</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15,826</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8,705</w:t>
            </w:r>
          </w:p>
        </w:tc>
      </w:tr>
      <w:tr>
        <w:trPr>
          <w:trHeight w:val="233"/>
        </w:trPr>
        <w:tc>
          <w:tcPr>
            <w:tcW w:w="20" w:type="dxa"/>
            <w:vAlign w:val="bottom"/>
            <w:tcBorders>
              <w:bottom w:val="single" w:sz="8" w:color="CFF0FC"/>
            </w:tcBorders>
            <w:shd w:val="clear" w:color="auto" w:fill="CFF0FC"/>
          </w:tcPr>
          <w:p>
            <w:pPr>
              <w:spacing w:after="0"/>
              <w:rPr>
                <w:sz w:val="20"/>
                <w:szCs w:val="20"/>
                <w:color w:val="auto"/>
              </w:rPr>
            </w:pPr>
          </w:p>
        </w:tc>
        <w:tc>
          <w:tcPr>
            <w:tcW w:w="830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378,091</w:t>
            </w: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370,605</w:t>
            </w:r>
          </w:p>
        </w:tc>
      </w:t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real estate investments</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11,103,691</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11,142,315</w:t>
            </w:r>
          </w:p>
        </w:tc>
      </w:tr>
      <w:tr>
        <w:trPr>
          <w:trHeight w:val="239"/>
        </w:trPr>
        <w:tc>
          <w:tcPr>
            <w:tcW w:w="83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Properties held for sale, net</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18,878</w:t>
            </w:r>
          </w:p>
        </w:tc>
      </w:tr>
      <w:tr>
        <w:trPr>
          <w:trHeight w:val="202"/>
        </w:trPr>
        <w:tc>
          <w:tcPr>
            <w:tcW w:w="8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including $6,109 and $6,383 of restricted cash at June 30, 2024 and December</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0"/>
        </w:trPr>
        <w:tc>
          <w:tcPr>
            <w:tcW w:w="8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31, 2023, respectively</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79,923</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91,354</w:t>
            </w:r>
          </w:p>
        </w:tc>
      </w:tr>
      <w:tr>
        <w:trPr>
          <w:trHeight w:val="239"/>
        </w:trPr>
        <w:tc>
          <w:tcPr>
            <w:tcW w:w="83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Tenant and other receivables, net</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236,999</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206,162</w:t>
            </w:r>
          </w:p>
        </w:tc>
      </w:tr>
      <w:tr>
        <w:trPr>
          <w:trHeight w:val="202"/>
        </w:trPr>
        <w:tc>
          <w:tcPr>
            <w:tcW w:w="8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Deferred leasing costs, less accumulated amortization of $126,867 and $124,107 at June 30, 2024 and December 31, 2023,</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0"/>
        </w:trPr>
        <w:tc>
          <w:tcPr>
            <w:tcW w:w="8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77,836</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73,398</w:t>
            </w:r>
          </w:p>
        </w:tc>
      </w:tr>
      <w:tr>
        <w:trPr>
          <w:trHeight w:val="212"/>
        </w:trPr>
        <w:tc>
          <w:tcPr>
            <w:tcW w:w="83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Acquired lease intangible assets, less accumulated amortization of $374,411 and $364,413 at June 30, 2024 and December</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30"/>
        </w:trPr>
        <w:tc>
          <w:tcPr>
            <w:tcW w:w="83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31, 2023, respectively</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256,639</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283,375</w:t>
            </w:r>
          </w:p>
        </w:tc>
      </w:tr>
      <w:tr>
        <w:trPr>
          <w:trHeight w:val="220"/>
        </w:trPr>
        <w:tc>
          <w:tcPr>
            <w:tcW w:w="8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Right of use assets, net</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323,015</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328,002</w:t>
            </w:r>
          </w:p>
        </w:tc>
      </w:tr>
      <w:tr>
        <w:trPr>
          <w:trHeight w:val="233"/>
        </w:trPr>
        <w:tc>
          <w:tcPr>
            <w:tcW w:w="832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306,077</w:t>
            </w: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283,429</w:t>
            </w: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12,384,180</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12,426,913</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830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and Capital</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20"/>
        </w:trPr>
        <w:tc>
          <w:tcPr>
            <w:tcW w:w="20" w:type="dxa"/>
            <w:vAlign w:val="bottom"/>
            <w:tcBorders>
              <w:top w:val="single" w:sz="8" w:color="CFF0FC"/>
            </w:tcBorders>
          </w:tcPr>
          <w:p>
            <w:pPr>
              <w:spacing w:after="0"/>
              <w:rPr>
                <w:sz w:val="19"/>
                <w:szCs w:val="19"/>
                <w:color w:val="auto"/>
              </w:rPr>
            </w:pPr>
          </w:p>
        </w:tc>
        <w:tc>
          <w:tcPr>
            <w:tcW w:w="1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Liabilities:</w:t>
            </w:r>
          </w:p>
        </w:tc>
        <w:tc>
          <w:tcPr>
            <w:tcW w:w="676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2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20" w:type="dxa"/>
            <w:vAlign w:val="bottom"/>
            <w:tcBorders>
              <w:top w:val="single" w:sz="8" w:color="CFF0FC"/>
            </w:tcBorders>
          </w:tcPr>
          <w:p>
            <w:pPr>
              <w:spacing w:after="0"/>
              <w:rPr>
                <w:sz w:val="19"/>
                <w:szCs w:val="19"/>
                <w:color w:val="auto"/>
              </w:rPr>
            </w:pPr>
          </w:p>
        </w:tc>
      </w:tr>
      <w:tr>
        <w:trPr>
          <w:trHeight w:val="239"/>
        </w:trPr>
        <w:tc>
          <w:tcPr>
            <w:tcW w:w="20" w:type="dxa"/>
            <w:vAlign w:val="bottom"/>
            <w:shd w:val="clear" w:color="auto" w:fill="CFF0FC"/>
          </w:tcPr>
          <w:p>
            <w:pPr>
              <w:spacing w:after="0"/>
              <w:rPr>
                <w:sz w:val="20"/>
                <w:szCs w:val="20"/>
                <w:color w:val="auto"/>
              </w:rPr>
            </w:pPr>
          </w:p>
        </w:tc>
        <w:tc>
          <w:tcPr>
            <w:tcW w:w="8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Notes payable,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4,055,390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4,001,949</w:t>
            </w:r>
          </w:p>
        </w:tc>
      </w:tr>
      <w:tr>
        <w:trPr>
          <w:trHeight w:val="220"/>
        </w:trPr>
        <w:tc>
          <w:tcPr>
            <w:tcW w:w="20" w:type="dxa"/>
            <w:vAlign w:val="bottom"/>
          </w:tcPr>
          <w:p>
            <w:pPr>
              <w:spacing w:after="0"/>
              <w:rPr>
                <w:sz w:val="19"/>
                <w:szCs w:val="19"/>
                <w:color w:val="auto"/>
              </w:rPr>
            </w:pPr>
          </w:p>
        </w:tc>
        <w:tc>
          <w:tcPr>
            <w:tcW w:w="83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Unsecured credit facility</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310,000</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152,000</w:t>
            </w:r>
          </w:p>
        </w:tc>
      </w:tr>
      <w:tr>
        <w:trPr>
          <w:trHeight w:val="239"/>
        </w:trPr>
        <w:tc>
          <w:tcPr>
            <w:tcW w:w="20" w:type="dxa"/>
            <w:vAlign w:val="bottom"/>
            <w:shd w:val="clear" w:color="auto" w:fill="CFF0FC"/>
          </w:tcPr>
          <w:p>
            <w:pPr>
              <w:spacing w:after="0"/>
              <w:rPr>
                <w:sz w:val="20"/>
                <w:szCs w:val="20"/>
                <w:color w:val="auto"/>
              </w:rPr>
            </w:pPr>
          </w:p>
        </w:tc>
        <w:tc>
          <w:tcPr>
            <w:tcW w:w="8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357,232</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358,612</w:t>
            </w:r>
          </w:p>
        </w:tc>
      </w:tr>
      <w:tr>
        <w:trPr>
          <w:trHeight w:val="202"/>
        </w:trPr>
        <w:tc>
          <w:tcPr>
            <w:tcW w:w="20" w:type="dxa"/>
            <w:vAlign w:val="bottom"/>
          </w:tcPr>
          <w:p>
            <w:pPr>
              <w:spacing w:after="0"/>
              <w:rPr>
                <w:sz w:val="17"/>
                <w:szCs w:val="17"/>
                <w:color w:val="auto"/>
              </w:rPr>
            </w:pPr>
          </w:p>
        </w:tc>
        <w:tc>
          <w:tcPr>
            <w:tcW w:w="83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Acquired lease intangible liabilities, less accumulated amortization of $208,900 and $211,067 at June 30, 2024 and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3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380,505</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398,302</w:t>
            </w:r>
          </w:p>
        </w:tc>
      </w:tr>
      <w:tr>
        <w:trPr>
          <w:trHeight w:val="239"/>
        </w:trPr>
        <w:tc>
          <w:tcPr>
            <w:tcW w:w="20" w:type="dxa"/>
            <w:vAlign w:val="bottom"/>
            <w:shd w:val="clear" w:color="auto" w:fill="CFF0FC"/>
          </w:tcPr>
          <w:p>
            <w:pPr>
              <w:spacing w:after="0"/>
              <w:rPr>
                <w:sz w:val="20"/>
                <w:szCs w:val="20"/>
                <w:color w:val="auto"/>
              </w:rPr>
            </w:pPr>
          </w:p>
        </w:tc>
        <w:tc>
          <w:tcPr>
            <w:tcW w:w="8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Lease liabilities</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243,318</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246,063</w:t>
            </w:r>
          </w:p>
        </w:tc>
      </w:tr>
      <w:tr>
        <w:trPr>
          <w:trHeight w:val="223"/>
        </w:trPr>
        <w:tc>
          <w:tcPr>
            <w:tcW w:w="20" w:type="dxa"/>
            <w:vAlign w:val="bottom"/>
          </w:tcPr>
          <w:p>
            <w:pPr>
              <w:spacing w:after="0"/>
              <w:rPr>
                <w:sz w:val="19"/>
                <w:szCs w:val="19"/>
                <w:color w:val="auto"/>
              </w:rPr>
            </w:pPr>
          </w:p>
        </w:tc>
        <w:tc>
          <w:tcPr>
            <w:tcW w:w="83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Tenants' security, escrow deposits and prepaid rent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74,565</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78,052</w:t>
            </w:r>
          </w:p>
        </w:tc>
      </w:tr>
      <w:tr>
        <w:trPr>
          <w:trHeight w:val="223"/>
        </w:trPr>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5,421,010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5,234,978</w:t>
            </w:r>
          </w:p>
        </w:tc>
      </w:tr>
      <w:tr>
        <w:trPr>
          <w:trHeight w:val="220"/>
        </w:trPr>
        <w:tc>
          <w:tcPr>
            <w:tcW w:w="8320" w:type="dxa"/>
            <w:vAlign w:val="bottom"/>
            <w:tcBorders>
              <w:top w:val="single" w:sz="8" w:color="CFF0FC"/>
            </w:tcBorders>
            <w:gridSpan w:val="4"/>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9"/>
                <w:szCs w:val="19"/>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3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83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Partners' capital:</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2"/>
        </w:trPr>
        <w:tc>
          <w:tcPr>
            <w:tcW w:w="20" w:type="dxa"/>
            <w:vAlign w:val="bottom"/>
            <w:shd w:val="clear" w:color="auto" w:fill="CFF0FC"/>
          </w:tcPr>
          <w:p>
            <w:pPr>
              <w:spacing w:after="0"/>
              <w:rPr>
                <w:sz w:val="18"/>
                <w:szCs w:val="18"/>
                <w:color w:val="auto"/>
              </w:rPr>
            </w:pPr>
          </w:p>
        </w:tc>
        <w:tc>
          <w:tcPr>
            <w:tcW w:w="8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Preferred units $0.01 par value per unit, 30,000,000 units authorized; 9,000,000 units issued and outstanding, in the</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03"/>
        </w:trPr>
        <w:tc>
          <w:tcPr>
            <w:tcW w:w="20" w:type="dxa"/>
            <w:vAlign w:val="bottom"/>
            <w:shd w:val="clear" w:color="auto" w:fill="CFF0FC"/>
          </w:tcPr>
          <w:p>
            <w:pPr>
              <w:spacing w:after="0"/>
              <w:rPr>
                <w:sz w:val="17"/>
                <w:szCs w:val="17"/>
                <w:color w:val="auto"/>
              </w:rPr>
            </w:pPr>
          </w:p>
        </w:tc>
        <w:tc>
          <w:tcPr>
            <w:tcW w:w="8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aggregate, in Series A and Series B at June 30, 2024 and December 31, 2023 with liquidation preference of $25 per</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30"/>
        </w:trPr>
        <w:tc>
          <w:tcPr>
            <w:tcW w:w="20" w:type="dxa"/>
            <w:vAlign w:val="bottom"/>
            <w:shd w:val="clear" w:color="auto" w:fill="CFF0FC"/>
          </w:tcPr>
          <w:p>
            <w:pPr>
              <w:spacing w:after="0"/>
              <w:rPr>
                <w:sz w:val="19"/>
                <w:szCs w:val="19"/>
                <w:color w:val="auto"/>
              </w:rPr>
            </w:pPr>
          </w:p>
        </w:tc>
        <w:tc>
          <w:tcPr>
            <w:tcW w:w="8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unit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225,000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225,000</w:t>
            </w:r>
          </w:p>
        </w:tc>
      </w:tr>
      <w:tr>
        <w:trPr>
          <w:trHeight w:val="202"/>
        </w:trPr>
        <w:tc>
          <w:tcPr>
            <w:tcW w:w="20" w:type="dxa"/>
            <w:vAlign w:val="bottom"/>
          </w:tcPr>
          <w:p>
            <w:pPr>
              <w:spacing w:after="0"/>
              <w:rPr>
                <w:sz w:val="17"/>
                <w:szCs w:val="17"/>
                <w:color w:val="auto"/>
              </w:rPr>
            </w:pPr>
          </w:p>
        </w:tc>
        <w:tc>
          <w:tcPr>
            <w:tcW w:w="83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General partner's common units, 181,493,494 and 184,581,070 units issued and outstanding at June 30, 2024 and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3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6,565,593</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6,808,995</w:t>
            </w:r>
          </w:p>
        </w:tc>
      </w:tr>
      <w:tr>
        <w:trPr>
          <w:trHeight w:val="212"/>
        </w:trPr>
        <w:tc>
          <w:tcPr>
            <w:tcW w:w="20" w:type="dxa"/>
            <w:vAlign w:val="bottom"/>
            <w:shd w:val="clear" w:color="auto" w:fill="CFF0FC"/>
          </w:tcPr>
          <w:p>
            <w:pPr>
              <w:spacing w:after="0"/>
              <w:rPr>
                <w:sz w:val="18"/>
                <w:szCs w:val="18"/>
                <w:color w:val="auto"/>
              </w:rPr>
            </w:pPr>
          </w:p>
        </w:tc>
        <w:tc>
          <w:tcPr>
            <w:tcW w:w="8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Limited partners' common units, 1,099,516 and 1,107,454 units issued and outstanding at June 30, 2024 and</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30"/>
        </w:trPr>
        <w:tc>
          <w:tcPr>
            <w:tcW w:w="20" w:type="dxa"/>
            <w:vAlign w:val="bottom"/>
            <w:shd w:val="clear" w:color="auto" w:fill="CFF0FC"/>
          </w:tcPr>
          <w:p>
            <w:pPr>
              <w:spacing w:after="0"/>
              <w:rPr>
                <w:sz w:val="19"/>
                <w:szCs w:val="19"/>
                <w:color w:val="auto"/>
              </w:rPr>
            </w:pPr>
          </w:p>
        </w:tc>
        <w:tc>
          <w:tcPr>
            <w:tcW w:w="8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40,738</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42,195</w:t>
            </w:r>
          </w:p>
        </w:tc>
      </w:tr>
      <w:tr>
        <w:trPr>
          <w:trHeight w:val="223"/>
        </w:trPr>
        <w:tc>
          <w:tcPr>
            <w:tcW w:w="20" w:type="dxa"/>
            <w:vAlign w:val="bottom"/>
          </w:tcPr>
          <w:p>
            <w:pPr>
              <w:spacing w:after="0"/>
              <w:rPr>
                <w:sz w:val="19"/>
                <w:szCs w:val="19"/>
                <w:color w:val="auto"/>
              </w:rPr>
            </w:pPr>
          </w:p>
        </w:tc>
        <w:tc>
          <w:tcPr>
            <w:tcW w:w="83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5,135</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(1,308 )</w:t>
            </w: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78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partners' capital</w:t>
            </w: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6,836,466</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7,074,882</w:t>
            </w:r>
          </w:p>
        </w:tc>
      </w:tr>
      <w:tr>
        <w:trPr>
          <w:trHeight w:val="223"/>
        </w:trPr>
        <w:tc>
          <w:tcPr>
            <w:tcW w:w="20" w:type="dxa"/>
            <w:vAlign w:val="bottom"/>
          </w:tcPr>
          <w:p>
            <w:pPr>
              <w:spacing w:after="0"/>
              <w:rPr>
                <w:sz w:val="19"/>
                <w:szCs w:val="19"/>
                <w:color w:val="auto"/>
              </w:rPr>
            </w:pPr>
          </w:p>
        </w:tc>
        <w:tc>
          <w:tcPr>
            <w:tcW w:w="83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Noncontrolling interest: Limited partners' interests in consolidated partnerships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126,704</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117,053</w:t>
            </w: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78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capital</w:t>
            </w: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6,963,170</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7,191,935</w:t>
            </w: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liabilities and capital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12,384,180</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12,426,913</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-5374005</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-3813810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-2185035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-488315</wp:posOffset>
            </wp:positionV>
            <wp:extent cx="85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-179705</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unit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3"/>
        </w:trPr>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r>
      <w:tr>
        <w:trPr>
          <w:trHeight w:val="220"/>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347,845</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304,458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700,951</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613,259</w:t>
            </w:r>
          </w:p>
        </w:tc>
      </w:tr>
      <w:tr>
        <w:trPr>
          <w:trHeight w:val="239"/>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property income</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2,670</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2,683</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7,020</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5,821</w:t>
            </w:r>
          </w:p>
        </w:tc>
      </w:tr>
      <w:tr>
        <w:trPr>
          <w:trHeight w:val="223"/>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6,735</w:t>
            </w:r>
          </w:p>
        </w:tc>
        <w:tc>
          <w:tcPr>
            <w:tcW w:w="180" w:type="dxa"/>
            <w:vAlign w:val="bottom"/>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7,106</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13,131</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13,144</w:t>
            </w:r>
          </w:p>
        </w:tc>
      </w:tr>
      <w:tr>
        <w:trPr>
          <w:trHeight w:val="223"/>
        </w:trPr>
        <w:tc>
          <w:tcPr>
            <w:tcW w:w="5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357,250</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314,247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721,102</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632,224</w:t>
            </w:r>
          </w:p>
        </w:tc>
      </w:tr>
      <w:tr>
        <w:trPr>
          <w:trHeight w:val="220"/>
        </w:trPr>
        <w:tc>
          <w:tcPr>
            <w:tcW w:w="5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39"/>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100,968</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83,161</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198,553</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165,868</w:t>
            </w:r>
          </w:p>
        </w:tc>
      </w:tr>
      <w:tr>
        <w:trPr>
          <w:trHeight w:val="220"/>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operating expense</w:t>
            </w:r>
          </w:p>
        </w:tc>
        <w:tc>
          <w:tcPr>
            <w:tcW w:w="18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59,491</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54,394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122,765</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105,416</w:t>
            </w:r>
          </w:p>
        </w:tc>
      </w:tr>
      <w:tr>
        <w:trPr>
          <w:trHeight w:val="239"/>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Real estate taxes</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45,478</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38,509</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89,785</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76,986</w:t>
            </w:r>
          </w:p>
        </w:tc>
      </w:tr>
      <w:tr>
        <w:trPr>
          <w:trHeight w:val="220"/>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24,238</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25,065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50,370</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50,345</w:t>
            </w:r>
          </w:p>
        </w:tc>
      </w:tr>
      <w:tr>
        <w:trPr>
          <w:trHeight w:val="233"/>
        </w:trPr>
        <w:tc>
          <w:tcPr>
            <w:tcW w:w="5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3,066</w:t>
            </w:r>
          </w:p>
        </w:tc>
        <w:tc>
          <w:tcPr>
            <w:tcW w:w="18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1,682</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5,709</w:t>
            </w:r>
          </w:p>
        </w:tc>
        <w:tc>
          <w:tcPr>
            <w:tcW w:w="1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1,185</w:t>
            </w:r>
          </w:p>
        </w:tc>
      </w:tr>
      <w:tr>
        <w:trPr>
          <w:trHeight w:val="223"/>
        </w:trPr>
        <w:tc>
          <w:tcPr>
            <w:tcW w:w="5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233,241</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202,811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467,182</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399,800</w:t>
            </w:r>
          </w:p>
        </w:tc>
      </w:tr>
      <w:tr>
        <w:trPr>
          <w:trHeight w:val="229"/>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r>
      <w:tr>
        <w:trPr>
          <w:trHeight w:val="220"/>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43,178</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36,956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86,046</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73,349</w:t>
            </w:r>
          </w:p>
        </w:tc>
      </w:tr>
      <w:tr>
        <w:trPr>
          <w:trHeight w:val="239"/>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(11,081 )</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(22,484 )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(331 )</w:t>
            </w:r>
          </w:p>
        </w:tc>
      </w:tr>
      <w:tr>
        <w:trPr>
          <w:trHeight w:val="220"/>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18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c>
          <w:tcPr>
            <w:tcW w:w="1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investment income</w:t>
            </w:r>
          </w:p>
        </w:tc>
        <w:tc>
          <w:tcPr>
            <w:tcW w:w="1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(703 )</w:t>
            </w:r>
          </w:p>
        </w:tc>
        <w:tc>
          <w:tcPr>
            <w:tcW w:w="18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(1,742 )</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(3,134 )</w:t>
            </w:r>
          </w:p>
        </w:tc>
        <w:tc>
          <w:tcPr>
            <w:tcW w:w="1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(3,469 )</w:t>
            </w:r>
          </w:p>
        </w:tc>
      </w:tr>
      <w:tr>
        <w:trPr>
          <w:trHeight w:val="223"/>
        </w:trPr>
        <w:tc>
          <w:tcPr>
            <w:tcW w:w="5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expense, net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31,394</w:t>
            </w:r>
          </w:p>
        </w:tc>
        <w:tc>
          <w:tcPr>
            <w:tcW w:w="180" w:type="dxa"/>
            <w:vAlign w:val="bottom"/>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35,133</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60,608</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69,549</w:t>
            </w:r>
          </w:p>
        </w:tc>
      </w:tr>
      <w:tr>
        <w:trPr>
          <w:trHeight w:val="230"/>
        </w:trPr>
        <w:tc>
          <w:tcPr>
            <w:tcW w:w="5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Income before equity in income of investments in real estate partnerships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92,615</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76,303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193,312</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162,875</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income of investments in real estate partnerships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12,314</w:t>
            </w:r>
          </w:p>
        </w:tc>
        <w:tc>
          <w:tcPr>
            <w:tcW w:w="180" w:type="dxa"/>
            <w:vAlign w:val="bottom"/>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11,869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24,275</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23,785</w:t>
            </w:r>
          </w:p>
        </w:tc>
      </w:tr>
      <w:tr>
        <w:trPr>
          <w:trHeight w:val="223"/>
        </w:trPr>
        <w:tc>
          <w:tcPr>
            <w:tcW w:w="59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104,929</w:t>
            </w:r>
          </w:p>
        </w:tc>
        <w:tc>
          <w:tcPr>
            <w:tcW w:w="1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88,172</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217,587</w:t>
            </w:r>
          </w:p>
        </w:tc>
        <w:tc>
          <w:tcPr>
            <w:tcW w:w="1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186,660</w:t>
            </w:r>
          </w:p>
        </w:tc>
      </w:tr>
      <w:tr>
        <w:trPr>
          <w:trHeight w:val="223"/>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Limited partners' interests in consolidated partnerships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(1,660 )</w:t>
            </w:r>
          </w:p>
        </w:tc>
        <w:tc>
          <w:tcPr>
            <w:tcW w:w="1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(840 )</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(3,902 )</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(1,627 )</w:t>
            </w:r>
          </w:p>
        </w:tc>
      </w:tr>
      <w:tr>
        <w:trPr>
          <w:trHeight w:val="230"/>
        </w:trPr>
        <w:tc>
          <w:tcPr>
            <w:tcW w:w="5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income attributable to the Partnership</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103,269</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87,332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213,685</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185,033</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unit distributions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(3,413 )</w:t>
            </w:r>
          </w:p>
        </w:tc>
        <w:tc>
          <w:tcPr>
            <w:tcW w:w="180" w:type="dxa"/>
            <w:vAlign w:val="bottom"/>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(6,826 )</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5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income attributable to common unit holders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99,856</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87,332</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206,859</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185,033</w:t>
            </w:r>
          </w:p>
        </w:tc>
      </w:tr>
      <w:tr>
        <w:trPr>
          <w:trHeight w:val="216"/>
        </w:trPr>
        <w:tc>
          <w:tcPr>
            <w:tcW w:w="59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30"/>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unit holders: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20"/>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Per common unit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0.54</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0.51</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r>
      <w:tr>
        <w:trPr>
          <w:trHeight w:val="239"/>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Per common unit - 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0.54</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0.51</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-3599815</wp:posOffset>
            </wp:positionV>
            <wp:extent cx="1111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-3599815</wp:posOffset>
            </wp:positionV>
            <wp:extent cx="1028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-3599815</wp:posOffset>
            </wp:positionV>
            <wp:extent cx="1028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-2716530</wp:posOffset>
            </wp:positionV>
            <wp:extent cx="1111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-2716530</wp:posOffset>
            </wp:positionV>
            <wp:extent cx="1028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-2716530</wp:posOffset>
            </wp:positionV>
            <wp:extent cx="1028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-1824990</wp:posOffset>
            </wp:positionV>
            <wp:extent cx="111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-1824990</wp:posOffset>
            </wp:positionV>
            <wp:extent cx="1028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-1824990</wp:posOffset>
            </wp:positionV>
            <wp:extent cx="1028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-1216660</wp:posOffset>
            </wp:positionV>
            <wp:extent cx="1111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-1216660</wp:posOffset>
            </wp:positionV>
            <wp:extent cx="1028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-1216660</wp:posOffset>
            </wp:positionV>
            <wp:extent cx="1028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-607695</wp:posOffset>
            </wp:positionV>
            <wp:extent cx="1111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-590550</wp:posOffset>
            </wp:positionV>
            <wp:extent cx="1111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-607695</wp:posOffset>
            </wp:positionV>
            <wp:extent cx="1028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-590550</wp:posOffset>
            </wp:positionV>
            <wp:extent cx="1028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-607695</wp:posOffset>
            </wp:positionV>
            <wp:extent cx="1028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-590550</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3"/>
        </w:trPr>
        <w:tc>
          <w:tcPr>
            <w:tcW w:w="6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104,929</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88,172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217,587</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186,660</w:t>
            </w:r>
          </w:p>
        </w:tc>
      </w:tr>
      <w:tr>
        <w:trPr>
          <w:trHeight w:val="22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9"/>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Effective portion of change in fair value of derivative instruments: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r>
      <w:tr>
        <w:trPr>
          <w:trHeight w:val="220"/>
        </w:trPr>
        <w:tc>
          <w:tcPr>
            <w:tcW w:w="6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Effective portion of change in fair value of derivative instruments</w:t>
            </w:r>
          </w:p>
        </w:tc>
        <w:tc>
          <w:tcPr>
            <w:tcW w:w="1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3,124</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5,457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11,717</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2,721</w:t>
            </w:r>
          </w:p>
        </w:tc>
      </w:tr>
      <w:tr>
        <w:trPr>
          <w:trHeight w:val="239"/>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Reclassification adjustment of derivative instruments included in net income</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(2,440 )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(1,649 )</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(4,807 )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(3,141 )</w:t>
            </w:r>
          </w:p>
        </w:tc>
      </w:tr>
      <w:tr>
        <w:trPr>
          <w:trHeight w:val="223"/>
        </w:trPr>
        <w:tc>
          <w:tcPr>
            <w:tcW w:w="6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Unrealized (loss) gain on available-for-sale debt securities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r>
      <w:tr>
        <w:trPr>
          <w:trHeight w:val="223"/>
        </w:trPr>
        <w:tc>
          <w:tcPr>
            <w:tcW w:w="62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683</w:t>
            </w: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3,693</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6,790</w:t>
            </w:r>
          </w:p>
        </w:tc>
        <w:tc>
          <w:tcPr>
            <w:tcW w:w="1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(343 )</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105,612</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91,865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224,377</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186,317</w:t>
            </w:r>
          </w:p>
        </w:tc>
      </w:tr>
      <w:tr>
        <w:trPr>
          <w:trHeight w:val="230"/>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r>
      <w:tr>
        <w:trPr>
          <w:trHeight w:val="220"/>
        </w:trPr>
        <w:tc>
          <w:tcPr>
            <w:tcW w:w="6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1,660</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3,902</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1,627</w:t>
            </w:r>
          </w:p>
        </w:tc>
      </w:tr>
      <w:tr>
        <w:trPr>
          <w:trHeight w:val="233"/>
        </w:trPr>
        <w:tc>
          <w:tcPr>
            <w:tcW w:w="62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comprehensive income (loss) attributable to noncontrolling interests</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262</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(125 )</w:t>
            </w:r>
          </w:p>
        </w:tc>
      </w:tr>
      <w:tr>
        <w:trPr>
          <w:trHeight w:val="223"/>
        </w:trPr>
        <w:tc>
          <w:tcPr>
            <w:tcW w:w="62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1,669</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1,102</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4,210</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1,502</w:t>
            </w:r>
          </w:p>
        </w:tc>
      </w:tr>
      <w:tr>
        <w:trPr>
          <w:trHeight w:val="263"/>
        </w:trPr>
        <w:tc>
          <w:tcPr>
            <w:tcW w:w="62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Comprehensive income attributable to the Partnership</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103,943</w:t>
            </w:r>
          </w:p>
        </w:tc>
        <w:tc>
          <w:tcPr>
            <w:tcW w:w="1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90,763</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220,167</w:t>
            </w:r>
          </w:p>
        </w:tc>
        <w:tc>
          <w:tcPr>
            <w:tcW w:w="10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184,815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6309995</wp:posOffset>
            </wp:positionH>
            <wp:positionV relativeFrom="paragraph">
              <wp:posOffset>-2138045</wp:posOffset>
            </wp:positionV>
            <wp:extent cx="9398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-933450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-933450</wp:posOffset>
            </wp:positionV>
            <wp:extent cx="102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-933450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-333375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-333375</wp:posOffset>
            </wp:positionV>
            <wp:extent cx="1028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-333375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1028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1028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20" w:type="dxa"/>
            <w:vAlign w:val="bottom"/>
          </w:tcPr>
          <w:p>
            <w:pPr>
              <w:spacing w:after="0"/>
              <w:rPr>
                <w:sz w:val="12"/>
                <w:szCs w:val="12"/>
                <w:color w:val="auto"/>
              </w:rPr>
            </w:pPr>
          </w:p>
        </w:tc>
        <w:tc>
          <w:tcPr>
            <w:tcW w:w="11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2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120" w:type="dxa"/>
            <w:vAlign w:val="bottom"/>
          </w:tcPr>
          <w:p>
            <w:pPr>
              <w:spacing w:after="0"/>
              <w:rPr>
                <w:sz w:val="12"/>
                <w:szCs w:val="12"/>
                <w:color w:val="auto"/>
              </w:rPr>
            </w:pPr>
          </w:p>
        </w:tc>
        <w:tc>
          <w:tcPr>
            <w:tcW w:w="114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10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and Common</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10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Partnerships</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6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6,053,394</w:t>
            </w:r>
          </w:p>
        </w:tc>
        <w:tc>
          <w:tcPr>
            <w:tcW w:w="1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34,411</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3,927</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6,091,732</w:t>
            </w: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47,703</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6,139,435</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86,782</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87,332</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840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88,172</w:t>
            </w: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 before reclassification</w:t>
            </w:r>
          </w:p>
        </w:tc>
        <w:tc>
          <w:tcPr>
            <w:tcW w:w="1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4,886</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4,918</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424</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5,342</w:t>
            </w: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(1,477 )</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(1,487 )</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(1,649 )</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280" w:type="dxa"/>
            <w:vAlign w:val="bottom"/>
            <w:gridSpan w:val="2"/>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from partners</w:t>
            </w:r>
          </w:p>
        </w:tc>
        <w:tc>
          <w:tcPr>
            <w:tcW w:w="1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1,428</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1,428</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exchangeable operating partnership units</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20,000</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(111,145 )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(702 )</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(111,847 )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(941 )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(112,788 )</w:t>
            </w: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Restricted units issued as a result of restricted stock issued by</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4,105</w:t>
            </w:r>
          </w:p>
        </w:tc>
        <w:tc>
          <w:tcPr>
            <w:tcW w:w="12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4,105</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4,105</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Parent Company, net of amortization</w:t>
            </w:r>
          </w:p>
        </w:tc>
        <w:tc>
          <w:tcPr>
            <w:tcW w:w="14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issued as a result of common stock issued by</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tcPr>
          <w:p>
            <w:pPr>
              <w:spacing w:after="0"/>
              <w:rPr>
                <w:sz w:val="12"/>
                <w:szCs w:val="12"/>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Parent Company, net of issuance costs</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repurchased as a result of common stock</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(249 )</w:t>
            </w:r>
          </w:p>
        </w:tc>
        <w:tc>
          <w:tcPr>
            <w:tcW w:w="12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(249 )</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(249 )</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repurchased by Parent Company, net of issuances</w:t>
            </w:r>
          </w:p>
        </w:tc>
        <w:tc>
          <w:tcPr>
            <w:tcW w:w="14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6,032,877</w:t>
            </w:r>
          </w:p>
        </w:tc>
        <w:tc>
          <w:tcPr>
            <w:tcW w:w="12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54,281</w:t>
            </w:r>
          </w:p>
        </w:tc>
        <w:tc>
          <w:tcPr>
            <w:tcW w:w="12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7,336</w:t>
            </w:r>
          </w:p>
        </w:tc>
        <w:tc>
          <w:tcPr>
            <w:tcW w:w="12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6,094,494</w:t>
            </w:r>
          </w:p>
        </w:tc>
        <w:tc>
          <w:tcPr>
            <w:tcW w:w="1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49,292</w:t>
            </w:r>
          </w:p>
        </w:tc>
        <w:tc>
          <w:tcPr>
            <w:tcW w:w="1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6,143,786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7,015,246</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41,606</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4,465</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7,061,317</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116,702</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7,178,019</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102,668</w:t>
            </w:r>
          </w:p>
        </w:tc>
        <w:tc>
          <w:tcPr>
            <w:tcW w:w="1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601</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103,269</w:t>
            </w: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1,660</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104,929</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income before reclassification</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2,955</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2,973</w:t>
            </w: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150</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3,123</w:t>
            </w:r>
          </w:p>
        </w:tc>
        <w:tc>
          <w:tcPr>
            <w:tcW w:w="0" w:type="dxa"/>
            <w:vAlign w:val="bottom"/>
          </w:tcPr>
          <w:p>
            <w:pPr>
              <w:spacing w:after="0"/>
              <w:rPr>
                <w:sz w:val="1"/>
                <w:szCs w:val="1"/>
                <w:color w:val="auto"/>
              </w:rPr>
            </w:pPr>
          </w:p>
        </w:tc>
      </w:tr>
      <w:tr>
        <w:trPr>
          <w:trHeight w:val="139"/>
        </w:trPr>
        <w:tc>
          <w:tcPr>
            <w:tcW w:w="39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40" w:type="dxa"/>
            <w:vAlign w:val="bottom"/>
          </w:tcPr>
          <w:p>
            <w:pPr>
              <w:spacing w:after="0"/>
              <w:rPr>
                <w:sz w:val="12"/>
                <w:szCs w:val="12"/>
                <w:color w:val="auto"/>
              </w:rPr>
            </w:pPr>
          </w:p>
        </w:tc>
        <w:tc>
          <w:tcPr>
            <w:tcW w:w="9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(2,285 )</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(2,299 )</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(141 )</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(2,440 )</w:t>
            </w:r>
          </w:p>
        </w:tc>
        <w:tc>
          <w:tcPr>
            <w:tcW w:w="0" w:type="dxa"/>
            <w:vAlign w:val="bottom"/>
          </w:tcPr>
          <w:p>
            <w:pPr>
              <w:spacing w:after="0"/>
              <w:rPr>
                <w:sz w:val="1"/>
                <w:szCs w:val="1"/>
                <w:color w:val="auto"/>
              </w:rPr>
            </w:pPr>
          </w:p>
        </w:tc>
      </w:tr>
      <w:tr>
        <w:trPr>
          <w:trHeight w:val="185"/>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 for noncontrolling interests</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(8,694 )</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(8,694 )</w:t>
            </w: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8,694</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from partners</w:t>
            </w:r>
          </w:p>
        </w:tc>
        <w:tc>
          <w:tcPr>
            <w:tcW w:w="1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1,529</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1,529</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(121,959 )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(1,473 )</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(123,432 )</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(1,890 )</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(125,322 )</w:t>
            </w: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unit distributions</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(3,413 )</w:t>
            </w:r>
          </w:p>
        </w:tc>
        <w:tc>
          <w:tcPr>
            <w:tcW w:w="12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(3,413 )</w:t>
            </w:r>
          </w:p>
        </w:tc>
        <w:tc>
          <w:tcPr>
            <w:tcW w:w="1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(3,413 )</w:t>
            </w: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Restricted units issued as a result of restricted stock issued by</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6,561</w:t>
            </w:r>
          </w:p>
        </w:tc>
        <w:tc>
          <w:tcPr>
            <w:tcW w:w="12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6,561</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6,561</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Parent Company, net of amortization</w:t>
            </w:r>
          </w:p>
        </w:tc>
        <w:tc>
          <w:tcPr>
            <w:tcW w:w="14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units issued as a result of preferred stock issued by</w:t>
            </w:r>
          </w:p>
        </w:tc>
        <w:tc>
          <w:tcPr>
            <w:tcW w:w="140" w:type="dxa"/>
            <w:vAlign w:val="bottom"/>
          </w:tcPr>
          <w:p>
            <w:pPr>
              <w:spacing w:after="0"/>
              <w:rPr>
                <w:sz w:val="12"/>
                <w:szCs w:val="12"/>
                <w:color w:val="auto"/>
              </w:rPr>
            </w:pPr>
          </w:p>
        </w:tc>
        <w:tc>
          <w:tcPr>
            <w:tcW w:w="9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Parent Company, net of issuance costs</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repurchased and retired as a result of common</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(200,066 )</w:t>
            </w:r>
          </w:p>
        </w:tc>
        <w:tc>
          <w:tcPr>
            <w:tcW w:w="12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(200,066 )</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(200,066 )</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repurchased and retired by Parent Company</w:t>
            </w:r>
          </w:p>
        </w:tc>
        <w:tc>
          <w:tcPr>
            <w:tcW w:w="14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issued as a result of common stock issued by</w:t>
            </w:r>
          </w:p>
        </w:tc>
        <w:tc>
          <w:tcPr>
            <w:tcW w:w="140" w:type="dxa"/>
            <w:vAlign w:val="bottom"/>
          </w:tcPr>
          <w:p>
            <w:pPr>
              <w:spacing w:after="0"/>
              <w:rPr>
                <w:sz w:val="12"/>
                <w:szCs w:val="12"/>
                <w:color w:val="auto"/>
              </w:rPr>
            </w:pPr>
          </w:p>
        </w:tc>
        <w:tc>
          <w:tcPr>
            <w:tcW w:w="9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Parent Company, net of issuance costs</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repurchased as a result of common stock</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repurchased by Parent Company, net of issuances</w:t>
            </w:r>
          </w:p>
        </w:tc>
        <w:tc>
          <w:tcPr>
            <w:tcW w:w="14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exchanged for common stock of Parent</w:t>
            </w:r>
          </w:p>
        </w:tc>
        <w:tc>
          <w:tcPr>
            <w:tcW w:w="140" w:type="dxa"/>
            <w:vAlign w:val="bottom"/>
          </w:tcPr>
          <w:p>
            <w:pPr>
              <w:spacing w:after="0"/>
              <w:rPr>
                <w:sz w:val="12"/>
                <w:szCs w:val="12"/>
                <w:color w:val="auto"/>
              </w:rPr>
            </w:pPr>
          </w:p>
        </w:tc>
        <w:tc>
          <w:tcPr>
            <w:tcW w:w="9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6,790,593</w:t>
            </w:r>
          </w:p>
        </w:tc>
        <w:tc>
          <w:tcPr>
            <w:tcW w:w="1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40,738</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5,135</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6,836,466</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126,704</w:t>
            </w: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6,963,170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-24765</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-7620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20" w:type="dxa"/>
            <w:vAlign w:val="bottom"/>
          </w:tcPr>
          <w:p>
            <w:pPr>
              <w:spacing w:after="0"/>
              <w:rPr>
                <w:sz w:val="12"/>
                <w:szCs w:val="12"/>
                <w:color w:val="auto"/>
              </w:rPr>
            </w:pPr>
          </w:p>
        </w:tc>
        <w:tc>
          <w:tcPr>
            <w:tcW w:w="11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2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120" w:type="dxa"/>
            <w:vAlign w:val="bottom"/>
          </w:tcPr>
          <w:p>
            <w:pPr>
              <w:spacing w:after="0"/>
              <w:rPr>
                <w:sz w:val="12"/>
                <w:szCs w:val="12"/>
                <w:color w:val="auto"/>
              </w:rPr>
            </w:pPr>
          </w:p>
        </w:tc>
        <w:tc>
          <w:tcPr>
            <w:tcW w:w="114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10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and Common</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Partners'</w:t>
            </w:r>
          </w:p>
        </w:tc>
        <w:tc>
          <w:tcPr>
            <w:tcW w:w="10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Partnerships</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6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6,089,425</w:t>
            </w:r>
          </w:p>
        </w:tc>
        <w:tc>
          <w:tcPr>
            <w:tcW w:w="1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34,489</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7,560</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6,131,474</w:t>
            </w: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46,565</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6,178,039</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184,063</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970</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185,033</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1,627</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186,660</w:t>
            </w: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 before reclassification</w:t>
            </w:r>
          </w:p>
        </w:tc>
        <w:tc>
          <w:tcPr>
            <w:tcW w:w="1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2,570</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2,591</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207</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2,798</w:t>
            </w: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(2,794 )</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(2,809 )</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(332 )</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(3,141 )</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income</w:t>
            </w:r>
          </w:p>
        </w:tc>
        <w:tc>
          <w:tcPr>
            <w:tcW w:w="14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280" w:type="dxa"/>
            <w:vAlign w:val="bottom"/>
            <w:gridSpan w:val="2"/>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from partners</w:t>
            </w:r>
          </w:p>
        </w:tc>
        <w:tc>
          <w:tcPr>
            <w:tcW w:w="1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3,205</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3,205</w:t>
            </w: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exchangeable operating partnership units</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20,000</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(222,492 )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(1,184 )</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(223,676 )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(1,980 )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(225,656 )</w:t>
            </w: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Restricted units issued as a result of restricted stock issued by</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8,924</w:t>
            </w:r>
          </w:p>
        </w:tc>
        <w:tc>
          <w:tcPr>
            <w:tcW w:w="12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8,924</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8,924</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Parent Company, net of amortization</w:t>
            </w:r>
          </w:p>
        </w:tc>
        <w:tc>
          <w:tcPr>
            <w:tcW w:w="14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repurchased and retired as a result of common</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(20,006 )</w:t>
            </w:r>
          </w:p>
        </w:tc>
        <w:tc>
          <w:tcPr>
            <w:tcW w:w="120" w:type="dxa"/>
            <w:vAlign w:val="bottom"/>
          </w:tcPr>
          <w:p>
            <w:pPr>
              <w:spacing w:after="0"/>
              <w:rPr>
                <w:sz w:val="12"/>
                <w:szCs w:val="12"/>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(20,006 )</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(20,006 )</w:t>
            </w: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repurchased and retired by Parent Company</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issued as a result of common stock issued by</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Parent Company, net of issuance costs</w:t>
            </w:r>
          </w:p>
        </w:tc>
        <w:tc>
          <w:tcPr>
            <w:tcW w:w="14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repurchased as a result of common stock</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(7,027 )</w:t>
            </w:r>
          </w:p>
        </w:tc>
        <w:tc>
          <w:tcPr>
            <w:tcW w:w="120" w:type="dxa"/>
            <w:vAlign w:val="bottom"/>
          </w:tcPr>
          <w:p>
            <w:pPr>
              <w:spacing w:after="0"/>
              <w:rPr>
                <w:sz w:val="12"/>
                <w:szCs w:val="12"/>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(7,027 )</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(7,027 )</w:t>
            </w: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repurchased by Parent Company, net of issuances</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6,032,877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54,281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7,336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6,094,494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49,292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6,143,786</w:t>
            </w:r>
          </w:p>
        </w:tc>
        <w:tc>
          <w:tcPr>
            <w:tcW w:w="0" w:type="dxa"/>
            <w:vAlign w:val="bottom"/>
          </w:tcPr>
          <w:p>
            <w:pPr>
              <w:spacing w:after="0"/>
              <w:rPr>
                <w:sz w:val="1"/>
                <w:szCs w:val="1"/>
                <w:color w:val="auto"/>
              </w:rPr>
            </w:pPr>
          </w:p>
        </w:tc>
      </w:tr>
      <w:tr>
        <w:trPr>
          <w:trHeight w:val="33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7,033,995</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42,195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(1,308 )</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7,074,882</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117,053</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7,191,935</w:t>
            </w: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212,442</w:t>
            </w:r>
          </w:p>
        </w:tc>
        <w:tc>
          <w:tcPr>
            <w:tcW w:w="1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1,243</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213,685</w:t>
            </w: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3,902</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217,587</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income before reclassification</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10,942</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11,008</w:t>
            </w: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589</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11,597</w:t>
            </w:r>
          </w:p>
        </w:tc>
        <w:tc>
          <w:tcPr>
            <w:tcW w:w="0" w:type="dxa"/>
            <w:vAlign w:val="bottom"/>
          </w:tcPr>
          <w:p>
            <w:pPr>
              <w:spacing w:after="0"/>
              <w:rPr>
                <w:sz w:val="1"/>
                <w:szCs w:val="1"/>
                <w:color w:val="auto"/>
              </w:rPr>
            </w:pPr>
          </w:p>
        </w:tc>
      </w:tr>
      <w:tr>
        <w:trPr>
          <w:trHeight w:val="139"/>
        </w:trPr>
        <w:tc>
          <w:tcPr>
            <w:tcW w:w="39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40" w:type="dxa"/>
            <w:vAlign w:val="bottom"/>
          </w:tcPr>
          <w:p>
            <w:pPr>
              <w:spacing w:after="0"/>
              <w:rPr>
                <w:sz w:val="12"/>
                <w:szCs w:val="12"/>
                <w:color w:val="auto"/>
              </w:rPr>
            </w:pPr>
          </w:p>
        </w:tc>
        <w:tc>
          <w:tcPr>
            <w:tcW w:w="9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(4,499 )</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(4,526 )</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(281 )</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(4,807 )</w:t>
            </w:r>
          </w:p>
        </w:tc>
        <w:tc>
          <w:tcPr>
            <w:tcW w:w="0" w:type="dxa"/>
            <w:vAlign w:val="bottom"/>
          </w:tcPr>
          <w:p>
            <w:pPr>
              <w:spacing w:after="0"/>
              <w:rPr>
                <w:sz w:val="1"/>
                <w:szCs w:val="1"/>
                <w:color w:val="auto"/>
              </w:rPr>
            </w:pPr>
          </w:p>
        </w:tc>
      </w:tr>
      <w:tr>
        <w:trPr>
          <w:trHeight w:val="185"/>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 for noncontrolling interests</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(8,694 )</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(8,694 )</w:t>
            </w: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8,694</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from partners</w:t>
            </w:r>
          </w:p>
        </w:tc>
        <w:tc>
          <w:tcPr>
            <w:tcW w:w="1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3,001</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3,001</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(245,754 )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(2,210 )</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(247,964 )</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(6,254 )</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(254,218 )</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unit distributions</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(6,826 )</w:t>
            </w:r>
          </w:p>
        </w:tc>
        <w:tc>
          <w:tcPr>
            <w:tcW w:w="12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(6,826 )</w:t>
            </w:r>
          </w:p>
        </w:tc>
        <w:tc>
          <w:tcPr>
            <w:tcW w:w="1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(6,826 )</w:t>
            </w: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Restricted units issued as a result of restricted stock issued by</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13,137</w:t>
            </w:r>
          </w:p>
        </w:tc>
        <w:tc>
          <w:tcPr>
            <w:tcW w:w="12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13,137</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13,137</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Parent Company, net of amortization</w:t>
            </w:r>
          </w:p>
        </w:tc>
        <w:tc>
          <w:tcPr>
            <w:tcW w:w="14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repurchased and retired as a result of common</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(200,066 )</w:t>
            </w:r>
          </w:p>
        </w:tc>
        <w:tc>
          <w:tcPr>
            <w:tcW w:w="120" w:type="dxa"/>
            <w:vAlign w:val="bottom"/>
          </w:tcPr>
          <w:p>
            <w:pPr>
              <w:spacing w:after="0"/>
              <w:rPr>
                <w:sz w:val="12"/>
                <w:szCs w:val="12"/>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(200,066 )</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(200,066 )</w:t>
            </w: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repurchased and retired by Parent Company</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repurchased as a result of common stock</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(8,170 )</w:t>
            </w:r>
          </w:p>
        </w:tc>
        <w:tc>
          <w:tcPr>
            <w:tcW w:w="12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(8,170 )</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(8,170 )</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repurchased by Parent Company, net of issuances</w:t>
            </w:r>
          </w:p>
        </w:tc>
        <w:tc>
          <w:tcPr>
            <w:tcW w:w="14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Exchangeable operating partnership units converted to common</w:t>
            </w:r>
          </w:p>
        </w:tc>
        <w:tc>
          <w:tcPr>
            <w:tcW w:w="140" w:type="dxa"/>
            <w:vAlign w:val="bottom"/>
          </w:tcPr>
          <w:p>
            <w:pPr>
              <w:spacing w:after="0"/>
              <w:rPr>
                <w:sz w:val="12"/>
                <w:szCs w:val="12"/>
                <w:color w:val="auto"/>
              </w:rPr>
            </w:pPr>
          </w:p>
        </w:tc>
        <w:tc>
          <w:tcPr>
            <w:tcW w:w="9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vMerge w:val="restart"/>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(529 )</w:t>
            </w:r>
          </w:p>
        </w:tc>
        <w:tc>
          <w:tcPr>
            <w:tcW w:w="12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of Parent Company</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6,790,593</w:t>
            </w:r>
          </w:p>
        </w:tc>
        <w:tc>
          <w:tcPr>
            <w:tcW w:w="1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40,738</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5,135</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6,836,466</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126,704</w:t>
            </w: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6,963,170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-2193925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-2176780</wp:posOffset>
            </wp:positionV>
            <wp:extent cx="774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-2313940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-2193925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-2176780</wp:posOffset>
            </wp:positionV>
            <wp:extent cx="774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-2313940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-2193925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-2176780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-2313940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-2193925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-2176780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-2313940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-2193925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-2176780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-2313940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-25400</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-8255</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-25400</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-8255</wp:posOffset>
            </wp:positionV>
            <wp:extent cx="77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70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217,587</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186,660</w:t>
            </w:r>
          </w:p>
        </w:tc>
        <w:tc>
          <w:tcPr>
            <w:tcW w:w="100" w:type="dxa"/>
            <w:vAlign w:val="bottom"/>
          </w:tcPr>
          <w:p>
            <w:pPr>
              <w:spacing w:after="0"/>
              <w:rPr>
                <w:sz w:val="19"/>
                <w:szCs w:val="19"/>
                <w:color w:val="auto"/>
              </w:rPr>
            </w:pPr>
          </w:p>
        </w:tc>
      </w:tr>
      <w:tr>
        <w:trPr>
          <w:trHeight w:val="239"/>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198,553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165,868</w:t>
            </w:r>
          </w:p>
        </w:tc>
        <w:tc>
          <w:tcPr>
            <w:tcW w:w="100" w:type="dxa"/>
            <w:vAlign w:val="bottom"/>
          </w:tcPr>
          <w:p>
            <w:pPr>
              <w:spacing w:after="0"/>
              <w:rPr>
                <w:sz w:val="19"/>
                <w:szCs w:val="19"/>
                <w:color w:val="auto"/>
              </w:rPr>
            </w:pP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Amortization of deferred loan costs and debt premiums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00" w:type="dxa"/>
            <w:vAlign w:val="bottom"/>
            <w:shd w:val="clear" w:color="auto" w:fill="CFF0FC"/>
          </w:tcPr>
          <w:p>
            <w:pPr>
              <w:spacing w:after="0"/>
              <w:rPr>
                <w:sz w:val="20"/>
                <w:szCs w:val="20"/>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and amortization of above and below market lease intangibles, net</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(12,193 )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(13,842 )</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Stock-based compensation, net of capitalization</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12,539</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8,854</w:t>
            </w:r>
          </w:p>
        </w:tc>
        <w:tc>
          <w:tcPr>
            <w:tcW w:w="100" w:type="dxa"/>
            <w:vAlign w:val="bottom"/>
            <w:shd w:val="clear" w:color="auto" w:fill="CFF0FC"/>
          </w:tcPr>
          <w:p>
            <w:pPr>
              <w:spacing w:after="0"/>
              <w:rPr>
                <w:sz w:val="20"/>
                <w:szCs w:val="20"/>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Equity in income of investments in real estate partnerships</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(24,275 )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(23,785 )</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(22,484 )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(331 )</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40" w:type="dxa"/>
            <w:vAlign w:val="bottom"/>
          </w:tcPr>
          <w:p>
            <w:pPr>
              <w:spacing w:after="0"/>
              <w:rPr>
                <w:sz w:val="19"/>
                <w:szCs w:val="19"/>
                <w:color w:val="auto"/>
              </w:rPr>
            </w:pP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Distribution of earnings from investments in real estate partnerships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32,440</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31,869</w:t>
            </w:r>
          </w:p>
        </w:tc>
        <w:tc>
          <w:tcPr>
            <w:tcW w:w="100" w:type="dxa"/>
            <w:vAlign w:val="bottom"/>
            <w:shd w:val="clear" w:color="auto" w:fill="CFF0FC"/>
          </w:tcPr>
          <w:p>
            <w:pPr>
              <w:spacing w:after="0"/>
              <w:rPr>
                <w:sz w:val="20"/>
                <w:szCs w:val="20"/>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compensation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00" w:type="dxa"/>
            <w:vAlign w:val="bottom"/>
          </w:tcPr>
          <w:p>
            <w:pPr>
              <w:spacing w:after="0"/>
              <w:rPr>
                <w:sz w:val="19"/>
                <w:szCs w:val="19"/>
                <w:color w:val="auto"/>
              </w:rPr>
            </w:pP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Realized and unrealized gain on investments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(3,013 )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(3,376 )</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0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(3,565 )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(14,549 )</w:t>
            </w:r>
          </w:p>
        </w:tc>
      </w:tr>
      <w:tr>
        <w:trPr>
          <w:trHeight w:val="220"/>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Deferred leasing costs</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(6,311 )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(3,591 )</w:t>
            </w:r>
          </w:p>
        </w:tc>
      </w:tr>
      <w:tr>
        <w:trPr>
          <w:trHeight w:val="239"/>
        </w:trPr>
        <w:tc>
          <w:tcPr>
            <w:tcW w:w="70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(13,793 )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(17,951 )</w:t>
            </w:r>
          </w:p>
        </w:tc>
      </w:tr>
      <w:tr>
        <w:trPr>
          <w:trHeight w:val="220"/>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(9,776 )</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6,091</w:t>
            </w:r>
          </w:p>
        </w:tc>
        <w:tc>
          <w:tcPr>
            <w:tcW w:w="100" w:type="dxa"/>
            <w:vAlign w:val="bottom"/>
          </w:tcPr>
          <w:p>
            <w:pPr>
              <w:spacing w:after="0"/>
              <w:rPr>
                <w:sz w:val="19"/>
                <w:szCs w:val="19"/>
                <w:color w:val="auto"/>
              </w:rPr>
            </w:pPr>
          </w:p>
        </w:tc>
      </w:tr>
      <w:tr>
        <w:trPr>
          <w:trHeight w:val="233"/>
        </w:trPr>
        <w:tc>
          <w:tcPr>
            <w:tcW w:w="70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Tenants' security, escrow deposits and prepaid rent</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(3,602 )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6,837</w:t>
            </w:r>
          </w:p>
        </w:tc>
        <w:tc>
          <w:tcPr>
            <w:tcW w:w="100" w:type="dxa"/>
            <w:vAlign w:val="bottom"/>
            <w:shd w:val="clear" w:color="auto" w:fill="CFF0FC"/>
          </w:tcPr>
          <w:p>
            <w:pPr>
              <w:spacing w:after="0"/>
              <w:rPr>
                <w:sz w:val="20"/>
                <w:szCs w:val="20"/>
                <w:color w:val="auto"/>
              </w:rPr>
            </w:pPr>
          </w:p>
        </w:tc>
      </w:tr>
      <w:tr>
        <w:trPr>
          <w:trHeight w:val="223"/>
        </w:trPr>
        <w:tc>
          <w:tcPr>
            <w:tcW w:w="7060" w:type="dxa"/>
            <w:vAlign w:val="bottom"/>
            <w:tcBorders>
              <w:top w:val="single" w:sz="8" w:color="CFF0FC"/>
            </w:tcBorders>
          </w:tcPr>
          <w:p>
            <w:pPr>
              <w:ind w:left="7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371,214</w:t>
            </w:r>
          </w:p>
        </w:tc>
        <w:tc>
          <w:tcPr>
            <w:tcW w:w="240" w:type="dxa"/>
            <w:vAlign w:val="bottom"/>
            <w:tcBorders>
              <w:top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334,677</w:t>
            </w:r>
          </w:p>
        </w:tc>
        <w:tc>
          <w:tcPr>
            <w:tcW w:w="100" w:type="dxa"/>
            <w:vAlign w:val="bottom"/>
            <w:tcBorders>
              <w:top w:val="single" w:sz="8" w:color="CFF0FC"/>
            </w:tcBorders>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of operating real estate</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(45,208 )</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Real estate development and capital improvements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(141,775 )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(100,114 )</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real estate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92,159</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tcPr>
          <w:p>
            <w:pPr>
              <w:spacing w:after="0"/>
              <w:rPr>
                <w:sz w:val="19"/>
                <w:szCs w:val="19"/>
                <w:color w:val="auto"/>
              </w:rPr>
            </w:pP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property insurance casualty claims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4,638</w:t>
            </w:r>
          </w:p>
        </w:tc>
        <w:tc>
          <w:tcPr>
            <w:tcW w:w="2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Issuance of notes receivable</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(32,651 )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(4,000 )</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Collection of notes receivable</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2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(8,582 )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(3,109 )</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Return of capital from investments in real estate partnerships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10,038</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100" w:type="dxa"/>
            <w:vAlign w:val="bottom"/>
            <w:shd w:val="clear" w:color="auto" w:fill="CFF0FC"/>
          </w:tcPr>
          <w:p>
            <w:pPr>
              <w:spacing w:after="0"/>
              <w:rPr>
                <w:sz w:val="20"/>
                <w:szCs w:val="20"/>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Dividends on investment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9"/>
                <w:szCs w:val="19"/>
                <w:color w:val="auto"/>
              </w:rPr>
            </w:pP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Acquisition of investment securities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(95,519 )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(2,748 )</w:t>
            </w:r>
          </w:p>
        </w:tc>
      </w:tr>
      <w:tr>
        <w:trPr>
          <w:trHeight w:val="223"/>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investment securities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99,490</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10,751</w:t>
            </w:r>
          </w:p>
        </w:tc>
        <w:tc>
          <w:tcPr>
            <w:tcW w:w="100" w:type="dxa"/>
            <w:vAlign w:val="bottom"/>
          </w:tcPr>
          <w:p>
            <w:pPr>
              <w:spacing w:after="0"/>
              <w:rPr>
                <w:sz w:val="19"/>
                <w:szCs w:val="19"/>
                <w:color w:val="auto"/>
              </w:rPr>
            </w:pPr>
          </w:p>
        </w:tc>
      </w:tr>
      <w:tr>
        <w:trPr>
          <w:trHeight w:val="223"/>
        </w:trPr>
        <w:tc>
          <w:tcPr>
            <w:tcW w:w="70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(114,143 )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(91,411 )</w:t>
            </w:r>
          </w:p>
        </w:tc>
      </w:tr>
      <w:tr>
        <w:trPr>
          <w:trHeight w:val="220"/>
        </w:trPr>
        <w:tc>
          <w:tcPr>
            <w:tcW w:w="7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proceeds from common stock issuance</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Repurchase of common shares in conjunction with equity award plans</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(8,776 )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(7,621 )</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Common units repurchased through share repurchase program</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(200,066 )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(20,006 )</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treasury stock</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shd w:val="clear" w:color="auto" w:fill="CFF0FC"/>
          </w:tcPr>
          <w:p>
            <w:pPr>
              <w:spacing w:after="0"/>
              <w:rPr>
                <w:sz w:val="20"/>
                <w:szCs w:val="20"/>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Distributions to and redemptions of non-controlling interests</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(6,254 )</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Distributions to partners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(248,617 )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(223,239 )</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Dividends paid to preferred unit holders</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(6,825 )</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Repayment of fixed rate unsecured notes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(250,000 )</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issuance of fixed rate unsecured notes, net of debt discount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398,468</w:t>
            </w:r>
          </w:p>
        </w:tc>
        <w:tc>
          <w:tcPr>
            <w:tcW w:w="240" w:type="dxa"/>
            <w:vAlign w:val="bottom"/>
          </w:tcPr>
          <w:p>
            <w:pPr>
              <w:spacing w:after="0"/>
              <w:rPr>
                <w:sz w:val="19"/>
                <w:szCs w:val="19"/>
                <w:color w:val="auto"/>
              </w:rPr>
            </w:pP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unsecured credit facilities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422,419</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235,000</w:t>
            </w:r>
          </w:p>
        </w:tc>
        <w:tc>
          <w:tcPr>
            <w:tcW w:w="100" w:type="dxa"/>
            <w:vAlign w:val="bottom"/>
            <w:shd w:val="clear" w:color="auto" w:fill="CFF0FC"/>
          </w:tcPr>
          <w:p>
            <w:pPr>
              <w:spacing w:after="0"/>
              <w:rPr>
                <w:sz w:val="20"/>
                <w:szCs w:val="20"/>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 of unsecured credit facilities</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(264,419 )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(235,000 )</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notes payable</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15,500</w:t>
            </w:r>
          </w:p>
        </w:tc>
        <w:tc>
          <w:tcPr>
            <w:tcW w:w="100" w:type="dxa"/>
            <w:vAlign w:val="bottom"/>
            <w:shd w:val="clear" w:color="auto" w:fill="CFF0FC"/>
          </w:tcPr>
          <w:p>
            <w:pPr>
              <w:spacing w:after="0"/>
              <w:rPr>
                <w:sz w:val="20"/>
                <w:szCs w:val="20"/>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 of notes payable</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(88,069 )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(29,616 )</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Scheduled principal payments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(6,121 )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(5,054 )</w:t>
            </w:r>
          </w:p>
        </w:tc>
      </w:tr>
      <w:tr>
        <w:trPr>
          <w:trHeight w:val="223"/>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 of loan costs</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(13,453 )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(141 )</w:t>
            </w:r>
          </w:p>
        </w:tc>
      </w:tr>
      <w:tr>
        <w:trPr>
          <w:trHeight w:val="223"/>
        </w:trPr>
        <w:tc>
          <w:tcPr>
            <w:tcW w:w="7060" w:type="dxa"/>
            <w:vAlign w:val="bottom"/>
            <w:tcBorders>
              <w:top w:val="single" w:sz="8" w:color="CFF0FC"/>
              <w:bottom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(268,502</w:t>
            </w:r>
          </w:p>
        </w:tc>
        <w:tc>
          <w:tcPr>
            <w:tcW w:w="240" w:type="dxa"/>
            <w:vAlign w:val="bottom"/>
            <w:tcBorders>
              <w:top w:val="single" w:sz="8" w:color="CFF0FC"/>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(268,934</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0"/>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decrease in cash and cash equivalents and restricted cash</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(11,431 )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(25,668 )</w:t>
            </w:r>
          </w:p>
        </w:tc>
      </w:tr>
      <w:tr>
        <w:trPr>
          <w:trHeight w:val="233"/>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the period</w:t>
            </w: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91,354</w:t>
            </w:r>
          </w:p>
        </w:tc>
        <w:tc>
          <w:tcPr>
            <w:tcW w:w="2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the period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79,923</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43,108</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-5185410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-5185410</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-3119755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-3119755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-646430</wp:posOffset>
            </wp:positionV>
            <wp:extent cx="93980" cy="1879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-646430</wp:posOffset>
            </wp:positionV>
            <wp:extent cx="85725" cy="1879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18796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-179070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008" w:right="899" w:bottom="515" w:gutter="0" w:footer="0" w:header="0"/>
        </w:sectPr>
      </w:pPr>
    </w:p>
    <w:bookmarkStart w:id="17" w:name="page18"/>
    <w:bookmarkEnd w:id="17"/>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7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6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interest (net of capitalized interest of $3,176 and $2,534 in 2024 and 2023, respectively)</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77,408</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71,091</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6,405</w:t>
            </w:r>
          </w:p>
        </w:tc>
        <w:tc>
          <w:tcPr>
            <w:tcW w:w="1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07"/>
        </w:trPr>
        <w:tc>
          <w:tcPr>
            <w:tcW w:w="7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Supplemental disclosure of non-cash transactions:</w:t>
            </w: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Common and Preferred stock, and exchangeable operating partnership dividends declared</w:t>
            </w:r>
          </w:p>
        </w:tc>
        <w:tc>
          <w:tcPr>
            <w:tcW w:w="340" w:type="dxa"/>
            <w:vAlign w:val="bottom"/>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125,709</w:t>
            </w:r>
          </w:p>
        </w:tc>
        <w:tc>
          <w:tcPr>
            <w:tcW w:w="1460" w:type="dxa"/>
            <w:vAlign w:val="bottom"/>
            <w:gridSpan w:val="2"/>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111,847</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but not paid</w:t>
            </w:r>
          </w:p>
        </w:tc>
        <w:tc>
          <w:tcPr>
            <w:tcW w:w="340" w:type="dxa"/>
            <w:vAlign w:val="bottom"/>
            <w:vMerge w:val="continue"/>
            <w:shd w:val="clear" w:color="auto" w:fill="CFF0FC"/>
          </w:tcPr>
          <w:p>
            <w:pPr>
              <w:spacing w:after="0"/>
              <w:rPr>
                <w:sz w:val="19"/>
                <w:szCs w:val="19"/>
                <w:color w:val="auto"/>
              </w:rPr>
            </w:pPr>
          </w:p>
        </w:tc>
        <w:tc>
          <w:tcPr>
            <w:tcW w:w="1240" w:type="dxa"/>
            <w:vAlign w:val="bottom"/>
            <w:vMerge w:val="continue"/>
            <w:shd w:val="clear" w:color="auto" w:fill="CFF0FC"/>
          </w:tcPr>
          <w:p>
            <w:pPr>
              <w:spacing w:after="0"/>
              <w:rPr>
                <w:sz w:val="19"/>
                <w:szCs w:val="19"/>
                <w:color w:val="auto"/>
              </w:rPr>
            </w:pPr>
          </w:p>
        </w:tc>
        <w:tc>
          <w:tcPr>
            <w:tcW w:w="14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0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Sale of leased asset in exchange for net investment in sales-type lease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2,808</w:t>
            </w:r>
          </w:p>
        </w:tc>
        <w:tc>
          <w:tcPr>
            <w:tcW w:w="140" w:type="dxa"/>
            <w:vAlign w:val="bottom"/>
            <w:tcBorders>
              <w:top w:val="single" w:sz="8" w:color="CFF0FC"/>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Common stock issued by Parent Company for partnership units exchanged</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529</w:t>
            </w: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Reallocation of equity upon acqusition of non-controlling interest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8,694</w:t>
            </w:r>
          </w:p>
        </w:tc>
        <w:tc>
          <w:tcPr>
            <w:tcW w:w="140" w:type="dxa"/>
            <w:vAlign w:val="bottom"/>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Exchangeable operating partnership units issued for acquisition of real estate</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210"/>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accrued capital expenditures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3,094</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9,011</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Common stock issued by Parent Company for dividend reinvestment plan</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324</w:t>
            </w: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0"/>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capitalized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880</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Contributions to investments in real estate partnerships</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17,984</w:t>
            </w: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Contributions from limited partners in consolidated partnerships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Common stock issued for dividend reinvestment in trust</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604</w:t>
            </w: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210"/>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Contribution of stock awards into trust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1,659</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1,844</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Distribution of stock held in trust</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476</w:t>
            </w: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2,245</w:t>
            </w:r>
          </w:p>
        </w:tc>
        <w:tc>
          <w:tcPr>
            <w:tcW w:w="0" w:type="dxa"/>
            <w:vAlign w:val="bottom"/>
          </w:tcPr>
          <w:p>
            <w:pPr>
              <w:spacing w:after="0"/>
              <w:rPr>
                <w:sz w:val="1"/>
                <w:szCs w:val="1"/>
                <w:color w:val="auto"/>
              </w:rPr>
            </w:pPr>
          </w:p>
        </w:tc>
      </w:tr>
      <w:tr>
        <w:trPr>
          <w:trHeight w:val="210"/>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securities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-2673985</wp:posOffset>
            </wp:positionV>
            <wp:extent cx="857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-2656840</wp:posOffset>
            </wp:positionV>
            <wp:extent cx="857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-2253615</wp:posOffset>
            </wp:positionV>
            <wp:extent cx="857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-2236470</wp:posOffset>
            </wp:positionV>
            <wp:extent cx="857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-1910715</wp:posOffset>
            </wp:positionV>
            <wp:extent cx="857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-1893570</wp:posOffset>
            </wp:positionV>
            <wp:extent cx="857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-1567815</wp:posOffset>
            </wp:positionV>
            <wp:extent cx="857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-1550670</wp:posOffset>
            </wp:positionV>
            <wp:extent cx="857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-1224915</wp:posOffset>
            </wp:positionV>
            <wp:extent cx="857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-1207770</wp:posOffset>
            </wp:positionV>
            <wp:extent cx="857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-882015</wp:posOffset>
            </wp:positionV>
            <wp:extent cx="857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-864870</wp:posOffset>
            </wp:positionV>
            <wp:extent cx="857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-539115</wp:posOffset>
            </wp:positionV>
            <wp:extent cx="857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-521970</wp:posOffset>
            </wp:positionV>
            <wp:extent cx="857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-196215</wp:posOffset>
            </wp:positionV>
            <wp:extent cx="857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-179070</wp:posOffset>
            </wp:positionV>
            <wp:extent cx="857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008" w:right="899" w:bottom="1440" w:gutter="0" w:footer="0" w:header="0"/>
        </w:sectPr>
      </w:pPr>
    </w:p>
    <w:bookmarkStart w:id="18" w:name="page19"/>
    <w:bookmarkEnd w:id="18"/>
    <w:p>
      <w:pPr>
        <w:jc w:val="center"/>
        <w:ind w:left="360" w:right="266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June 30, 2024</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hanging="339"/>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Significant Accounting Policies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71" w:lineRule="exact"/>
        <w:rPr>
          <w:sz w:val="20"/>
          <w:szCs w:val="20"/>
          <w:color w:val="auto"/>
        </w:rPr>
      </w:pPr>
    </w:p>
    <w:p>
      <w:pPr>
        <w:ind w:left="360" w:right="380"/>
        <w:spacing w:after="0" w:line="258" w:lineRule="auto"/>
        <w:rPr>
          <w:sz w:val="20"/>
          <w:szCs w:val="20"/>
          <w:color w:val="auto"/>
        </w:rPr>
      </w:pPr>
      <w:r>
        <w:rPr>
          <w:rFonts w:ascii="Times New Roman" w:cs="Times New Roman" w:eastAsia="Times New Roman" w:hAnsi="Times New Roman"/>
          <w:sz w:val="18"/>
          <w:szCs w:val="18"/>
          <w:color w:val="auto"/>
        </w:rPr>
        <w:t>Regency Centers Corporation (the "Parent Company") began its operations as a REIT in 1993 and is the general partner of Regency Centers, L.P. (the "Operating Partnership"). The Parent Company primarily engages in the ownership, management, leasing, acquisition, development, and redevelopment of shopping centers through the Operating Partnership and has no other assets other than through its investment in the Operating Partnership. Its only liabilities are $200 million of unsecured private placement notes, which are co-issued and guaranteed by the Operating Partnership. The Parent Company guarantees all of the unsecured debt of the Operating Partnership.</w:t>
      </w:r>
    </w:p>
    <w:p>
      <w:pPr>
        <w:spacing w:after="0" w:line="129" w:lineRule="exact"/>
        <w:rPr>
          <w:sz w:val="20"/>
          <w:szCs w:val="20"/>
          <w:color w:val="auto"/>
        </w:rPr>
      </w:pPr>
    </w:p>
    <w:p>
      <w:pPr>
        <w:ind w:left="360" w:right="200"/>
        <w:spacing w:after="0" w:line="266" w:lineRule="auto"/>
        <w:rPr>
          <w:sz w:val="20"/>
          <w:szCs w:val="20"/>
          <w:color w:val="auto"/>
        </w:rPr>
      </w:pPr>
      <w:r>
        <w:rPr>
          <w:rFonts w:ascii="Times New Roman" w:cs="Times New Roman" w:eastAsia="Times New Roman" w:hAnsi="Times New Roman"/>
          <w:sz w:val="18"/>
          <w:szCs w:val="18"/>
          <w:color w:val="auto"/>
        </w:rPr>
        <w:t>As of June 30, 2024, the Parent Company, the Operating Partnership, and their controlled subsidiaries on a consolidated basis owned 380 properties and held partial interests in an additional 101 properties through unconsolidated Investments in real estate partnerships (also referred to as "joint ventures" or "investment partnerships").</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71" w:lineRule="exact"/>
        <w:rPr>
          <w:sz w:val="20"/>
          <w:szCs w:val="20"/>
          <w:color w:val="auto"/>
        </w:rPr>
      </w:pPr>
    </w:p>
    <w:p>
      <w:pPr>
        <w:ind w:left="360"/>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Report should be read in conjunction with the Company's Annual Report on Form 10-K for the year ended December 31, 2023, as certain disclosures in this Report that would duplicate those included in such Annual Report on Form 10-K are not included in these consolidated financial statements. The consolidated financial statements reflect all adjustments which are, in the opinion of management, necessary to fairly state the results for the interim periods presented. These adjustments are considered to be of a normal recurring nature.</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Acquisition of Urstadt Biddle Properties Inc.</w:t>
      </w:r>
    </w:p>
    <w:p>
      <w:pPr>
        <w:spacing w:after="0" w:line="171" w:lineRule="exact"/>
        <w:rPr>
          <w:sz w:val="20"/>
          <w:szCs w:val="20"/>
          <w:color w:val="auto"/>
        </w:rPr>
      </w:pPr>
    </w:p>
    <w:p>
      <w:pPr>
        <w:ind w:left="360" w:right="40"/>
        <w:spacing w:after="0" w:line="256" w:lineRule="auto"/>
        <w:rPr>
          <w:sz w:val="20"/>
          <w:szCs w:val="20"/>
          <w:color w:val="auto"/>
        </w:rPr>
      </w:pPr>
      <w:r>
        <w:rPr>
          <w:rFonts w:ascii="Times New Roman" w:cs="Times New Roman" w:eastAsia="Times New Roman" w:hAnsi="Times New Roman"/>
          <w:sz w:val="18"/>
          <w:szCs w:val="18"/>
          <w:color w:val="212529"/>
        </w:rPr>
        <w:t xml:space="preserve">On August 18, 2023, the Company acquired </w:t>
      </w:r>
      <w:r>
        <w:rPr>
          <w:rFonts w:ascii="Times New Roman" w:cs="Times New Roman" w:eastAsia="Times New Roman" w:hAnsi="Times New Roman"/>
          <w:sz w:val="18"/>
          <w:szCs w:val="18"/>
          <w:color w:val="000000"/>
        </w:rPr>
        <w:t>Urstadt Biddle Properties Inc. ("UBP") which</w:t>
      </w:r>
      <w:r>
        <w:rPr>
          <w:rFonts w:ascii="Times New Roman" w:cs="Times New Roman" w:eastAsia="Times New Roman" w:hAnsi="Times New Roman"/>
          <w:sz w:val="18"/>
          <w:szCs w:val="18"/>
          <w:color w:val="212529"/>
        </w:rPr>
        <w:t xml:space="preserve"> was accounted for as an asset acquisitio</w:t>
      </w:r>
      <w:r>
        <w:rPr>
          <w:rFonts w:ascii="Times New Roman" w:cs="Times New Roman" w:eastAsia="Times New Roman" w:hAnsi="Times New Roman"/>
          <w:sz w:val="18"/>
          <w:szCs w:val="18"/>
          <w:color w:val="000000"/>
        </w:rPr>
        <w:t>n. Under the terms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of the merger agreement, each share of Urstadt Biddle common stock and Urstadt Biddle Class A common stock was converted into 0.347 of a share of common stock of the Parent Company. Additionally, each share of UBP’s 6.25% Series H Cumulative Redeemable Preferred Stock and 5.875% Series K Cumulative Redeemable Preferred Stock was converted into one share of newly issued Parent Company 6.25% Series A Cumulative Redeemable Preferred Stock (“Parent Company Series A preferred stock”) and 5.875% Series B Cumulative Redeemable Preferred Stock (“Parent Company Series B preferred stock”), respectively (collectively referred to as the “Preferred Stock”).</w:t>
      </w:r>
    </w:p>
    <w:p>
      <w:pPr>
        <w:spacing w:after="0" w:line="133" w:lineRule="exact"/>
        <w:rPr>
          <w:sz w:val="20"/>
          <w:szCs w:val="20"/>
          <w:color w:val="auto"/>
        </w:rPr>
      </w:pPr>
    </w:p>
    <w:p>
      <w:pPr>
        <w:ind w:left="360" w:right="140"/>
        <w:spacing w:after="0" w:line="266" w:lineRule="auto"/>
        <w:rPr>
          <w:sz w:val="20"/>
          <w:szCs w:val="20"/>
          <w:color w:val="auto"/>
        </w:rPr>
      </w:pPr>
      <w:r>
        <w:rPr>
          <w:rFonts w:ascii="Times New Roman" w:cs="Times New Roman" w:eastAsia="Times New Roman" w:hAnsi="Times New Roman"/>
          <w:sz w:val="18"/>
          <w:szCs w:val="18"/>
          <w:color w:val="212529"/>
        </w:rPr>
        <w:t xml:space="preserve">As a result of the acquisition, the Company acquired 74 properties representing 5.3 million square feet of GLA, including 10 properties held through real estate partnerships. See the Company's audited Annual Report on Form 10-K for the year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12529"/>
        </w:rPr>
        <w:t xml:space="preserve"> for further disclosure regarding the acquisition transaction.</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Risks and Uncertainties</w:t>
      </w:r>
    </w:p>
    <w:p>
      <w:pPr>
        <w:spacing w:after="0" w:line="171" w:lineRule="exact"/>
        <w:rPr>
          <w:sz w:val="20"/>
          <w:szCs w:val="20"/>
          <w:color w:val="auto"/>
        </w:rPr>
      </w:pPr>
    </w:p>
    <w:p>
      <w:pPr>
        <w:ind w:left="360" w:right="20"/>
        <w:spacing w:after="0" w:line="253" w:lineRule="auto"/>
        <w:rPr>
          <w:sz w:val="20"/>
          <w:szCs w:val="20"/>
          <w:color w:val="auto"/>
        </w:rPr>
      </w:pPr>
      <w:r>
        <w:rPr>
          <w:rFonts w:ascii="Times New Roman" w:cs="Times New Roman" w:eastAsia="Times New Roman" w:hAnsi="Times New Roman"/>
          <w:sz w:val="18"/>
          <w:szCs w:val="18"/>
          <w:color w:val="auto"/>
        </w:rPr>
        <w:t>The success of the Company's tenants in operating their businesses and their corresponding ability to pay rent continue to be influenced by current economic challenges, which may impact their cost of doing business, including but not limited to the impact of inflation, the cost and availability of labor, increasing energy prices and interest rates, and access to credit. Additionally, geopolitical and macroeconomic challenges, including the war involving Russia and Ukraine, current Middle East conflicts and wars, and the economic conflicts with China, as well as the slowing of its economy, could impact aspects of the U.S. economy and, therefore, consumer spending. The policies implemented by the U.S. government to address these and related issues, including changes by the Board of Governors of the Federal Reserve System of its benchmark federal funds rate, increases or decreases in federal government spending, and economic sanctions and tariffs, could result in adverse impacts on the U.S. economy, including a slowing of growth and potentially a recession, thereby impacting consumer spending, tenants' businesses, and/or decreasing future demand for space in shopping centers. The potential impact of current macroeconomic and geopolitical challenges on the Company's financial condition, results of operations, and cash flows is subject to change and continues to depend on the extent and duration of these risks and uncertainties. See Item 1A of Part I of the Company's Annual Report on Form 10-K for a more detailed discussion of the Risk Factors potentially impacting the Company's business and results of operations.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Investment Risk Concentrations</w:t>
      </w:r>
    </w:p>
    <w:p>
      <w:pPr>
        <w:spacing w:after="0" w:line="194" w:lineRule="exact"/>
        <w:rPr>
          <w:sz w:val="20"/>
          <w:szCs w:val="20"/>
          <w:color w:val="auto"/>
        </w:rPr>
      </w:pPr>
    </w:p>
    <w:p>
      <w:pPr>
        <w:ind w:left="360" w:right="280"/>
        <w:spacing w:after="0" w:line="289" w:lineRule="auto"/>
        <w:rPr>
          <w:sz w:val="20"/>
          <w:szCs w:val="20"/>
          <w:color w:val="auto"/>
        </w:rPr>
      </w:pPr>
      <w:r>
        <w:rPr>
          <w:rFonts w:ascii="Times New Roman" w:cs="Times New Roman" w:eastAsia="Times New Roman" w:hAnsi="Times New Roman"/>
          <w:sz w:val="18"/>
          <w:szCs w:val="18"/>
          <w:color w:val="auto"/>
        </w:rPr>
        <w:t>As of June 30, 2024, no single tenant comprised 10% or more of our aggregate annualized base rent ("ABR")</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As of June 30, 2024, the Company had three geographic concentrations that accounted for at least 10.0% of our aggregate ABR. Real estate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19" w:name="page20"/>
    <w:bookmarkEnd w:id="19"/>
    <w:p>
      <w:pPr>
        <w:jc w:val="center"/>
        <w:ind w:right="34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June 30, 2024</w:t>
      </w:r>
    </w:p>
    <w:p>
      <w:pPr>
        <w:spacing w:after="0" w:line="200" w:lineRule="exact"/>
        <w:rPr>
          <w:sz w:val="20"/>
          <w:szCs w:val="20"/>
          <w:color w:val="auto"/>
        </w:rPr>
      </w:pPr>
    </w:p>
    <w:p>
      <w:pPr>
        <w:spacing w:after="0" w:line="37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properties located in California, Florida and the New York-Newark-Jersey City core-based statistical area accounted for 23.4%, 20.6% and 11.0% of ABR respectively. As a result, this geographic concentration of our portfolio makes it potentially more susceptible to adverse weather or economic events that impact these locations.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Consolidation</w:t>
      </w:r>
    </w:p>
    <w:p>
      <w:pPr>
        <w:spacing w:after="0" w:line="17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to properties that are wholly-owed, the Company consolidates properties where it owns less than 100% but holds a controlling financial interest in the entity.Controlling financial interest is determined using an evaluation based on accounting standards related to the consolidation of Variable Interest Entities ("VIEs") and voting interest entities.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Ownership of the Parent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Company currently has a single class of common stock and two series of preferred stock outstanding.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Ownership of the Operating Partnership</w:t>
      </w:r>
    </w:p>
    <w:p>
      <w:pPr>
        <w:spacing w:after="0" w:line="17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Operating Partnership's capital includes Common Units and Preferred Units. As of June 30, 2024, the Parent Company owned approximately 99.4% of the outstanding Common Units, with the remaining Common Units held by third parties ("Exchangeable operating partnership units" or "EOP units"). The Parent Company currently owns all of the Preferred Units.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Partnerships</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As of June 30, 2024, Regency held partial ownership interests in 119 properties through real estate partnerships, of which 18 are consolidated. Regency's partners include institutional investors, real estate developers and/or operators, and passive investors (the "Partners" or "Limited Partners"). These partnerships have been established to own and operate real estate properties. </w:t>
      </w:r>
      <w:r>
        <w:rPr>
          <w:rFonts w:ascii="Times New Roman" w:cs="Times New Roman" w:eastAsia="Times New Roman" w:hAnsi="Times New Roman"/>
          <w:sz w:val="18"/>
          <w:szCs w:val="18"/>
          <w:color w:val="212529"/>
        </w:rPr>
        <w:t>The Company’s involvement with these entities is through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ownership and management of the properties. The entities were deemed VIEs primarily because the unrelated investors do not have substantive kick-out rights to remove the general or managing partner by a vote of a simple majority or less, and they do not have substantive participating rights. </w:t>
      </w:r>
      <w:r>
        <w:rPr>
          <w:rFonts w:ascii="Times New Roman" w:cs="Times New Roman" w:eastAsia="Times New Roman" w:hAnsi="Times New Roman"/>
          <w:sz w:val="18"/>
          <w:szCs w:val="18"/>
          <w:color w:val="000000"/>
        </w:rPr>
        <w:t>Regency has variable interests in these entities through its equity ownership, with Regency being the primary beneficiary in certain of these real estate partnerships. Regency consolidates the partnerships into its financial statements for which it is the primary beneficiary and reports the limited partners' interests as noncontrolling interests. For those partnerships which Regency is not the primary beneficiary and does not have a controlling financial interest, but has significant influence, Regency recognizes its equity investments in them in accordance with the equity method of accounting.</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assets of these partnerships are restricted to use by the respective partnerships and cannot be directly reached by general creditors of the Company. Similarly, the obligations of the partnerships are backed by, and can only be settled through the assets of these partnerships or by additional capital contributions by the partners.</w:t>
      </w:r>
    </w:p>
    <w:p>
      <w:pPr>
        <w:spacing w:after="0" w:line="12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carrying amounts of VIEs' assets and liabilities included in the Company's consolidated financial statements, exclusive of the Operating Partnership, are as follows:</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32"/>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20"/>
                <w:szCs w:val="20"/>
                <w:color w:val="auto"/>
              </w:rPr>
            </w:pPr>
          </w:p>
        </w:tc>
        <w:tc>
          <w:tcPr>
            <w:tcW w:w="1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r>
      <w:tr>
        <w:trPr>
          <w:trHeight w:val="220"/>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 estate assets, net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276,831</w:t>
            </w:r>
          </w:p>
        </w:tc>
        <w:tc>
          <w:tcPr>
            <w:tcW w:w="21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270,674</w:t>
            </w:r>
          </w:p>
        </w:tc>
      </w:tr>
      <w:tr>
        <w:trPr>
          <w:trHeight w:val="239"/>
        </w:trPr>
        <w:tc>
          <w:tcPr>
            <w:tcW w:w="4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60" w:type="dxa"/>
            <w:vAlign w:val="bottom"/>
            <w:shd w:val="clear" w:color="auto" w:fill="CFF0FC"/>
          </w:tcPr>
          <w:p>
            <w:pPr>
              <w:spacing w:after="0"/>
              <w:rPr>
                <w:sz w:val="20"/>
                <w:szCs w:val="20"/>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6,792</w:t>
            </w:r>
          </w:p>
        </w:tc>
        <w:tc>
          <w:tcPr>
            <w:tcW w:w="21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8,201</w:t>
            </w:r>
          </w:p>
        </w:tc>
      </w:tr>
      <w:tr>
        <w:trPr>
          <w:trHeight w:val="220"/>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Tenant and other receivables, net</w:t>
            </w:r>
          </w:p>
        </w:tc>
        <w:tc>
          <w:tcPr>
            <w:tcW w:w="260" w:type="dxa"/>
            <w:vAlign w:val="bottom"/>
          </w:tcPr>
          <w:p>
            <w:pPr>
              <w:spacing w:after="0"/>
              <w:rPr>
                <w:sz w:val="19"/>
                <w:szCs w:val="19"/>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5,232</w:t>
            </w:r>
          </w:p>
        </w:tc>
        <w:tc>
          <w:tcPr>
            <w:tcW w:w="21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3,883</w:t>
            </w:r>
          </w:p>
        </w:tc>
      </w:tr>
      <w:tr>
        <w:trPr>
          <w:trHeight w:val="239"/>
        </w:trPr>
        <w:tc>
          <w:tcPr>
            <w:tcW w:w="4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Deferred costs, net</w:t>
            </w:r>
          </w:p>
        </w:tc>
        <w:tc>
          <w:tcPr>
            <w:tcW w:w="260" w:type="dxa"/>
            <w:vAlign w:val="bottom"/>
            <w:shd w:val="clear" w:color="auto" w:fill="CFF0FC"/>
          </w:tcPr>
          <w:p>
            <w:pPr>
              <w:spacing w:after="0"/>
              <w:rPr>
                <w:sz w:val="20"/>
                <w:szCs w:val="20"/>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2,504</w:t>
            </w:r>
          </w:p>
        </w:tc>
        <w:tc>
          <w:tcPr>
            <w:tcW w:w="21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2,494</w:t>
            </w:r>
          </w:p>
        </w:tc>
      </w:tr>
      <w:tr>
        <w:trPr>
          <w:trHeight w:val="220"/>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Acquired lease intangible assets, net</w:t>
            </w:r>
          </w:p>
        </w:tc>
        <w:tc>
          <w:tcPr>
            <w:tcW w:w="260" w:type="dxa"/>
            <w:vAlign w:val="bottom"/>
          </w:tcPr>
          <w:p>
            <w:pPr>
              <w:spacing w:after="0"/>
              <w:rPr>
                <w:sz w:val="19"/>
                <w:szCs w:val="19"/>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7,184</w:t>
            </w:r>
          </w:p>
        </w:tc>
        <w:tc>
          <w:tcPr>
            <w:tcW w:w="21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12,099</w:t>
            </w:r>
          </w:p>
        </w:tc>
      </w:tr>
      <w:tr>
        <w:trPr>
          <w:trHeight w:val="239"/>
        </w:trPr>
        <w:tc>
          <w:tcPr>
            <w:tcW w:w="4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Right of use assets, net</w:t>
            </w:r>
          </w:p>
        </w:tc>
        <w:tc>
          <w:tcPr>
            <w:tcW w:w="260" w:type="dxa"/>
            <w:vAlign w:val="bottom"/>
            <w:shd w:val="clear" w:color="auto" w:fill="CFF0FC"/>
          </w:tcPr>
          <w:p>
            <w:pPr>
              <w:spacing w:after="0"/>
              <w:rPr>
                <w:sz w:val="20"/>
                <w:szCs w:val="20"/>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18,398</w:t>
            </w:r>
          </w:p>
        </w:tc>
        <w:tc>
          <w:tcPr>
            <w:tcW w:w="21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44,377</w:t>
            </w:r>
          </w:p>
        </w:tc>
      </w:tr>
      <w:tr>
        <w:trPr>
          <w:trHeight w:val="22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1,791</w:t>
            </w:r>
          </w:p>
        </w:tc>
        <w:tc>
          <w:tcPr>
            <w:tcW w:w="180" w:type="dxa"/>
            <w:vAlign w:val="bottom"/>
          </w:tcPr>
          <w:p>
            <w:pPr>
              <w:spacing w:after="0"/>
              <w:rPr>
                <w:sz w:val="19"/>
                <w:szCs w:val="19"/>
                <w:color w:val="auto"/>
              </w:rPr>
            </w:pPr>
          </w:p>
        </w:tc>
        <w:tc>
          <w:tcPr>
            <w:tcW w:w="1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893</w:t>
            </w:r>
          </w:p>
        </w:tc>
      </w:tr>
      <w:tr>
        <w:trPr>
          <w:trHeight w:val="263"/>
        </w:trPr>
        <w:tc>
          <w:tcPr>
            <w:tcW w:w="4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318,732</w:t>
            </w:r>
          </w:p>
        </w:tc>
        <w:tc>
          <w:tcPr>
            <w:tcW w:w="21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342,621</w:t>
            </w:r>
          </w:p>
        </w:tc>
      </w:tr>
      <w:tr>
        <w:trPr>
          <w:trHeight w:val="208"/>
        </w:trPr>
        <w:tc>
          <w:tcPr>
            <w:tcW w:w="4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238"/>
        </w:trPr>
        <w:tc>
          <w:tcPr>
            <w:tcW w:w="4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Notes payable</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32,973</w:t>
            </w:r>
          </w:p>
        </w:tc>
        <w:tc>
          <w:tcPr>
            <w:tcW w:w="21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33,211</w:t>
            </w:r>
          </w:p>
        </w:tc>
      </w:tr>
      <w:tr>
        <w:trPr>
          <w:trHeight w:val="23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6,785</w:t>
            </w:r>
          </w:p>
        </w:tc>
        <w:tc>
          <w:tcPr>
            <w:tcW w:w="21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29,919</w:t>
            </w:r>
          </w:p>
        </w:tc>
      </w:tr>
      <w:tr>
        <w:trPr>
          <w:trHeight w:val="253"/>
        </w:trPr>
        <w:tc>
          <w:tcPr>
            <w:tcW w:w="4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Acquired lease intangible liabilities, net</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10,946</w:t>
            </w:r>
          </w:p>
        </w:tc>
        <w:tc>
          <w:tcPr>
            <w:tcW w:w="21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21,456</w:t>
            </w:r>
          </w:p>
        </w:tc>
      </w:tr>
      <w:tr>
        <w:trPr>
          <w:trHeight w:val="23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Tenants' security, escrow deposits and prepaid rent</w:t>
            </w:r>
          </w:p>
        </w:tc>
        <w:tc>
          <w:tcPr>
            <w:tcW w:w="26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1,139</w:t>
            </w:r>
          </w:p>
        </w:tc>
        <w:tc>
          <w:tcPr>
            <w:tcW w:w="21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1,239</w:t>
            </w:r>
          </w:p>
        </w:tc>
      </w:tr>
      <w:tr>
        <w:trPr>
          <w:trHeight w:val="246"/>
        </w:trPr>
        <w:tc>
          <w:tcPr>
            <w:tcW w:w="4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Lease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19,280</w:t>
            </w:r>
          </w:p>
        </w:tc>
        <w:tc>
          <w:tcPr>
            <w:tcW w:w="180" w:type="dxa"/>
            <w:vAlign w:val="bottom"/>
            <w:tcBorders>
              <w:bottom w:val="single" w:sz="8" w:color="CFF0FC"/>
            </w:tcBorders>
            <w:shd w:val="clear" w:color="auto" w:fill="CFF0FC"/>
          </w:tcPr>
          <w:p>
            <w:pPr>
              <w:spacing w:after="0"/>
              <w:rPr>
                <w:sz w:val="21"/>
                <w:szCs w:val="21"/>
                <w:color w:val="auto"/>
              </w:rPr>
            </w:pPr>
          </w:p>
        </w:tc>
        <w:tc>
          <w:tcPr>
            <w:tcW w:w="19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21,433</w:t>
            </w: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71,123</w:t>
            </w:r>
          </w:p>
        </w:tc>
        <w:tc>
          <w:tcPr>
            <w:tcW w:w="21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107,258</w:t>
            </w:r>
          </w:p>
        </w:tc>
      </w:tr>
      <w:tr>
        <w:trPr>
          <w:trHeight w:val="20"/>
        </w:trPr>
        <w:tc>
          <w:tcPr>
            <w:tcW w:w="4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4838700</wp:posOffset>
            </wp:positionH>
            <wp:positionV relativeFrom="paragraph">
              <wp:posOffset>-1113790</wp:posOffset>
            </wp:positionV>
            <wp:extent cx="1117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4838700</wp:posOffset>
            </wp:positionH>
            <wp:positionV relativeFrom="paragraph">
              <wp:posOffset>-1096645</wp:posOffset>
            </wp:positionV>
            <wp:extent cx="1117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4838700</wp:posOffset>
            </wp:positionH>
            <wp:positionV relativeFrom="paragraph">
              <wp:posOffset>-179705</wp:posOffset>
            </wp:positionV>
            <wp:extent cx="1117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840"/>
          </w:cols>
          <w:pgMar w:left="700" w:top="765" w:right="3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765" w:right="359" w:bottom="1440" w:gutter="0" w:footer="0" w:header="0"/>
          <w:type w:val="continuous"/>
        </w:sectPr>
      </w:pPr>
    </w:p>
    <w:bookmarkStart w:id="20" w:name="page21"/>
    <w:bookmarkEnd w:id="20"/>
    <w:p>
      <w:pPr>
        <w:jc w:val="center"/>
        <w:ind w:right="18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June 30, 2024</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 and Tenant and other Receivables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property income includes parking fees and other incidental income from the properties and is generally recognized at the point in time that the performance obligation is met. Income within Management, transaction, and other fees is primarily derived from contracts with the Company's real estate partnerships. The primary components of these revenue streams, the timing of satisfying the performance obligations, and amounts are as follows: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Timing of</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satisfaction of</w:t>
            </w:r>
          </w:p>
        </w:tc>
        <w:tc>
          <w:tcPr>
            <w:tcW w:w="140" w:type="dxa"/>
            <w:vAlign w:val="bottom"/>
          </w:tcPr>
          <w:p>
            <w:pPr>
              <w:spacing w:after="0"/>
              <w:rPr>
                <w:sz w:val="17"/>
                <w:szCs w:val="17"/>
                <w:color w:val="auto"/>
              </w:rPr>
            </w:pPr>
          </w:p>
        </w:tc>
        <w:tc>
          <w:tcPr>
            <w:tcW w:w="10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8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6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3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20"/>
                <w:szCs w:val="20"/>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120" w:type="dxa"/>
            <w:vAlign w:val="bottom"/>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management services</w:t>
            </w:r>
          </w:p>
        </w:tc>
        <w:tc>
          <w:tcPr>
            <w:tcW w:w="120" w:type="dxa"/>
            <w:vAlign w:val="bottom"/>
          </w:tcPr>
          <w:p>
            <w:pPr>
              <w:spacing w:after="0"/>
              <w:rPr>
                <w:sz w:val="19"/>
                <w:szCs w:val="19"/>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Over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Asset management services</w:t>
            </w:r>
          </w:p>
        </w:tc>
        <w:tc>
          <w:tcPr>
            <w:tcW w:w="1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Over time</w:t>
            </w: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Leasing services</w:t>
            </w:r>
          </w:p>
        </w:tc>
        <w:tc>
          <w:tcPr>
            <w:tcW w:w="120" w:type="dxa"/>
            <w:vAlign w:val="bottom"/>
          </w:tcPr>
          <w:p>
            <w:pPr>
              <w:spacing w:after="0"/>
              <w:rPr>
                <w:sz w:val="19"/>
                <w:szCs w:val="19"/>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Point in time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fees</w:t>
            </w:r>
          </w:p>
        </w:tc>
        <w:tc>
          <w:tcPr>
            <w:tcW w:w="12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rPr>
              <w:t>Point in time</w:t>
            </w: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management, transaction, and other fees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7,106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4307205</wp:posOffset>
            </wp:positionH>
            <wp:positionV relativeFrom="paragraph">
              <wp:posOffset>-179070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-179070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-179070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-179070</wp:posOffset>
            </wp:positionV>
            <wp:extent cx="596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2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accounts receivable for management, transactions, and other fees, which are included within Tenant and other receivables in the accompanying Consolidated Balance Sheets, are $17.9 million and $18.5 million, as of June 30, 2024 and December 31, 2023,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brief description of recently adopted accounting pronouncements and impact on our financial statements:</w:t>
      </w:r>
    </w:p>
    <w:p>
      <w:pPr>
        <w:sectPr>
          <w:pgSz w:w="11900" w:h="16838" w:orient="portrait"/>
          <w:cols w:equalWidth="0" w:num="1">
            <w:col w:w="10680"/>
          </w:cols>
          <w:pgMar w:left="700" w:top="765" w:right="519" w:bottom="1440" w:gutter="0" w:footer="0" w:header="0"/>
        </w:sectPr>
      </w:pP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Earlier of Effective</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Date or the Date of</w:t>
      </w:r>
    </w:p>
    <w:p>
      <w:pPr>
        <w:spacing w:after="0" w:line="9" w:lineRule="exact"/>
        <w:rPr>
          <w:sz w:val="20"/>
          <w:szCs w:val="20"/>
          <w:color w:val="auto"/>
        </w:rPr>
      </w:pPr>
    </w:p>
    <w:p>
      <w:pPr>
        <w:ind w:left="40"/>
        <w:spacing w:after="0"/>
        <w:tabs>
          <w:tab w:leader="none" w:pos="1940" w:val="left"/>
          <w:tab w:leader="none" w:pos="5440" w:val="left"/>
        </w:tabs>
        <w:rPr>
          <w:sz w:val="20"/>
          <w:szCs w:val="20"/>
          <w:color w:val="auto"/>
        </w:rPr>
      </w:pPr>
      <w:r>
        <w:rPr>
          <w:rFonts w:ascii="Times New Roman" w:cs="Times New Roman" w:eastAsia="Times New Roman" w:hAnsi="Times New Roman"/>
          <w:sz w:val="18"/>
          <w:szCs w:val="18"/>
          <w:b w:val="1"/>
          <w:bCs w:val="1"/>
          <w:color w:val="auto"/>
        </w:rPr>
        <w:t>Standard</w:t>
      </w:r>
      <w:r>
        <w:rPr>
          <w:sz w:val="20"/>
          <w:szCs w:val="20"/>
          <w:color w:val="auto"/>
        </w:rPr>
        <w:tab/>
      </w: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7"/>
          <w:szCs w:val="17"/>
          <w:b w:val="1"/>
          <w:bCs w:val="1"/>
          <w:color w:val="auto"/>
        </w:rPr>
        <w:t>adoption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b w:val="1"/>
          <w:bCs w:val="1"/>
          <w:color w:val="auto"/>
        </w:rPr>
        <w:t>Effect on the financial statements or other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19888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920" w:space="420"/>
            <w:col w:w="3340"/>
          </w:cols>
          <w:pgMar w:left="700" w:top="765" w:right="519" w:bottom="1440" w:gutter="0" w:footer="0" w:header="0"/>
          <w:type w:val="continuous"/>
        </w:sectPr>
      </w:pPr>
    </w:p>
    <w:tbl>
      <w:tblPr>
        <w:tblLayout w:type="fixed"/>
        <w:tblInd w:w="40" w:type="dxa"/>
        <w:tblCellMar>
          <w:top w:w="0" w:type="dxa"/>
          <w:left w:w="0" w:type="dxa"/>
          <w:bottom w:w="0" w:type="dxa"/>
          <w:right w:w="0" w:type="dxa"/>
        </w:tblCellMar>
      </w:tblPr>
      <w:tr>
        <w:trPr>
          <w:trHeight w:val="176"/>
        </w:trPr>
        <w:tc>
          <w:tcPr>
            <w:tcW w:w="178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Recently adopted:</w:t>
            </w:r>
          </w:p>
        </w:tc>
        <w:tc>
          <w:tcPr>
            <w:tcW w:w="120" w:type="dxa"/>
            <w:vAlign w:val="bottom"/>
          </w:tcPr>
          <w:p>
            <w:pPr>
              <w:spacing w:after="0"/>
              <w:rPr>
                <w:sz w:val="15"/>
                <w:szCs w:val="15"/>
                <w:color w:val="auto"/>
              </w:rPr>
            </w:pPr>
          </w:p>
        </w:tc>
        <w:tc>
          <w:tcPr>
            <w:tcW w:w="3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45"/>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ASU 2023-07, Segment</w:t>
            </w:r>
          </w:p>
        </w:tc>
        <w:tc>
          <w:tcPr>
            <w:tcW w:w="120" w:type="dxa"/>
            <w:vAlign w:val="bottom"/>
          </w:tcPr>
          <w:p>
            <w:pPr>
              <w:spacing w:after="0"/>
              <w:rPr>
                <w:sz w:val="21"/>
                <w:szCs w:val="21"/>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amendments are aimed at enhancing the</w:t>
            </w:r>
          </w:p>
        </w:tc>
        <w:tc>
          <w:tcPr>
            <w:tcW w:w="120" w:type="dxa"/>
            <w:vAlign w:val="bottom"/>
          </w:tcPr>
          <w:p>
            <w:pPr>
              <w:spacing w:after="0"/>
              <w:rPr>
                <w:sz w:val="21"/>
                <w:szCs w:val="21"/>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2024</w:t>
            </w:r>
          </w:p>
        </w:tc>
      </w:tr>
      <w:tr>
        <w:trPr>
          <w:trHeight w:val="21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Reporting (Topic 280):</w:t>
            </w:r>
          </w:p>
        </w:tc>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disclosures public entities provide regarding</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Improvements to</w:t>
            </w:r>
          </w:p>
        </w:tc>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segment expenses so that investors</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Reportable Segment</w:t>
            </w:r>
          </w:p>
        </w:tc>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 “better understand an entity’s overall</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Disclosures</w:t>
            </w:r>
          </w:p>
        </w:tc>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assess “potential future</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The standard became effective for the Company on January 1, 2024 and the required disclosures for the Company will begin with its Annual Report on Form 10-K for the fiscal year ending December 31, 2024. The adoption and implementation of this guidance is not expected to have a material impact on the Company’s consolidated financial statements.</w:t>
      </w:r>
    </w:p>
    <w:p>
      <w:pPr>
        <w:spacing w:after="0" w:line="200" w:lineRule="exact"/>
        <w:rPr>
          <w:sz w:val="20"/>
          <w:szCs w:val="20"/>
          <w:color w:val="auto"/>
        </w:rPr>
      </w:pPr>
    </w:p>
    <w:p>
      <w:pPr>
        <w:sectPr>
          <w:pgSz w:w="11900" w:h="16838" w:orient="portrait"/>
          <w:cols w:equalWidth="0" w:num="2">
            <w:col w:w="7220" w:space="120"/>
            <w:col w:w="3340"/>
          </w:cols>
          <w:pgMar w:left="700" w:top="765" w:right="519" w:bottom="1440" w:gutter="0" w:footer="0" w:header="0"/>
          <w:type w:val="continuous"/>
        </w:sectPr>
      </w:pPr>
    </w:p>
    <w:p>
      <w:pPr>
        <w:spacing w:after="0" w:line="164" w:lineRule="exact"/>
        <w:rPr>
          <w:sz w:val="20"/>
          <w:szCs w:val="20"/>
          <w:color w:val="auto"/>
        </w:rPr>
      </w:pPr>
    </w:p>
    <w:p>
      <w:pPr>
        <w:ind w:left="40"/>
        <w:spacing w:after="0"/>
        <w:tabs>
          <w:tab w:leader="none" w:pos="1940" w:val="left"/>
          <w:tab w:leader="none" w:pos="5440" w:val="left"/>
        </w:tabs>
        <w:rPr>
          <w:sz w:val="20"/>
          <w:szCs w:val="20"/>
          <w:color w:val="auto"/>
        </w:rPr>
      </w:pPr>
      <w:r>
        <w:rPr>
          <w:rFonts w:ascii="Times New Roman" w:cs="Times New Roman" w:eastAsia="Times New Roman" w:hAnsi="Times New Roman"/>
          <w:sz w:val="18"/>
          <w:szCs w:val="18"/>
          <w:color w:val="auto"/>
        </w:rPr>
        <w:t>ASU 2023-09, Income</w:t>
        <w:tab/>
        <w:t>ASU 2023-09 requires public business entities</w:t>
      </w:r>
      <w:r>
        <w:rPr>
          <w:sz w:val="20"/>
          <w:szCs w:val="20"/>
          <w:color w:val="auto"/>
        </w:rPr>
        <w:tab/>
      </w:r>
      <w:r>
        <w:rPr>
          <w:rFonts w:ascii="Times New Roman" w:cs="Times New Roman" w:eastAsia="Times New Roman" w:hAnsi="Times New Roman"/>
          <w:sz w:val="17"/>
          <w:szCs w:val="17"/>
          <w:color w:val="auto"/>
        </w:rPr>
        <w:t>January 1, 2025</w:t>
      </w:r>
    </w:p>
    <w:p>
      <w:pPr>
        <w:spacing w:after="0" w:line="27" w:lineRule="exact"/>
        <w:rPr>
          <w:sz w:val="20"/>
          <w:szCs w:val="20"/>
          <w:color w:val="auto"/>
        </w:rPr>
      </w:pPr>
    </w:p>
    <w:p>
      <w:pPr>
        <w:ind w:left="40"/>
        <w:spacing w:after="0"/>
        <w:tabs>
          <w:tab w:leader="none" w:pos="1940" w:val="left"/>
        </w:tabs>
        <w:rPr>
          <w:sz w:val="20"/>
          <w:szCs w:val="20"/>
          <w:color w:val="auto"/>
        </w:rPr>
      </w:pPr>
      <w:r>
        <w:rPr>
          <w:rFonts w:ascii="Times New Roman" w:cs="Times New Roman" w:eastAsia="Times New Roman" w:hAnsi="Times New Roman"/>
          <w:sz w:val="18"/>
          <w:szCs w:val="18"/>
          <w:color w:val="auto"/>
        </w:rPr>
        <w:t>Taxes (Topic 740):</w:t>
      </w:r>
      <w:r>
        <w:rPr>
          <w:sz w:val="20"/>
          <w:szCs w:val="20"/>
          <w:color w:val="auto"/>
        </w:rPr>
        <w:tab/>
      </w:r>
      <w:r>
        <w:rPr>
          <w:rFonts w:ascii="Times New Roman" w:cs="Times New Roman" w:eastAsia="Times New Roman" w:hAnsi="Times New Roman"/>
          <w:sz w:val="17"/>
          <w:szCs w:val="17"/>
          <w:color w:val="auto"/>
        </w:rPr>
        <w:t>to disclose additional information in specified</w:t>
      </w:r>
    </w:p>
    <w:p>
      <w:pPr>
        <w:spacing w:after="0" w:line="9" w:lineRule="exact"/>
        <w:rPr>
          <w:sz w:val="20"/>
          <w:szCs w:val="20"/>
          <w:color w:val="auto"/>
        </w:rPr>
      </w:pPr>
    </w:p>
    <w:p>
      <w:pPr>
        <w:ind w:left="40"/>
        <w:spacing w:after="0"/>
        <w:tabs>
          <w:tab w:leader="none" w:pos="1940" w:val="left"/>
        </w:tabs>
        <w:rPr>
          <w:sz w:val="20"/>
          <w:szCs w:val="20"/>
          <w:color w:val="auto"/>
        </w:rPr>
      </w:pPr>
      <w:r>
        <w:rPr>
          <w:rFonts w:ascii="Times New Roman" w:cs="Times New Roman" w:eastAsia="Times New Roman" w:hAnsi="Times New Roman"/>
          <w:sz w:val="18"/>
          <w:szCs w:val="18"/>
          <w:color w:val="auto"/>
        </w:rPr>
        <w:t>Improvements to</w:t>
      </w:r>
      <w:r>
        <w:rPr>
          <w:sz w:val="20"/>
          <w:szCs w:val="20"/>
          <w:color w:val="auto"/>
        </w:rPr>
        <w:tab/>
      </w:r>
      <w:r>
        <w:rPr>
          <w:rFonts w:ascii="Times New Roman" w:cs="Times New Roman" w:eastAsia="Times New Roman" w:hAnsi="Times New Roman"/>
          <w:sz w:val="17"/>
          <w:szCs w:val="17"/>
          <w:color w:val="auto"/>
        </w:rPr>
        <w:t>categories with respect to the reconciliation of</w:t>
      </w:r>
    </w:p>
    <w:p>
      <w:pPr>
        <w:spacing w:after="0" w:line="9" w:lineRule="exact"/>
        <w:rPr>
          <w:sz w:val="20"/>
          <w:szCs w:val="20"/>
          <w:color w:val="auto"/>
        </w:rPr>
      </w:pPr>
    </w:p>
    <w:p>
      <w:pPr>
        <w:ind w:left="40"/>
        <w:spacing w:after="0"/>
        <w:tabs>
          <w:tab w:leader="none" w:pos="1940" w:val="left"/>
        </w:tabs>
        <w:rPr>
          <w:sz w:val="20"/>
          <w:szCs w:val="20"/>
          <w:color w:val="auto"/>
        </w:rPr>
      </w:pPr>
      <w:r>
        <w:rPr>
          <w:rFonts w:ascii="Times New Roman" w:cs="Times New Roman" w:eastAsia="Times New Roman" w:hAnsi="Times New Roman"/>
          <w:sz w:val="18"/>
          <w:szCs w:val="18"/>
          <w:color w:val="auto"/>
        </w:rPr>
        <w:t>Income Tax</w:t>
      </w:r>
      <w:r>
        <w:rPr>
          <w:sz w:val="20"/>
          <w:szCs w:val="20"/>
          <w:color w:val="auto"/>
        </w:rPr>
        <w:tab/>
      </w:r>
      <w:r>
        <w:rPr>
          <w:rFonts w:ascii="Times New Roman" w:cs="Times New Roman" w:eastAsia="Times New Roman" w:hAnsi="Times New Roman"/>
          <w:sz w:val="17"/>
          <w:szCs w:val="17"/>
          <w:color w:val="auto"/>
        </w:rPr>
        <w:t>the effective tax rate to the statutory rate for</w:t>
      </w:r>
    </w:p>
    <w:p>
      <w:pPr>
        <w:spacing w:after="0" w:line="9" w:lineRule="exact"/>
        <w:rPr>
          <w:sz w:val="20"/>
          <w:szCs w:val="20"/>
          <w:color w:val="auto"/>
        </w:rPr>
      </w:pPr>
    </w:p>
    <w:p>
      <w:pPr>
        <w:ind w:left="40"/>
        <w:spacing w:after="0"/>
        <w:tabs>
          <w:tab w:leader="none" w:pos="1940" w:val="left"/>
        </w:tabs>
        <w:rPr>
          <w:sz w:val="20"/>
          <w:szCs w:val="20"/>
          <w:color w:val="auto"/>
        </w:rPr>
      </w:pPr>
      <w:r>
        <w:rPr>
          <w:rFonts w:ascii="Times New Roman" w:cs="Times New Roman" w:eastAsia="Times New Roman" w:hAnsi="Times New Roman"/>
          <w:sz w:val="18"/>
          <w:szCs w:val="18"/>
          <w:color w:val="auto"/>
        </w:rPr>
        <w:t>Disclosures.</w:t>
      </w:r>
      <w:r>
        <w:rPr>
          <w:sz w:val="20"/>
          <w:szCs w:val="20"/>
          <w:color w:val="auto"/>
        </w:rPr>
        <w:tab/>
      </w:r>
      <w:r>
        <w:rPr>
          <w:rFonts w:ascii="Times New Roman" w:cs="Times New Roman" w:eastAsia="Times New Roman" w:hAnsi="Times New Roman"/>
          <w:sz w:val="18"/>
          <w:szCs w:val="18"/>
          <w:color w:val="auto"/>
        </w:rPr>
        <w:t>federal, state, and foreign income taxes. It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also requires greater detail about individual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reconciling items in the rate reconciliation to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extent the impact of those items exceeds 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specified threshold.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212529"/>
        </w:rPr>
        <w:t xml:space="preserve">The Company will review the extent of new disclosures necessary prior to implementation. </w:t>
      </w:r>
      <w:r>
        <w:rPr>
          <w:rFonts w:ascii="Times New Roman" w:cs="Times New Roman" w:eastAsia="Times New Roman" w:hAnsi="Times New Roman"/>
          <w:sz w:val="18"/>
          <w:szCs w:val="18"/>
          <w:color w:val="000000"/>
        </w:rPr>
        <w:t>O</w:t>
      </w:r>
      <w:r>
        <w:rPr>
          <w:rFonts w:ascii="Times New Roman" w:cs="Times New Roman" w:eastAsia="Times New Roman" w:hAnsi="Times New Roman"/>
          <w:sz w:val="19"/>
          <w:szCs w:val="19"/>
          <w:color w:val="212529"/>
        </w:rPr>
        <w:t>t</w:t>
      </w:r>
      <w:r>
        <w:rPr>
          <w:rFonts w:ascii="Times New Roman" w:cs="Times New Roman" w:eastAsia="Times New Roman" w:hAnsi="Times New Roman"/>
          <w:sz w:val="18"/>
          <w:szCs w:val="18"/>
          <w:color w:val="212529"/>
        </w:rPr>
        <w:t xml:space="preserve">her than additional disclosure, the adoption of this ASU is not expected to have a material impact on the Company's </w:t>
      </w:r>
      <w:r>
        <w:rPr>
          <w:rFonts w:ascii="Times New Roman" w:cs="Times New Roman" w:eastAsia="Times New Roman" w:hAnsi="Times New Roman"/>
          <w:sz w:val="18"/>
          <w:szCs w:val="18"/>
          <w:color w:val="000000"/>
        </w:rPr>
        <w:t>consolidated financial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statements.</w:t>
      </w:r>
    </w:p>
    <w:p>
      <w:pPr>
        <w:spacing w:after="0" w:line="601" w:lineRule="exact"/>
        <w:rPr>
          <w:sz w:val="20"/>
          <w:szCs w:val="20"/>
          <w:color w:val="auto"/>
        </w:rPr>
      </w:pPr>
    </w:p>
    <w:p>
      <w:pPr>
        <w:sectPr>
          <w:pgSz w:w="11900" w:h="16838" w:orient="portrait"/>
          <w:cols w:equalWidth="0" w:num="2">
            <w:col w:w="6620" w:space="720"/>
            <w:col w:w="3340"/>
          </w:cols>
          <w:pgMar w:left="700" w:top="76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700" w:top="765" w:right="519" w:bottom="1440" w:gutter="0" w:footer="0" w:header="0"/>
          <w:type w:val="continuous"/>
        </w:sectPr>
      </w:pPr>
    </w:p>
    <w:bookmarkStart w:id="21" w:name="page22"/>
    <w:bookmarkEnd w:id="21"/>
    <w:p>
      <w:pPr>
        <w:jc w:val="center"/>
        <w:ind w:left="340" w:right="268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0" w:hanging="339"/>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detail the properties acquired for the periods set forth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6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22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Regency</w:t>
            </w:r>
          </w:p>
        </w:tc>
        <w:tc>
          <w:tcPr>
            <w:tcW w:w="120" w:type="dxa"/>
            <w:vAlign w:val="bottom"/>
          </w:tcPr>
          <w:p>
            <w:pPr>
              <w:spacing w:after="0"/>
              <w:rPr>
                <w:sz w:val="12"/>
                <w:szCs w:val="12"/>
                <w:color w:val="auto"/>
              </w:rPr>
            </w:pPr>
          </w:p>
        </w:tc>
        <w:tc>
          <w:tcPr>
            <w:tcW w:w="7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Assumed,</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100" w:type="dxa"/>
            <w:vAlign w:val="bottom"/>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46"/>
        </w:trPr>
        <w:tc>
          <w:tcPr>
            <w:tcW w:w="820" w:type="dxa"/>
            <w:vAlign w:val="bottom"/>
            <w:vMerge w:val="continue"/>
          </w:tcPr>
          <w:p>
            <w:pPr>
              <w:spacing w:after="0"/>
              <w:rPr>
                <w:sz w:val="12"/>
                <w:szCs w:val="12"/>
                <w:color w:val="auto"/>
              </w:rPr>
            </w:pPr>
          </w:p>
        </w:tc>
        <w:tc>
          <w:tcPr>
            <w:tcW w:w="19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1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City/State</w:t>
            </w:r>
          </w:p>
        </w:tc>
        <w:tc>
          <w:tcPr>
            <w:tcW w:w="11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Net of</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92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gridSpan w:val="2"/>
            <w:vMerge w:val="continue"/>
          </w:tcPr>
          <w:p>
            <w:pPr>
              <w:spacing w:after="0"/>
              <w:rPr>
                <w:sz w:val="16"/>
                <w:szCs w:val="16"/>
                <w:color w:val="auto"/>
              </w:rPr>
            </w:pPr>
          </w:p>
        </w:tc>
        <w:tc>
          <w:tcPr>
            <w:tcW w:w="118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22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line="189" w:lineRule="exact"/>
              <w:rPr>
                <w:sz w:val="20"/>
                <w:szCs w:val="20"/>
                <w:color w:val="auto"/>
              </w:rPr>
            </w:pPr>
            <w:r>
              <w:rPr>
                <w:rFonts w:ascii="Times New Roman" w:cs="Times New Roman" w:eastAsia="Times New Roman" w:hAnsi="Times New Roman"/>
                <w:sz w:val="14"/>
                <w:szCs w:val="14"/>
                <w:b w:val="1"/>
                <w:bCs w:val="1"/>
                <w:color w:val="auto"/>
                <w:w w:val="93"/>
              </w:rPr>
              <w:t xml:space="preserve">Price </w:t>
            </w:r>
            <w:r>
              <w:rPr>
                <w:rFonts w:ascii="Times New Roman" w:cs="Times New Roman" w:eastAsia="Times New Roman" w:hAnsi="Times New Roman"/>
                <w:sz w:val="19"/>
                <w:szCs w:val="19"/>
                <w:b w:val="1"/>
                <w:bCs w:val="1"/>
                <w:color w:val="auto"/>
                <w:w w:val="93"/>
                <w:vertAlign w:val="superscript"/>
              </w:rPr>
              <w:t>(1)</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6"/>
              </w:rPr>
              <w:t xml:space="preserve">Discounts </w:t>
            </w:r>
            <w:r>
              <w:rPr>
                <w:rFonts w:ascii="Times New Roman" w:cs="Times New Roman" w:eastAsia="Times New Roman" w:hAnsi="Times New Roman"/>
                <w:sz w:val="19"/>
                <w:szCs w:val="19"/>
                <w:b w:val="1"/>
                <w:bCs w:val="1"/>
                <w:color w:val="auto"/>
                <w:w w:val="96"/>
                <w:vertAlign w:val="superscript"/>
              </w:rPr>
              <w:t>(1)</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3"/>
              </w:rPr>
              <w:t xml:space="preserve">Assets </w:t>
            </w:r>
            <w:r>
              <w:rPr>
                <w:rFonts w:ascii="Times New Roman" w:cs="Times New Roman" w:eastAsia="Times New Roman" w:hAnsi="Times New Roman"/>
                <w:sz w:val="19"/>
                <w:szCs w:val="19"/>
                <w:b w:val="1"/>
                <w:bCs w:val="1"/>
                <w:color w:val="auto"/>
                <w:w w:val="93"/>
                <w:vertAlign w:val="superscript"/>
              </w:rPr>
              <w:t>(1)</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7"/>
              </w:rPr>
              <w:t xml:space="preserve">Liabilities </w:t>
            </w:r>
            <w:r>
              <w:rPr>
                <w:rFonts w:ascii="Times New Roman" w:cs="Times New Roman" w:eastAsia="Times New Roman" w:hAnsi="Times New Roman"/>
                <w:sz w:val="19"/>
                <w:szCs w:val="19"/>
                <w:b w:val="1"/>
                <w:bCs w:val="1"/>
                <w:color w:val="auto"/>
                <w:w w:val="97"/>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2/23/2024   The Shops at Stone Bridge</w:t>
            </w:r>
          </w:p>
        </w:tc>
        <w:tc>
          <w:tcPr>
            <w:tcW w:w="19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Cheshire, CT</w:t>
            </w:r>
          </w:p>
        </w:tc>
        <w:tc>
          <w:tcPr>
            <w:tcW w:w="1180" w:type="dxa"/>
            <w:vAlign w:val="bottom"/>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Development</w:t>
            </w:r>
          </w:p>
        </w:tc>
        <w:tc>
          <w:tcPr>
            <w:tcW w:w="1220" w:type="dxa"/>
            <w:vAlign w:val="bottom"/>
            <w:shd w:val="clear" w:color="auto" w:fill="CFF0FC"/>
          </w:tcPr>
          <w:p>
            <w:pPr>
              <w:jc w:val="center"/>
              <w:ind w:left="16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8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5/3/2024</w:t>
            </w:r>
          </w:p>
        </w:tc>
        <w:tc>
          <w:tcPr>
            <w:tcW w:w="19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Compo Acres North shopping</w:t>
            </w:r>
          </w:p>
        </w:tc>
        <w:tc>
          <w:tcPr>
            <w:tcW w:w="1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Westport, CT</w:t>
            </w:r>
          </w:p>
        </w:tc>
        <w:tc>
          <w:tcPr>
            <w:tcW w:w="118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Operating</w:t>
            </w:r>
          </w:p>
        </w:tc>
        <w:tc>
          <w:tcPr>
            <w:tcW w:w="122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45,500</w:t>
            </w:r>
          </w:p>
        </w:tc>
        <w:tc>
          <w:tcPr>
            <w:tcW w:w="12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20" w:type="dxa"/>
            <w:vAlign w:val="bottom"/>
            <w:vMerge w:val="continue"/>
          </w:tcPr>
          <w:p>
            <w:pPr>
              <w:spacing w:after="0"/>
              <w:rPr>
                <w:sz w:val="16"/>
                <w:szCs w:val="16"/>
                <w:color w:val="auto"/>
              </w:rPr>
            </w:pPr>
          </w:p>
        </w:tc>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center</w:t>
            </w:r>
          </w:p>
        </w:tc>
        <w:tc>
          <w:tcPr>
            <w:tcW w:w="194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CFF0FC"/>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property acquisitions</w:t>
            </w:r>
          </w:p>
        </w:tc>
        <w:tc>
          <w:tcPr>
            <w:tcW w:w="660" w:type="dxa"/>
            <w:vAlign w:val="bottom"/>
            <w:tcBorders>
              <w:top w:val="single" w:sz="8" w:color="CFF0FC"/>
              <w:bottom w:val="single" w:sz="8" w:color="CFF0FC"/>
            </w:tcBorders>
            <w:shd w:val="clear" w:color="auto" w:fill="CFF0FC"/>
          </w:tcPr>
          <w:p>
            <w:pPr>
              <w:spacing w:after="0"/>
              <w:rPr>
                <w:sz w:val="18"/>
                <w:szCs w:val="18"/>
                <w:color w:val="auto"/>
              </w:rPr>
            </w:pPr>
          </w:p>
        </w:tc>
        <w:tc>
          <w:tcPr>
            <w:tcW w:w="1280" w:type="dxa"/>
            <w:vAlign w:val="bottom"/>
            <w:tcBorders>
              <w:top w:val="single" w:sz="8" w:color="CFF0FC"/>
              <w:bottom w:val="single" w:sz="8" w:color="CFF0FC"/>
            </w:tcBorders>
            <w:shd w:val="clear" w:color="auto" w:fill="CFF0FC"/>
          </w:tcPr>
          <w:p>
            <w:pPr>
              <w:spacing w:after="0"/>
              <w:rPr>
                <w:sz w:val="18"/>
                <w:szCs w:val="18"/>
                <w:color w:val="auto"/>
              </w:rPr>
            </w:pPr>
          </w:p>
        </w:tc>
        <w:tc>
          <w:tcPr>
            <w:tcW w:w="1180" w:type="dxa"/>
            <w:vAlign w:val="bottom"/>
            <w:tcBorders>
              <w:top w:val="single" w:sz="8" w:color="CFF0FC"/>
              <w:bottom w:val="single" w:sz="8" w:color="CFF0FC"/>
            </w:tcBorders>
            <w:shd w:val="clear" w:color="auto" w:fill="CFF0FC"/>
          </w:tcPr>
          <w:p>
            <w:pPr>
              <w:spacing w:after="0"/>
              <w:rPr>
                <w:sz w:val="18"/>
                <w:szCs w:val="18"/>
                <w:color w:val="auto"/>
              </w:rPr>
            </w:pPr>
          </w:p>
        </w:tc>
        <w:tc>
          <w:tcPr>
            <w:tcW w:w="1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53,500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66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2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Regency</w:t>
            </w:r>
          </w:p>
        </w:tc>
        <w:tc>
          <w:tcPr>
            <w:tcW w:w="120" w:type="dxa"/>
            <w:vAlign w:val="bottom"/>
          </w:tcPr>
          <w:p>
            <w:pPr>
              <w:spacing w:after="0"/>
              <w:rPr>
                <w:sz w:val="12"/>
                <w:szCs w:val="12"/>
                <w:color w:val="auto"/>
              </w:rPr>
            </w:pPr>
          </w:p>
        </w:tc>
        <w:tc>
          <w:tcPr>
            <w:tcW w:w="7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Assumed,</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100" w:type="dxa"/>
            <w:vAlign w:val="bottom"/>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46"/>
        </w:trPr>
        <w:tc>
          <w:tcPr>
            <w:tcW w:w="820" w:type="dxa"/>
            <w:vAlign w:val="bottom"/>
            <w:vMerge w:val="continue"/>
          </w:tcPr>
          <w:p>
            <w:pPr>
              <w:spacing w:after="0"/>
              <w:rPr>
                <w:sz w:val="12"/>
                <w:szCs w:val="12"/>
                <w:color w:val="auto"/>
              </w:rPr>
            </w:pPr>
          </w:p>
        </w:tc>
        <w:tc>
          <w:tcPr>
            <w:tcW w:w="192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66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City/State</w:t>
            </w:r>
          </w:p>
        </w:tc>
        <w:tc>
          <w:tcPr>
            <w:tcW w:w="11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Net of</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9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22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line="189" w:lineRule="exact"/>
              <w:rPr>
                <w:sz w:val="20"/>
                <w:szCs w:val="20"/>
                <w:color w:val="auto"/>
              </w:rPr>
            </w:pPr>
            <w:r>
              <w:rPr>
                <w:rFonts w:ascii="Times New Roman" w:cs="Times New Roman" w:eastAsia="Times New Roman" w:hAnsi="Times New Roman"/>
                <w:sz w:val="14"/>
                <w:szCs w:val="14"/>
                <w:b w:val="1"/>
                <w:bCs w:val="1"/>
                <w:color w:val="auto"/>
                <w:w w:val="93"/>
              </w:rPr>
              <w:t xml:space="preserve">Price </w:t>
            </w:r>
            <w:r>
              <w:rPr>
                <w:rFonts w:ascii="Times New Roman" w:cs="Times New Roman" w:eastAsia="Times New Roman" w:hAnsi="Times New Roman"/>
                <w:sz w:val="19"/>
                <w:szCs w:val="19"/>
                <w:b w:val="1"/>
                <w:bCs w:val="1"/>
                <w:color w:val="auto"/>
                <w:w w:val="93"/>
                <w:vertAlign w:val="superscript"/>
              </w:rPr>
              <w:t>(1)</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6"/>
              </w:rPr>
              <w:t xml:space="preserve">Discounts </w:t>
            </w:r>
            <w:r>
              <w:rPr>
                <w:rFonts w:ascii="Times New Roman" w:cs="Times New Roman" w:eastAsia="Times New Roman" w:hAnsi="Times New Roman"/>
                <w:sz w:val="19"/>
                <w:szCs w:val="19"/>
                <w:b w:val="1"/>
                <w:bCs w:val="1"/>
                <w:color w:val="auto"/>
                <w:w w:val="96"/>
                <w:vertAlign w:val="superscript"/>
              </w:rPr>
              <w:t>(1)</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3"/>
              </w:rPr>
              <w:t xml:space="preserve">Assets </w:t>
            </w:r>
            <w:r>
              <w:rPr>
                <w:rFonts w:ascii="Times New Roman" w:cs="Times New Roman" w:eastAsia="Times New Roman" w:hAnsi="Times New Roman"/>
                <w:sz w:val="19"/>
                <w:szCs w:val="19"/>
                <w:b w:val="1"/>
                <w:bCs w:val="1"/>
                <w:color w:val="auto"/>
                <w:w w:val="93"/>
                <w:vertAlign w:val="superscript"/>
              </w:rPr>
              <w:t>(1)</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7"/>
              </w:rPr>
              <w:t xml:space="preserve">Liabilities </w:t>
            </w:r>
            <w:r>
              <w:rPr>
                <w:rFonts w:ascii="Times New Roman" w:cs="Times New Roman" w:eastAsia="Times New Roman" w:hAnsi="Times New Roman"/>
                <w:sz w:val="19"/>
                <w:szCs w:val="19"/>
                <w:b w:val="1"/>
                <w:bCs w:val="1"/>
                <w:color w:val="auto"/>
                <w:w w:val="97"/>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5/1/2023</w:t>
            </w:r>
          </w:p>
        </w:tc>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Sienna Phase 1</w:t>
            </w:r>
          </w:p>
        </w:tc>
        <w:tc>
          <w:tcPr>
            <w:tcW w:w="660" w:type="dxa"/>
            <w:vAlign w:val="bottom"/>
            <w:shd w:val="clear" w:color="auto" w:fill="CFF0FC"/>
          </w:tcPr>
          <w:p>
            <w:pPr>
              <w:spacing w:after="0"/>
              <w:rPr>
                <w:sz w:val="14"/>
                <w:szCs w:val="14"/>
                <w:color w:val="auto"/>
              </w:rPr>
            </w:pPr>
          </w:p>
        </w:tc>
        <w:tc>
          <w:tcPr>
            <w:tcW w:w="1280" w:type="dxa"/>
            <w:vAlign w:val="bottom"/>
            <w:shd w:val="clear" w:color="auto" w:fill="CFF0FC"/>
          </w:tcPr>
          <w:p>
            <w:pPr>
              <w:jc w:val="center"/>
              <w:ind w:right="8"/>
              <w:spacing w:after="0"/>
              <w:rPr>
                <w:sz w:val="20"/>
                <w:szCs w:val="20"/>
                <w:color w:val="auto"/>
              </w:rPr>
            </w:pPr>
            <w:r>
              <w:rPr>
                <w:rFonts w:ascii="Times New Roman" w:cs="Times New Roman" w:eastAsia="Times New Roman" w:hAnsi="Times New Roman"/>
                <w:sz w:val="14"/>
                <w:szCs w:val="14"/>
                <w:color w:val="auto"/>
              </w:rPr>
              <w:t>Houston, TX</w:t>
            </w:r>
          </w:p>
        </w:tc>
        <w:tc>
          <w:tcPr>
            <w:tcW w:w="1180" w:type="dxa"/>
            <w:vAlign w:val="bottom"/>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Development</w:t>
            </w:r>
          </w:p>
        </w:tc>
        <w:tc>
          <w:tcPr>
            <w:tcW w:w="1220" w:type="dxa"/>
            <w:vAlign w:val="bottom"/>
            <w:shd w:val="clear" w:color="auto" w:fill="CFF0FC"/>
          </w:tcPr>
          <w:p>
            <w:pPr>
              <w:jc w:val="center"/>
              <w:ind w:left="168"/>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5/18/2023</w:t>
            </w: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SunVet</w:t>
            </w:r>
          </w:p>
        </w:tc>
        <w:tc>
          <w:tcPr>
            <w:tcW w:w="660" w:type="dxa"/>
            <w:vAlign w:val="bottom"/>
          </w:tcPr>
          <w:p>
            <w:pPr>
              <w:spacing w:after="0"/>
              <w:rPr>
                <w:sz w:val="15"/>
                <w:szCs w:val="15"/>
                <w:color w:val="auto"/>
              </w:rPr>
            </w:pPr>
          </w:p>
        </w:tc>
        <w:tc>
          <w:tcPr>
            <w:tcW w:w="12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Holbrook, NY</w:t>
            </w:r>
          </w:p>
        </w:tc>
        <w:tc>
          <w:tcPr>
            <w:tcW w:w="118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Development</w:t>
            </w:r>
          </w:p>
        </w:tc>
        <w:tc>
          <w:tcPr>
            <w:tcW w:w="122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24,140</w:t>
            </w:r>
          </w:p>
        </w:tc>
        <w:tc>
          <w:tcPr>
            <w:tcW w:w="120" w:type="dxa"/>
            <w:vAlign w:val="bottom"/>
          </w:tcPr>
          <w:p>
            <w:pPr>
              <w:spacing w:after="0"/>
              <w:rPr>
                <w:sz w:val="15"/>
                <w:szCs w:val="15"/>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2740" w:type="dxa"/>
            <w:vAlign w:val="bottom"/>
            <w:tcBorders>
              <w:top w:val="single" w:sz="8" w:color="CFF0FC"/>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property acquisitions</w:t>
            </w:r>
          </w:p>
        </w:tc>
        <w:tc>
          <w:tcPr>
            <w:tcW w:w="660" w:type="dxa"/>
            <w:vAlign w:val="bottom"/>
            <w:tcBorders>
              <w:top w:val="single" w:sz="8" w:color="CFF0FC"/>
              <w:bottom w:val="single" w:sz="8" w:color="CFF0FC"/>
            </w:tcBorders>
            <w:shd w:val="clear" w:color="auto" w:fill="CFF0FC"/>
          </w:tcPr>
          <w:p>
            <w:pPr>
              <w:spacing w:after="0"/>
              <w:rPr>
                <w:sz w:val="18"/>
                <w:szCs w:val="18"/>
                <w:color w:val="auto"/>
              </w:rPr>
            </w:pPr>
          </w:p>
        </w:tc>
        <w:tc>
          <w:tcPr>
            <w:tcW w:w="1280" w:type="dxa"/>
            <w:vAlign w:val="bottom"/>
            <w:tcBorders>
              <w:top w:val="single" w:sz="8" w:color="CFF0FC"/>
              <w:bottom w:val="single" w:sz="8" w:color="CFF0FC"/>
            </w:tcBorders>
            <w:shd w:val="clear" w:color="auto" w:fill="CFF0FC"/>
          </w:tcPr>
          <w:p>
            <w:pPr>
              <w:spacing w:after="0"/>
              <w:rPr>
                <w:sz w:val="18"/>
                <w:szCs w:val="18"/>
                <w:color w:val="auto"/>
              </w:rPr>
            </w:pPr>
          </w:p>
        </w:tc>
        <w:tc>
          <w:tcPr>
            <w:tcW w:w="1180" w:type="dxa"/>
            <w:vAlign w:val="bottom"/>
            <w:tcBorders>
              <w:top w:val="single" w:sz="8" w:color="CFF0FC"/>
              <w:bottom w:val="single" w:sz="8" w:color="CFF0FC"/>
            </w:tcBorders>
            <w:shd w:val="clear" w:color="auto" w:fill="CFF0FC"/>
          </w:tcPr>
          <w:p>
            <w:pPr>
              <w:spacing w:after="0"/>
              <w:rPr>
                <w:sz w:val="18"/>
                <w:szCs w:val="18"/>
                <w:color w:val="auto"/>
              </w:rPr>
            </w:pPr>
          </w:p>
        </w:tc>
        <w:tc>
          <w:tcPr>
            <w:tcW w:w="1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26,835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-1045210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-1028065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-1165225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-1045210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-1028065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-1165225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-1045210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-1028065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-1165225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-144780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-144780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-144780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Amounts for purchase price and allocation are reflected at 100%.</w:t>
      </w:r>
    </w:p>
    <w:p>
      <w:pPr>
        <w:spacing w:after="0" w:line="200" w:lineRule="exact"/>
        <w:rPr>
          <w:rFonts w:ascii="Times New Roman" w:cs="Times New Roman" w:eastAsia="Times New Roman" w:hAnsi="Times New Roman"/>
          <w:sz w:val="22"/>
          <w:szCs w:val="22"/>
          <w:color w:val="auto"/>
          <w:vertAlign w:val="superscript"/>
        </w:rPr>
      </w:pPr>
    </w:p>
    <w:p>
      <w:pPr>
        <w:spacing w:after="0" w:line="219" w:lineRule="exact"/>
        <w:rPr>
          <w:rFonts w:ascii="Times New Roman" w:cs="Times New Roman" w:eastAsia="Times New Roman" w:hAnsi="Times New Roman"/>
          <w:sz w:val="22"/>
          <w:szCs w:val="22"/>
          <w:color w:val="auto"/>
          <w:vertAlign w:val="superscript"/>
        </w:rPr>
      </w:pPr>
    </w:p>
    <w:p>
      <w:pPr>
        <w:ind w:left="360" w:hanging="339"/>
        <w:spacing w:after="0"/>
        <w:tabs>
          <w:tab w:leader="none" w:pos="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Dispositions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a summary of consolidated shopping centers and land parcels sold during the periods set forth below:</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4280" w:type="dxa"/>
            <w:vAlign w:val="bottom"/>
          </w:tcPr>
          <w:p>
            <w:pPr>
              <w:spacing w:after="0"/>
              <w:rPr>
                <w:sz w:val="19"/>
                <w:szCs w:val="19"/>
                <w:color w:val="auto"/>
              </w:rPr>
            </w:pPr>
          </w:p>
        </w:tc>
        <w:tc>
          <w:tcPr>
            <w:tcW w:w="222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number sold data)</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proceeds from sale of real estate investments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92,159</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3,065</w:t>
            </w:r>
          </w:p>
        </w:tc>
        <w:tc>
          <w:tcPr>
            <w:tcW w:w="80" w:type="dxa"/>
            <w:vAlign w:val="bottom"/>
            <w:shd w:val="clear" w:color="auto" w:fill="CFF0FC"/>
          </w:tcPr>
          <w:p>
            <w:pPr>
              <w:spacing w:after="0"/>
              <w:rPr>
                <w:sz w:val="19"/>
                <w:szCs w:val="19"/>
                <w:color w:val="auto"/>
              </w:rPr>
            </w:pPr>
          </w:p>
        </w:tc>
      </w:tr>
      <w:tr>
        <w:trPr>
          <w:trHeight w:val="220"/>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80" w:type="dxa"/>
            <w:vAlign w:val="bottom"/>
          </w:tcPr>
          <w:p>
            <w:pPr>
              <w:spacing w:after="0"/>
              <w:rPr>
                <w:sz w:val="19"/>
                <w:szCs w:val="19"/>
                <w:color w:val="auto"/>
              </w:rPr>
            </w:pPr>
          </w:p>
        </w:tc>
      </w:tr>
      <w:tr>
        <w:trPr>
          <w:trHeight w:val="23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operating properties sold</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Number of land parcels sold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r>
      <w:tr>
        <w:trPr>
          <w:trHeight w:val="23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Percent interest sold</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27" w:lineRule="exact"/>
        <w:rPr>
          <w:sz w:val="20"/>
          <w:szCs w:val="20"/>
          <w:color w:val="auto"/>
        </w:rPr>
      </w:pPr>
    </w:p>
    <w:p>
      <w:pPr>
        <w:ind w:left="360" w:hanging="339"/>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represents the components of Other assets in the accompanying Consolidated Balance Sheets as of the dates set forth below:</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20"/>
                <w:szCs w:val="20"/>
                <w:color w:val="auto"/>
              </w:rPr>
            </w:pPr>
          </w:p>
        </w:tc>
        <w:tc>
          <w:tcPr>
            <w:tcW w:w="20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167,062</w:t>
            </w:r>
          </w:p>
        </w:tc>
        <w:tc>
          <w:tcPr>
            <w:tcW w:w="2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167,062</w:t>
            </w:r>
          </w:p>
        </w:tc>
      </w:tr>
      <w:tr>
        <w:trPr>
          <w:trHeight w:val="220"/>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300" w:type="dxa"/>
            <w:vAlign w:val="bottom"/>
          </w:tcPr>
          <w:p>
            <w:pPr>
              <w:spacing w:after="0"/>
              <w:rPr>
                <w:sz w:val="19"/>
                <w:szCs w:val="19"/>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50,656</w:t>
            </w:r>
          </w:p>
        </w:tc>
        <w:tc>
          <w:tcPr>
            <w:tcW w:w="2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51,992</w:t>
            </w:r>
          </w:p>
        </w:tc>
      </w:tr>
      <w:tr>
        <w:trPr>
          <w:trHeight w:val="23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and other</w:t>
            </w:r>
          </w:p>
        </w:tc>
        <w:tc>
          <w:tcPr>
            <w:tcW w:w="30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54,341</w:t>
            </w:r>
          </w:p>
        </w:tc>
        <w:tc>
          <w:tcPr>
            <w:tcW w:w="2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40,635</w:t>
            </w:r>
          </w:p>
        </w:tc>
      </w:tr>
      <w:tr>
        <w:trPr>
          <w:trHeight w:val="220"/>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Derivative assets</w:t>
            </w:r>
          </w:p>
        </w:tc>
        <w:tc>
          <w:tcPr>
            <w:tcW w:w="300" w:type="dxa"/>
            <w:vAlign w:val="bottom"/>
          </w:tcPr>
          <w:p>
            <w:pPr>
              <w:spacing w:after="0"/>
              <w:rPr>
                <w:sz w:val="19"/>
                <w:szCs w:val="19"/>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16,293</w:t>
            </w:r>
          </w:p>
        </w:tc>
        <w:tc>
          <w:tcPr>
            <w:tcW w:w="2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14,213</w:t>
            </w:r>
          </w:p>
        </w:tc>
      </w:tr>
      <w:tr>
        <w:trPr>
          <w:trHeight w:val="23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Furniture, fixtures, and equipment, net ("FF&amp;E")</w:t>
            </w:r>
          </w:p>
        </w:tc>
        <w:tc>
          <w:tcPr>
            <w:tcW w:w="30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6,711</w:t>
            </w:r>
          </w:p>
        </w:tc>
        <w:tc>
          <w:tcPr>
            <w:tcW w:w="2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6,662</w:t>
            </w:r>
          </w:p>
        </w:tc>
      </w:tr>
      <w:tr>
        <w:trPr>
          <w:trHeight w:val="229"/>
        </w:trPr>
        <w:tc>
          <w:tcPr>
            <w:tcW w:w="470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Deferred financing costs, net</w:t>
            </w:r>
            <w:r>
              <w:rPr>
                <w:rFonts w:ascii="Times New Roman" w:cs="Times New Roman" w:eastAsia="Times New Roman" w:hAnsi="Times New Roman"/>
                <w:sz w:val="21"/>
                <w:szCs w:val="21"/>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11,014</w:t>
            </w:r>
          </w:p>
        </w:tc>
        <w:tc>
          <w:tcPr>
            <w:tcW w:w="160" w:type="dxa"/>
            <w:vAlign w:val="bottom"/>
          </w:tcPr>
          <w:p>
            <w:pPr>
              <w:spacing w:after="0"/>
              <w:rPr>
                <w:sz w:val="19"/>
                <w:szCs w:val="19"/>
                <w:color w:val="auto"/>
              </w:rPr>
            </w:pPr>
          </w:p>
        </w:tc>
        <w:tc>
          <w:tcPr>
            <w:tcW w:w="2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2,865</w:t>
            </w:r>
          </w:p>
        </w:tc>
      </w:tr>
      <w:tr>
        <w:trPr>
          <w:trHeight w:val="257"/>
        </w:trPr>
        <w:tc>
          <w:tcPr>
            <w:tcW w:w="4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other assets</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306,077</w:t>
            </w:r>
          </w:p>
        </w:tc>
        <w:tc>
          <w:tcPr>
            <w:tcW w:w="160" w:type="dxa"/>
            <w:vAlign w:val="bottom"/>
            <w:tcBorders>
              <w:bottom w:val="single" w:sz="8" w:color="CFF0FC"/>
            </w:tcBorders>
            <w:shd w:val="clear" w:color="auto" w:fill="CFF0FC"/>
          </w:tcPr>
          <w:p>
            <w:pPr>
              <w:spacing w:after="0"/>
              <w:rPr>
                <w:sz w:val="22"/>
                <w:szCs w:val="22"/>
                <w:color w:val="auto"/>
              </w:rPr>
            </w:pPr>
          </w:p>
        </w:tc>
        <w:tc>
          <w:tcPr>
            <w:tcW w:w="2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283,429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1111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1111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90" w:lineRule="exact"/>
        <w:rPr>
          <w:sz w:val="20"/>
          <w:szCs w:val="20"/>
          <w:color w:val="auto"/>
        </w:rPr>
      </w:pPr>
    </w:p>
    <w:p>
      <w:pPr>
        <w:ind w:left="840" w:right="460" w:hanging="265"/>
        <w:spacing w:after="0" w:line="226" w:lineRule="auto"/>
        <w:tabs>
          <w:tab w:leader="none" w:pos="84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 incurred additional financing costs related to recasting its Line of Credit. See Note 5 — Notes Payable and Unsecured Credit Facilities for discussion regarding these transactions.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2" w:name="page23"/>
    <w:bookmarkEnd w:id="22"/>
    <w:p>
      <w:pPr>
        <w:jc w:val="center"/>
        <w:ind w:left="400" w:right="262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9" w:hanging="339"/>
        <w:spacing w:after="0"/>
        <w:tabs>
          <w:tab w:leader="none" w:pos="33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Payable and Unsecured Credit Facilities</w:t>
      </w:r>
    </w:p>
    <w:p>
      <w:pPr>
        <w:spacing w:after="0" w:line="185" w:lineRule="exact"/>
        <w:rPr>
          <w:sz w:val="20"/>
          <w:szCs w:val="20"/>
          <w:color w:val="auto"/>
        </w:rPr>
      </w:pPr>
    </w:p>
    <w:p>
      <w:pPr>
        <w:ind w:left="359" w:right="160"/>
        <w:spacing w:after="0" w:line="282" w:lineRule="auto"/>
        <w:rPr>
          <w:sz w:val="20"/>
          <w:szCs w:val="20"/>
          <w:color w:val="auto"/>
        </w:rPr>
      </w:pPr>
      <w:r>
        <w:rPr>
          <w:rFonts w:ascii="Times New Roman" w:cs="Times New Roman" w:eastAsia="Times New Roman" w:hAnsi="Times New Roman"/>
          <w:sz w:val="18"/>
          <w:szCs w:val="18"/>
          <w:color w:val="auto"/>
        </w:rPr>
        <w:t>The Company's outstanding debt, net of unamortized debt premium (discount) and debt issuance costs, consisted of the following as of the dates set forth below:</w:t>
      </w:r>
    </w:p>
    <w:p>
      <w:pPr>
        <w:spacing w:after="0" w:line="164" w:lineRule="exact"/>
        <w:rPr>
          <w:sz w:val="20"/>
          <w:szCs w:val="20"/>
          <w:color w:val="auto"/>
        </w:rPr>
      </w:pPr>
    </w:p>
    <w:tbl>
      <w:tblPr>
        <w:tblLayout w:type="fixed"/>
        <w:tblInd w:w="279"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2"/>
        </w:trPr>
        <w:tc>
          <w:tcPr>
            <w:tcW w:w="3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1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2"/>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Through</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8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Pr>
          <w:p>
            <w:pPr>
              <w:spacing w:after="0"/>
              <w:rPr>
                <w:sz w:val="20"/>
                <w:szCs w:val="20"/>
                <w:color w:val="auto"/>
              </w:rPr>
            </w:pPr>
          </w:p>
        </w:tc>
        <w:tc>
          <w:tcPr>
            <w:tcW w:w="1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Notes payable:</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r>
      <w:tr>
        <w:trPr>
          <w:trHeight w:val="220"/>
        </w:trPr>
        <w:tc>
          <w:tcPr>
            <w:tcW w:w="3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rate mortgage loans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6/1/2037</w:t>
            </w:r>
          </w:p>
        </w:tc>
        <w:tc>
          <w:tcPr>
            <w:tcW w:w="12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3.9%</w:t>
            </w:r>
          </w:p>
        </w:tc>
        <w:tc>
          <w:tcPr>
            <w:tcW w:w="12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4.4%</w:t>
            </w:r>
          </w:p>
        </w:tc>
        <w:tc>
          <w:tcPr>
            <w:tcW w:w="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358,158</w:t>
            </w:r>
          </w:p>
        </w:tc>
        <w:tc>
          <w:tcPr>
            <w:tcW w:w="1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449,615</w:t>
            </w:r>
          </w:p>
        </w:tc>
      </w:tr>
      <w:tr>
        <w:trPr>
          <w:trHeight w:val="239"/>
        </w:trPr>
        <w:tc>
          <w:tcPr>
            <w:tcW w:w="3640" w:type="dxa"/>
            <w:vAlign w:val="bottom"/>
            <w:shd w:val="clear" w:color="auto" w:fill="CFF0FC"/>
          </w:tcPr>
          <w:p>
            <w:pPr>
              <w:ind w:left="180"/>
              <w:spacing w:after="0" w:line="239" w:lineRule="exact"/>
              <w:rPr>
                <w:sz w:val="20"/>
                <w:szCs w:val="20"/>
                <w:color w:val="auto"/>
              </w:rPr>
            </w:pPr>
            <w:r>
              <w:rPr>
                <w:rFonts w:ascii="Times New Roman" w:cs="Times New Roman" w:eastAsia="Times New Roman" w:hAnsi="Times New Roman"/>
                <w:sz w:val="16"/>
                <w:szCs w:val="16"/>
                <w:color w:val="auto"/>
              </w:rPr>
              <w:t xml:space="preserve">Variable rate mortgage loans </w:t>
            </w:r>
            <w:r>
              <w:rPr>
                <w:rFonts w:ascii="Times New Roman" w:cs="Times New Roman" w:eastAsia="Times New Roman" w:hAnsi="Times New Roman"/>
                <w:sz w:val="21"/>
                <w:szCs w:val="21"/>
                <w:color w:val="auto"/>
                <w:vertAlign w:val="superscript"/>
              </w:rPr>
              <w:t>(1)</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1/31/2032</w:t>
            </w:r>
          </w:p>
        </w:tc>
        <w:tc>
          <w:tcPr>
            <w:tcW w:w="12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4.2%</w:t>
            </w:r>
          </w:p>
        </w:tc>
        <w:tc>
          <w:tcPr>
            <w:tcW w:w="122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297,200</w:t>
            </w:r>
          </w:p>
        </w:tc>
        <w:tc>
          <w:tcPr>
            <w:tcW w:w="18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299,579</w:t>
            </w:r>
          </w:p>
        </w:tc>
      </w:tr>
      <w:tr>
        <w:trPr>
          <w:trHeight w:val="227"/>
        </w:trPr>
        <w:tc>
          <w:tcPr>
            <w:tcW w:w="3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rate unsecured debt</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3/15/2049</w:t>
            </w:r>
          </w:p>
        </w:tc>
        <w:tc>
          <w:tcPr>
            <w:tcW w:w="12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4.0%</w:t>
            </w:r>
          </w:p>
        </w:tc>
        <w:tc>
          <w:tcPr>
            <w:tcW w:w="12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3,400,032</w:t>
            </w:r>
          </w:p>
        </w:tc>
        <w:tc>
          <w:tcPr>
            <w:tcW w:w="260" w:type="dxa"/>
            <w:vAlign w:val="bottom"/>
          </w:tcPr>
          <w:p>
            <w:pPr>
              <w:spacing w:after="0"/>
              <w:rPr>
                <w:sz w:val="19"/>
                <w:szCs w:val="19"/>
                <w:color w:val="auto"/>
              </w:rPr>
            </w:pPr>
          </w:p>
        </w:tc>
        <w:tc>
          <w:tcPr>
            <w:tcW w:w="1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3,252,755</w:t>
            </w:r>
          </w:p>
        </w:tc>
      </w:tr>
      <w:tr>
        <w:trPr>
          <w:trHeight w:val="226"/>
        </w:trPr>
        <w:tc>
          <w:tcPr>
            <w:tcW w:w="3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notes payable, net</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4,055,390</w:t>
            </w:r>
          </w:p>
        </w:tc>
        <w:tc>
          <w:tcPr>
            <w:tcW w:w="18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4,001,949</w:t>
            </w:r>
          </w:p>
        </w:tc>
      </w:tr>
      <w:tr>
        <w:trPr>
          <w:trHeight w:val="220"/>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Unsecured credit facilities: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9"/>
        </w:trPr>
        <w:tc>
          <w:tcPr>
            <w:tcW w:w="3640" w:type="dxa"/>
            <w:vAlign w:val="bottom"/>
            <w:shd w:val="clear" w:color="auto" w:fill="CFF0FC"/>
          </w:tcPr>
          <w:p>
            <w:pPr>
              <w:ind w:left="180"/>
              <w:spacing w:after="0" w:line="239" w:lineRule="exact"/>
              <w:rPr>
                <w:sz w:val="20"/>
                <w:szCs w:val="20"/>
                <w:color w:val="auto"/>
              </w:rPr>
            </w:pPr>
            <w:r>
              <w:rPr>
                <w:rFonts w:ascii="Times New Roman" w:cs="Times New Roman" w:eastAsia="Times New Roman" w:hAnsi="Times New Roman"/>
                <w:sz w:val="16"/>
                <w:szCs w:val="16"/>
                <w:color w:val="auto"/>
              </w:rPr>
              <w:t xml:space="preserve">$1.5 Billion Line of Credit (the "Line") </w:t>
            </w:r>
            <w:r>
              <w:rPr>
                <w:rFonts w:ascii="Times New Roman" w:cs="Times New Roman" w:eastAsia="Times New Roman" w:hAnsi="Times New Roman"/>
                <w:sz w:val="21"/>
                <w:szCs w:val="21"/>
                <w:color w:val="auto"/>
                <w:vertAlign w:val="superscript"/>
              </w:rPr>
              <w:t>(2)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3/23/2028</w:t>
            </w:r>
          </w:p>
        </w:tc>
        <w:tc>
          <w:tcPr>
            <w:tcW w:w="12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6.2%</w:t>
            </w:r>
          </w:p>
        </w:tc>
        <w:tc>
          <w:tcPr>
            <w:tcW w:w="122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6.5%</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310,000</w:t>
            </w:r>
          </w:p>
        </w:tc>
        <w:tc>
          <w:tcPr>
            <w:tcW w:w="18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152,000</w:t>
            </w:r>
          </w:p>
        </w:tc>
      </w:tr>
      <w:tr>
        <w:trPr>
          <w:trHeight w:val="217"/>
        </w:trPr>
        <w:tc>
          <w:tcPr>
            <w:tcW w:w="3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unsecured credit facilities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310,000</w:t>
            </w:r>
          </w:p>
        </w:tc>
        <w:tc>
          <w:tcPr>
            <w:tcW w:w="26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152,000</w:t>
            </w:r>
          </w:p>
        </w:tc>
      </w:tr>
      <w:tr>
        <w:trPr>
          <w:trHeight w:val="263"/>
        </w:trPr>
        <w:tc>
          <w:tcPr>
            <w:tcW w:w="36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debt outstanding</w:t>
            </w:r>
          </w:p>
        </w:tc>
        <w:tc>
          <w:tcPr>
            <w:tcW w:w="9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4,365,390</w:t>
            </w:r>
          </w:p>
        </w:tc>
        <w:tc>
          <w:tcPr>
            <w:tcW w:w="26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4,153,949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-346710</wp:posOffset>
            </wp:positionV>
            <wp:extent cx="188595" cy="1885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5752465</wp:posOffset>
            </wp:positionH>
            <wp:positionV relativeFrom="paragraph">
              <wp:posOffset>-24765</wp:posOffset>
            </wp:positionV>
            <wp:extent cx="16319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5752465</wp:posOffset>
            </wp:positionH>
            <wp:positionV relativeFrom="paragraph">
              <wp:posOffset>-7620</wp:posOffset>
            </wp:positionV>
            <wp:extent cx="16319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32" w:lineRule="exact"/>
        <w:rPr>
          <w:sz w:val="20"/>
          <w:szCs w:val="20"/>
          <w:color w:val="auto"/>
        </w:rPr>
      </w:pPr>
    </w:p>
    <w:p>
      <w:pPr>
        <w:ind w:left="819" w:hanging="265"/>
        <w:spacing w:after="0"/>
        <w:tabs>
          <w:tab w:leader="none" w:pos="819"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As of June 30, 2024, 98.2% of the variable rate mortgage loans are fixed through interest rate swaps.</w:t>
      </w:r>
    </w:p>
    <w:p>
      <w:pPr>
        <w:spacing w:after="0" w:line="64" w:lineRule="exact"/>
        <w:rPr>
          <w:rFonts w:ascii="Times New Roman" w:cs="Times New Roman" w:eastAsia="Times New Roman" w:hAnsi="Times New Roman"/>
          <w:sz w:val="22"/>
          <w:szCs w:val="22"/>
          <w:color w:val="auto"/>
          <w:vertAlign w:val="superscript"/>
        </w:rPr>
      </w:pPr>
    </w:p>
    <w:p>
      <w:pPr>
        <w:ind w:left="819" w:right="80" w:hanging="265"/>
        <w:spacing w:after="0" w:line="216" w:lineRule="auto"/>
        <w:tabs>
          <w:tab w:leader="none" w:pos="819"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 has the option to extend the maturity date by two additional six-month periods. Weighted average effective rate for the Line is calculated based on a fully drawn Line balance using the period end variable rate.</w:t>
      </w:r>
    </w:p>
    <w:p>
      <w:pPr>
        <w:spacing w:after="0" w:line="151"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Significant financing activity during 2024 includes:</w:t>
      </w:r>
    </w:p>
    <w:p>
      <w:pPr>
        <w:spacing w:after="0" w:line="171" w:lineRule="exact"/>
        <w:rPr>
          <w:sz w:val="20"/>
          <w:szCs w:val="20"/>
          <w:color w:val="auto"/>
        </w:rPr>
      </w:pPr>
    </w:p>
    <w:p>
      <w:pPr>
        <w:ind w:left="359" w:right="500"/>
        <w:spacing w:after="0" w:line="282" w:lineRule="auto"/>
        <w:rPr>
          <w:sz w:val="20"/>
          <w:szCs w:val="20"/>
          <w:color w:val="auto"/>
        </w:rPr>
      </w:pPr>
      <w:r>
        <w:rPr>
          <w:rFonts w:ascii="Times New Roman" w:cs="Times New Roman" w:eastAsia="Times New Roman" w:hAnsi="Times New Roman"/>
          <w:sz w:val="18"/>
          <w:szCs w:val="18"/>
          <w:color w:val="auto"/>
        </w:rPr>
        <w:t>On January 8, 2024, the Company priced a public offering of $400 million of senior unsecured notes due in 2034, and the notes were issued on January 18, 2024 at 99.617% of par value with a coupon of 5.250%.</w:t>
      </w:r>
    </w:p>
    <w:p>
      <w:pPr>
        <w:spacing w:after="0" w:line="108" w:lineRule="exact"/>
        <w:rPr>
          <w:sz w:val="20"/>
          <w:szCs w:val="20"/>
          <w:color w:val="auto"/>
        </w:rPr>
      </w:pPr>
    </w:p>
    <w:p>
      <w:pPr>
        <w:ind w:left="359"/>
        <w:spacing w:after="0" w:line="253" w:lineRule="auto"/>
        <w:rPr>
          <w:sz w:val="20"/>
          <w:szCs w:val="20"/>
          <w:color w:val="auto"/>
        </w:rPr>
      </w:pPr>
      <w:r>
        <w:rPr>
          <w:rFonts w:ascii="Times New Roman" w:cs="Times New Roman" w:eastAsia="Times New Roman" w:hAnsi="Times New Roman"/>
          <w:sz w:val="18"/>
          <w:szCs w:val="18"/>
          <w:color w:val="auto"/>
        </w:rPr>
        <w:t>On January 18, 2024, the Company entered into a Sixth Amended and Restated Credit Agreement (the "Credit Agreement"), with the financial institutions party thereto, as lenders, and Wells Fargo Bank, National Association, as Administrative Agent. The Credit Agreement provides for an unsecured revolving credit facility in the amount of $1.50 billion for a term of four years (plus two six-month extension options) and includes an accordion feature which permits the borrower to request increases in the size of the revolving loan facility by up to an additional $1.50 billion. The interest rate on the revolving credit facility is equal to the Secured Overnight Financing Rate ("SOFR") plus a margin that is determined based on the borrower’s long-term unsecured debt ratings and ratio of indebtedness to total asset value. At the time of the closing, the effective interest rate was SOFR plus a credit spread adjustment of 10 basis points plus a margin of 72.5 basis points. The Credit Agreement also incorporates sustainability-linked adjustments to the interest rate, which provide for upward or downward adjustments to the applicable margin if the Company achieves, or fails to achieve, certain specified targets based on Scope 1 and Scope 2 emission standards as set forth in the Credit Agreement. At the time of the closing, a 1 basis point downward sustainability-linked adjustment to the interest rate was applicable. The Credit Agreement was further amended on July 8, 2024 to update the baseline metric used to calculate sustainability-linked performance targets.</w:t>
      </w:r>
    </w:p>
    <w:p>
      <w:pPr>
        <w:spacing w:after="0" w:line="138" w:lineRule="exact"/>
        <w:rPr>
          <w:sz w:val="20"/>
          <w:szCs w:val="20"/>
          <w:color w:val="auto"/>
        </w:rPr>
      </w:pPr>
    </w:p>
    <w:p>
      <w:pPr>
        <w:ind w:left="359" w:right="40"/>
        <w:spacing w:after="0" w:line="282" w:lineRule="auto"/>
        <w:rPr>
          <w:sz w:val="20"/>
          <w:szCs w:val="20"/>
          <w:color w:val="auto"/>
        </w:rPr>
      </w:pPr>
      <w:r>
        <w:rPr>
          <w:rFonts w:ascii="Times New Roman" w:cs="Times New Roman" w:eastAsia="Times New Roman" w:hAnsi="Times New Roman"/>
          <w:sz w:val="18"/>
          <w:szCs w:val="18"/>
          <w:color w:val="auto"/>
        </w:rPr>
        <w:t>On June 17, 2024, the Company paid off $250 million of unsecured public debt that had matured, utilizing a portion of the proceeds from the January 2024 public debt offering, and the Company paid off a $78.3 million fixed rate mortgage loan.</w:t>
      </w:r>
    </w:p>
    <w:p>
      <w:pPr>
        <w:spacing w:after="0" w:line="378"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9"/>
          </w:cols>
          <w:pgMar w:left="341" w:top="765" w:right="399" w:bottom="1440" w:gutter="0" w:footer="0" w:header="0"/>
        </w:sectPr>
      </w:pPr>
    </w:p>
    <w:bookmarkStart w:id="23" w:name="page24"/>
    <w:bookmarkEnd w:id="23"/>
    <w:p>
      <w:pPr>
        <w:jc w:val="center"/>
        <w:ind w:left="380" w:right="264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June 30, 2024</w:t>
      </w:r>
    </w:p>
    <w:p>
      <w:pPr>
        <w:spacing w:after="0" w:line="200" w:lineRule="exact"/>
        <w:rPr>
          <w:sz w:val="20"/>
          <w:szCs w:val="20"/>
          <w:color w:val="auto"/>
        </w:rPr>
      </w:pPr>
    </w:p>
    <w:p>
      <w:pPr>
        <w:spacing w:after="0" w:line="377"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Scheduled principal payments and maturities on notes payable and unsecured credit facilities were as follows:</w:t>
      </w:r>
    </w:p>
    <w:p>
      <w:pPr>
        <w:spacing w:after="0" w:line="187" w:lineRule="exact"/>
        <w:rPr>
          <w:sz w:val="20"/>
          <w:szCs w:val="20"/>
          <w:color w:val="auto"/>
        </w:rPr>
      </w:pPr>
    </w:p>
    <w:tbl>
      <w:tblPr>
        <w:tblLayout w:type="fixed"/>
        <w:tblInd w:w="279" w:type="dxa"/>
        <w:tblCellMar>
          <w:top w:w="0" w:type="dxa"/>
          <w:left w:w="0" w:type="dxa"/>
          <w:bottom w:w="0" w:type="dxa"/>
          <w:right w:w="0" w:type="dxa"/>
        </w:tblCellMar>
      </w:tblPr>
      <w:tr>
        <w:trPr>
          <w:trHeight w:val="232"/>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94"/>
        </w:trPr>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Scheduled</w:t>
            </w:r>
          </w:p>
        </w:tc>
        <w:tc>
          <w:tcPr>
            <w:tcW w:w="140" w:type="dxa"/>
            <w:vAlign w:val="bottom"/>
          </w:tcPr>
          <w:p>
            <w:pPr>
              <w:spacing w:after="0"/>
              <w:rPr>
                <w:sz w:val="16"/>
                <w:szCs w:val="16"/>
                <w:color w:val="auto"/>
              </w:rPr>
            </w:pPr>
          </w:p>
        </w:tc>
        <w:tc>
          <w:tcPr>
            <w:tcW w:w="13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75"/>
        </w:trPr>
        <w:tc>
          <w:tcPr>
            <w:tcW w:w="4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5"/>
                <w:szCs w:val="15"/>
                <w:color w:val="auto"/>
              </w:rPr>
            </w:pPr>
          </w:p>
        </w:tc>
        <w:tc>
          <w:tcPr>
            <w:tcW w:w="1300" w:type="dxa"/>
            <w:vAlign w:val="bottom"/>
          </w:tcPr>
          <w:p>
            <w:pPr>
              <w:jc w:val="center"/>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Loan</w:t>
            </w:r>
          </w:p>
        </w:tc>
        <w:tc>
          <w:tcPr>
            <w:tcW w:w="160" w:type="dxa"/>
            <w:vAlign w:val="bottom"/>
          </w:tcPr>
          <w:p>
            <w:pPr>
              <w:spacing w:after="0"/>
              <w:rPr>
                <w:sz w:val="15"/>
                <w:szCs w:val="15"/>
                <w:color w:val="auto"/>
              </w:rPr>
            </w:pPr>
          </w:p>
        </w:tc>
        <w:tc>
          <w:tcPr>
            <w:tcW w:w="1240" w:type="dxa"/>
            <w:vAlign w:val="bottom"/>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Unsecured</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59"/>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Scheduled Principal Payments and Maturities by Year:</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140" w:type="dxa"/>
            <w:vAlign w:val="bottom"/>
          </w:tcPr>
          <w:p>
            <w:pPr>
              <w:spacing w:after="0"/>
              <w:rPr>
                <w:sz w:val="22"/>
                <w:szCs w:val="22"/>
                <w:color w:val="auto"/>
              </w:rPr>
            </w:pPr>
          </w:p>
        </w:tc>
        <w:tc>
          <w:tcPr>
            <w:tcW w:w="13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Maturities</w:t>
            </w:r>
          </w:p>
        </w:tc>
        <w:tc>
          <w:tcPr>
            <w:tcW w:w="160" w:type="dxa"/>
            <w:vAlign w:val="bottom"/>
          </w:tcPr>
          <w:p>
            <w:pPr>
              <w:spacing w:after="0"/>
              <w:rPr>
                <w:sz w:val="22"/>
                <w:szCs w:val="22"/>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xml:space="preserve">Maturities </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22"/>
                <w:szCs w:val="22"/>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4980" w:type="dxa"/>
            <w:vAlign w:val="bottom"/>
            <w:shd w:val="clear" w:color="auto" w:fill="CFF0FC"/>
          </w:tcPr>
          <w:p>
            <w:pPr>
              <w:ind w:left="40"/>
              <w:spacing w:after="0" w:line="223" w:lineRule="exact"/>
              <w:rPr>
                <w:sz w:val="20"/>
                <w:szCs w:val="20"/>
                <w:color w:val="auto"/>
              </w:rPr>
            </w:pPr>
            <w:r>
              <w:rPr>
                <w:rFonts w:ascii="Times New Roman" w:cs="Times New Roman" w:eastAsia="Times New Roman" w:hAnsi="Times New Roman"/>
                <w:sz w:val="16"/>
                <w:szCs w:val="16"/>
                <w:color w:val="auto"/>
              </w:rPr>
              <w:t xml:space="preserve">2024 </w:t>
            </w:r>
            <w:r>
              <w:rPr>
                <w:rFonts w:ascii="Times New Roman" w:cs="Times New Roman" w:eastAsia="Times New Roman" w:hAnsi="Times New Roman"/>
                <w:sz w:val="21"/>
                <w:szCs w:val="21"/>
                <w:color w:val="auto"/>
                <w:vertAlign w:val="superscript"/>
              </w:rPr>
              <w:t>(2)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5,052</w:t>
            </w:r>
          </w:p>
        </w:tc>
        <w:tc>
          <w:tcPr>
            <w:tcW w:w="1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53,108</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58,160</w:t>
            </w:r>
          </w:p>
        </w:tc>
      </w:tr>
      <w:tr>
        <w:trPr>
          <w:trHeight w:val="220"/>
        </w:trPr>
        <w:tc>
          <w:tcPr>
            <w:tcW w:w="4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9,678</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52,537</w:t>
            </w:r>
          </w:p>
        </w:tc>
        <w:tc>
          <w:tcPr>
            <w:tcW w:w="1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312,215</w:t>
            </w:r>
          </w:p>
        </w:tc>
      </w:tr>
      <w:tr>
        <w:trPr>
          <w:trHeight w:val="239"/>
        </w:trPr>
        <w:tc>
          <w:tcPr>
            <w:tcW w:w="4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9,920</w:t>
            </w:r>
          </w:p>
        </w:tc>
        <w:tc>
          <w:tcPr>
            <w:tcW w:w="1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147,850</w:t>
            </w:r>
          </w:p>
        </w:tc>
        <w:tc>
          <w:tcPr>
            <w:tcW w:w="1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200,000</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357,770</w:t>
            </w:r>
          </w:p>
        </w:tc>
      </w:tr>
      <w:tr>
        <w:trPr>
          <w:trHeight w:val="220"/>
        </w:trPr>
        <w:tc>
          <w:tcPr>
            <w:tcW w:w="4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7,013</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222,558</w:t>
            </w:r>
          </w:p>
        </w:tc>
        <w:tc>
          <w:tcPr>
            <w:tcW w:w="1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525,000</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754,571</w:t>
            </w:r>
          </w:p>
        </w:tc>
      </w:tr>
      <w:tr>
        <w:trPr>
          <w:trHeight w:val="239"/>
        </w:trPr>
        <w:tc>
          <w:tcPr>
            <w:tcW w:w="4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5,312</w:t>
            </w:r>
          </w:p>
        </w:tc>
        <w:tc>
          <w:tcPr>
            <w:tcW w:w="1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36,570</w:t>
            </w:r>
          </w:p>
        </w:tc>
        <w:tc>
          <w:tcPr>
            <w:tcW w:w="1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610,000</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651,882</w:t>
            </w:r>
          </w:p>
        </w:tc>
      </w:tr>
      <w:tr>
        <w:trPr>
          <w:trHeight w:val="220"/>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Beyond 5 Years</w:t>
            </w:r>
          </w:p>
        </w:tc>
        <w:tc>
          <w:tcPr>
            <w:tcW w:w="1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7,956</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106,089</w:t>
            </w:r>
          </w:p>
        </w:tc>
        <w:tc>
          <w:tcPr>
            <w:tcW w:w="1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2,150,000</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2,264,045</w:t>
            </w:r>
          </w:p>
        </w:tc>
      </w:tr>
      <w:tr>
        <w:trPr>
          <w:trHeight w:val="233"/>
        </w:trPr>
        <w:tc>
          <w:tcPr>
            <w:tcW w:w="51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Unamortized debt premium/(discount) and issuance costs</w:t>
            </w: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(8,285 )</w:t>
            </w:r>
          </w:p>
        </w:tc>
        <w:tc>
          <w:tcPr>
            <w:tcW w:w="16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(24,968 )</w:t>
            </w:r>
          </w:p>
        </w:tc>
        <w:tc>
          <w:tcPr>
            <w:tcW w:w="1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(33,253 )</w:t>
            </w:r>
          </w:p>
        </w:tc>
      </w:tr>
      <w:tr>
        <w:trPr>
          <w:trHeight w:val="223"/>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44,931</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610,427</w:t>
            </w:r>
          </w:p>
        </w:tc>
        <w:tc>
          <w:tcPr>
            <w:tcW w:w="1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3,710,032</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4,365,390</w:t>
            </w:r>
          </w:p>
        </w:tc>
      </w:tr>
      <w:tr>
        <w:trPr>
          <w:trHeight w:val="20"/>
        </w:trPr>
        <w:tc>
          <w:tcPr>
            <w:tcW w:w="4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-179070</wp:posOffset>
            </wp:positionV>
            <wp:extent cx="939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5169535</wp:posOffset>
            </wp:positionH>
            <wp:positionV relativeFrom="paragraph">
              <wp:posOffset>-179070</wp:posOffset>
            </wp:positionV>
            <wp:extent cx="946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6061075</wp:posOffset>
            </wp:positionH>
            <wp:positionV relativeFrom="paragraph">
              <wp:posOffset>-179070</wp:posOffset>
            </wp:positionV>
            <wp:extent cx="857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559" w:hanging="262"/>
        <w:spacing w:after="0" w:line="237" w:lineRule="auto"/>
        <w:tabs>
          <w:tab w:leader="none" w:pos="559"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unsecured public and private debt and unsecured credit facilities.</w:t>
      </w:r>
    </w:p>
    <w:p>
      <w:pPr>
        <w:spacing w:after="0" w:line="64" w:lineRule="exact"/>
        <w:rPr>
          <w:rFonts w:ascii="Times New Roman" w:cs="Times New Roman" w:eastAsia="Times New Roman" w:hAnsi="Times New Roman"/>
          <w:sz w:val="22"/>
          <w:szCs w:val="22"/>
          <w:color w:val="auto"/>
          <w:vertAlign w:val="superscript"/>
        </w:rPr>
      </w:pPr>
    </w:p>
    <w:p>
      <w:pPr>
        <w:ind w:left="559" w:hanging="262"/>
        <w:spacing w:after="0" w:line="182" w:lineRule="auto"/>
        <w:tabs>
          <w:tab w:leader="none" w:pos="559"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Reflects scheduled principal payments and maturities for the remainder of the year.</w:t>
      </w:r>
    </w:p>
    <w:p>
      <w:pPr>
        <w:spacing w:after="0" w:line="150" w:lineRule="exact"/>
        <w:rPr>
          <w:sz w:val="20"/>
          <w:szCs w:val="20"/>
          <w:color w:val="auto"/>
        </w:rPr>
      </w:pPr>
    </w:p>
    <w:p>
      <w:pPr>
        <w:ind w:left="359" w:right="260"/>
        <w:spacing w:after="0" w:line="282" w:lineRule="auto"/>
        <w:rPr>
          <w:sz w:val="20"/>
          <w:szCs w:val="20"/>
          <w:color w:val="auto"/>
        </w:rPr>
      </w:pPr>
      <w:r>
        <w:rPr>
          <w:rFonts w:ascii="Times New Roman" w:cs="Times New Roman" w:eastAsia="Times New Roman" w:hAnsi="Times New Roman"/>
          <w:sz w:val="18"/>
          <w:szCs w:val="18"/>
          <w:color w:val="auto"/>
        </w:rPr>
        <w:t>The Company was in compliance as of June 30, 2024, with all financial and other covenants under its unsecured public and private placement debt and unsecured credit facilities.</w:t>
      </w:r>
    </w:p>
    <w:p>
      <w:pPr>
        <w:spacing w:after="0" w:line="162" w:lineRule="exact"/>
        <w:rPr>
          <w:sz w:val="20"/>
          <w:szCs w:val="20"/>
          <w:color w:val="auto"/>
        </w:rPr>
      </w:pPr>
    </w:p>
    <w:p>
      <w:pPr>
        <w:ind w:left="339" w:hanging="339"/>
        <w:spacing w:after="0"/>
        <w:tabs>
          <w:tab w:leader="none" w:pos="33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Financial Instruments</w:t>
      </w:r>
    </w:p>
    <w:p>
      <w:pPr>
        <w:spacing w:after="0" w:line="185" w:lineRule="exact"/>
        <w:rPr>
          <w:sz w:val="20"/>
          <w:szCs w:val="20"/>
          <w:color w:val="auto"/>
        </w:rPr>
      </w:pPr>
    </w:p>
    <w:p>
      <w:pPr>
        <w:ind w:left="359"/>
        <w:spacing w:after="0" w:line="255" w:lineRule="auto"/>
        <w:rPr>
          <w:sz w:val="20"/>
          <w:szCs w:val="20"/>
          <w:color w:val="auto"/>
        </w:rPr>
      </w:pPr>
      <w:r>
        <w:rPr>
          <w:rFonts w:ascii="Times New Roman" w:cs="Times New Roman" w:eastAsia="Times New Roman" w:hAnsi="Times New Roman"/>
          <w:sz w:val="18"/>
          <w:szCs w:val="18"/>
          <w:color w:val="auto"/>
        </w:rPr>
        <w:t>The Company may use derivative financial instruments, including interest rate swaps, caps, options, floors, and other interest rate derivative contracts, to hedge all or a portion of the interest rate risk associated with its borrowings. The principal objective of such arrangements is to minimize the risks and/or costs associated with the Company's operating and financial structure as well as to hedge specific anticipated transactions. The Company does not intend to utilize derivatives for speculative transactions or purposes other than mitigation of interest rate risk. The use of derivative financial instruments carries certain risks, including the risk that the counterparties to these contractual arrangements are not able to perform under the agreements. To mitigate this risk, the Company only enters into derivative financial instruments with counterparties with quality credit ratings. The Company does not anticipate that any of the counterparties will fail to meet their obligations.</w:t>
      </w:r>
    </w:p>
    <w:p>
      <w:pPr>
        <w:spacing w:after="0" w:line="135" w:lineRule="exact"/>
        <w:rPr>
          <w:sz w:val="20"/>
          <w:szCs w:val="20"/>
          <w:color w:val="auto"/>
        </w:rPr>
      </w:pPr>
    </w:p>
    <w:p>
      <w:pPr>
        <w:ind w:left="359" w:right="200"/>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attempt to stabilize interest expense where possible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w:t>
      </w:r>
    </w:p>
    <w:p>
      <w:pPr>
        <w:spacing w:after="0" w:line="126"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Detail on the Company's interest rate derivatives outstanding as of June 30, 2024 and December 31, 2023 is as follows:</w:t>
      </w:r>
    </w:p>
    <w:p>
      <w:pPr>
        <w:spacing w:after="0" w:line="187" w:lineRule="exact"/>
        <w:rPr>
          <w:sz w:val="20"/>
          <w:szCs w:val="20"/>
          <w:color w:val="auto"/>
        </w:rPr>
      </w:pPr>
    </w:p>
    <w:tbl>
      <w:tblPr>
        <w:tblLayout w:type="fixed"/>
        <w:tblInd w:w="1119" w:type="dxa"/>
        <w:tblCellMar>
          <w:top w:w="0" w:type="dxa"/>
          <w:left w:w="0" w:type="dxa"/>
          <w:bottom w:w="0" w:type="dxa"/>
          <w:right w:w="0" w:type="dxa"/>
        </w:tblCellMar>
      </w:tblPr>
      <w:tr>
        <w:trPr>
          <w:trHeight w:val="225"/>
        </w:trPr>
        <w:tc>
          <w:tcPr>
            <w:tcW w:w="4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Borders>
              <w:bottom w:val="single" w:sz="8" w:color="auto"/>
            </w:tcBorders>
            <w:gridSpan w:val="3"/>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rPr>
              <w:t>Number of Instruments</w:t>
            </w:r>
          </w:p>
        </w:tc>
      </w:tr>
      <w:tr>
        <w:trPr>
          <w:trHeight w:val="237"/>
        </w:trPr>
        <w:tc>
          <w:tcPr>
            <w:tcW w:w="47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6"/>
                <w:szCs w:val="16"/>
                <w:b w:val="1"/>
                <w:bCs w:val="1"/>
                <w:color w:val="auto"/>
              </w:rPr>
              <w:t>Interest Rate Swaps</w:t>
            </w:r>
          </w:p>
        </w:tc>
        <w:tc>
          <w:tcPr>
            <w:tcW w:w="160" w:type="dxa"/>
            <w:vAlign w:val="bottom"/>
          </w:tcPr>
          <w:p>
            <w:pPr>
              <w:spacing w:after="0"/>
              <w:rPr>
                <w:sz w:val="20"/>
                <w:szCs w:val="20"/>
                <w:color w:val="auto"/>
              </w:rPr>
            </w:pPr>
          </w:p>
        </w:tc>
        <w:tc>
          <w:tcPr>
            <w:tcW w:w="19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43"/>
        </w:trPr>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Notional amount</w:t>
            </w:r>
          </w:p>
        </w:tc>
        <w:tc>
          <w:tcPr>
            <w:tcW w:w="1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322,451</w:t>
            </w:r>
          </w:p>
        </w:tc>
        <w:tc>
          <w:tcPr>
            <w:tcW w:w="21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294,928</w:t>
            </w:r>
          </w:p>
        </w:tc>
      </w:tr>
      <w:tr>
        <w:trPr>
          <w:trHeight w:val="23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instruments</w:t>
            </w:r>
          </w:p>
        </w:tc>
        <w:tc>
          <w:tcPr>
            <w:tcW w:w="1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w:t>
            </w:r>
          </w:p>
        </w:tc>
        <w:tc>
          <w:tcPr>
            <w:tcW w:w="21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15</w:t>
            </w:r>
          </w:p>
        </w:tc>
      </w:tr>
    </w:tbl>
    <w:p>
      <w:pPr>
        <w:spacing w:after="0" w:line="152"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Detail on the fair value of the Company's interest rate derivatives as of June 30, 2024 and December 31, 2023 is as follows:</w:t>
      </w:r>
    </w:p>
    <w:p>
      <w:pPr>
        <w:spacing w:after="0" w:line="187" w:lineRule="exact"/>
        <w:rPr>
          <w:sz w:val="20"/>
          <w:szCs w:val="20"/>
          <w:color w:val="auto"/>
        </w:rPr>
      </w:pPr>
    </w:p>
    <w:tbl>
      <w:tblPr>
        <w:tblLayout w:type="fixed"/>
        <w:tblInd w:w="1119" w:type="dxa"/>
        <w:tblCellMar>
          <w:top w:w="0" w:type="dxa"/>
          <w:left w:w="0" w:type="dxa"/>
          <w:bottom w:w="0" w:type="dxa"/>
          <w:right w:w="0" w:type="dxa"/>
        </w:tblCellMar>
      </w:tblPr>
      <w:tr>
        <w:trPr>
          <w:trHeight w:val="232"/>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700" w:type="dxa"/>
            <w:vAlign w:val="bottom"/>
            <w:tcBorders>
              <w:bottom w:val="single" w:sz="8" w:color="auto"/>
            </w:tcBorders>
          </w:tcPr>
          <w:p>
            <w:pPr>
              <w:spacing w:after="0"/>
              <w:rPr>
                <w:sz w:val="20"/>
                <w:szCs w:val="20"/>
                <w:color w:val="auto"/>
              </w:rPr>
            </w:pPr>
          </w:p>
        </w:tc>
      </w:tr>
      <w:tr>
        <w:trPr>
          <w:trHeight w:val="230"/>
        </w:trPr>
        <w:tc>
          <w:tcPr>
            <w:tcW w:w="47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b w:val="1"/>
                <w:bCs w:val="1"/>
                <w:color w:val="auto"/>
              </w:rPr>
              <w:t>Interest rate swaps classified as: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243"/>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16,293</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14,213</w:t>
            </w: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(1,335 )</w:t>
            </w:r>
          </w:p>
        </w:tc>
      </w:tr>
    </w:tbl>
    <w:p>
      <w:pPr>
        <w:spacing w:after="0" w:line="152" w:lineRule="exact"/>
        <w:rPr>
          <w:sz w:val="20"/>
          <w:szCs w:val="20"/>
          <w:color w:val="auto"/>
        </w:rPr>
      </w:pPr>
    </w:p>
    <w:p>
      <w:pPr>
        <w:ind w:left="359" w:right="160"/>
        <w:spacing w:after="0" w:line="282" w:lineRule="auto"/>
        <w:rPr>
          <w:sz w:val="20"/>
          <w:szCs w:val="20"/>
          <w:color w:val="auto"/>
        </w:rPr>
      </w:pPr>
      <w:r>
        <w:rPr>
          <w:rFonts w:ascii="Times New Roman" w:cs="Times New Roman" w:eastAsia="Times New Roman" w:hAnsi="Times New Roman"/>
          <w:sz w:val="18"/>
          <w:szCs w:val="18"/>
          <w:color w:val="auto"/>
        </w:rPr>
        <w:t>These derivative financial instruments are all interest rate swaps, which are designated and qualify as cash flow hedges. The Company does not use derivatives for trading or speculative purposes and, as of June 30, 2024, does not have any derivatives that are not designated as hedges.</w:t>
      </w:r>
    </w:p>
    <w:p>
      <w:pPr>
        <w:spacing w:after="0" w:line="108" w:lineRule="exact"/>
        <w:rPr>
          <w:sz w:val="20"/>
          <w:szCs w:val="20"/>
          <w:color w:val="auto"/>
        </w:rPr>
      </w:pPr>
    </w:p>
    <w:p>
      <w:pPr>
        <w:ind w:left="359" w:right="80"/>
        <w:spacing w:after="0" w:line="282" w:lineRule="auto"/>
        <w:rPr>
          <w:sz w:val="20"/>
          <w:szCs w:val="20"/>
          <w:color w:val="auto"/>
        </w:rPr>
      </w:pPr>
      <w:r>
        <w:rPr>
          <w:rFonts w:ascii="Times New Roman" w:cs="Times New Roman" w:eastAsia="Times New Roman" w:hAnsi="Times New Roman"/>
          <w:sz w:val="18"/>
          <w:szCs w:val="18"/>
          <w:color w:val="auto"/>
        </w:rPr>
        <w:t>The changes in the fair value of derivatives designated and qualifying as cash flow hedges are recorded in Accumulated other comprehensive income ("AOCI") and subsequently reclassified into earnings in the period that the hedged forecasted transaction affects earnings.</w:t>
      </w:r>
    </w:p>
    <w:p>
      <w:pPr>
        <w:sectPr>
          <w:pgSz w:w="11900" w:h="16838" w:orient="portrait"/>
          <w:cols w:equalWidth="0" w:num="1">
            <w:col w:w="11179"/>
          </w:cols>
          <w:pgMar w:left="341" w:top="765" w:right="379" w:bottom="1440" w:gutter="0" w:footer="0" w:header="0"/>
        </w:sectPr>
      </w:pPr>
    </w:p>
    <w:p>
      <w:pPr>
        <w:spacing w:after="0" w:line="162"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9"/>
          </w:cols>
          <w:pgMar w:left="341" w:top="765" w:right="379" w:bottom="1440" w:gutter="0" w:footer="0" w:header="0"/>
          <w:type w:val="continuous"/>
        </w:sectPr>
      </w:pPr>
    </w:p>
    <w:bookmarkStart w:id="24" w:name="page25"/>
    <w:bookmarkEnd w:id="24"/>
    <w:p>
      <w:pPr>
        <w:jc w:val="center"/>
        <w:ind w:left="500" w:right="252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June 30, 2024</w:t>
      </w:r>
    </w:p>
    <w:p>
      <w:pPr>
        <w:spacing w:after="0" w:line="200" w:lineRule="exact"/>
        <w:rPr>
          <w:sz w:val="20"/>
          <w:szCs w:val="20"/>
          <w:color w:val="auto"/>
        </w:rPr>
      </w:pPr>
    </w:p>
    <w:p>
      <w:pPr>
        <w:spacing w:after="0" w:line="377"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The following table represents the effect of the derivative financial instruments on the accompanying Consolidated Financial Statements:</w:t>
      </w:r>
    </w:p>
    <w:p>
      <w:pPr>
        <w:spacing w:after="0" w:line="166" w:lineRule="exact"/>
        <w:rPr>
          <w:sz w:val="20"/>
          <w:szCs w:val="20"/>
          <w:color w:val="auto"/>
        </w:rPr>
      </w:pPr>
    </w:p>
    <w:tbl>
      <w:tblPr>
        <w:tblLayout w:type="fixed"/>
        <w:tblInd w:w="319" w:type="dxa"/>
        <w:tblCellMar>
          <w:top w:w="0" w:type="dxa"/>
          <w:left w:w="0" w:type="dxa"/>
          <w:bottom w:w="0" w:type="dxa"/>
          <w:right w:w="0" w:type="dxa"/>
        </w:tblCellMar>
      </w:tblPr>
      <w:tr>
        <w:trPr>
          <w:trHeight w:val="161"/>
        </w:trPr>
        <w:tc>
          <w:tcPr>
            <w:tcW w:w="3440" w:type="dxa"/>
            <w:vAlign w:val="bottom"/>
            <w:gridSpan w:val="5"/>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Location and Amount of Gain (Loss) Recognized in</w:t>
            </w:r>
          </w:p>
        </w:tc>
        <w:tc>
          <w:tcPr>
            <w:tcW w:w="140" w:type="dxa"/>
            <w:vAlign w:val="bottom"/>
          </w:tcPr>
          <w:p>
            <w:pPr>
              <w:spacing w:after="0"/>
              <w:rPr>
                <w:sz w:val="13"/>
                <w:szCs w:val="13"/>
                <w:color w:val="auto"/>
              </w:rPr>
            </w:pPr>
          </w:p>
        </w:tc>
        <w:tc>
          <w:tcPr>
            <w:tcW w:w="3400" w:type="dxa"/>
            <w:vAlign w:val="bottom"/>
            <w:gridSpan w:val="6"/>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Location and Amount of Gain (Loss) Reclassified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0" w:type="dxa"/>
            <w:vAlign w:val="bottom"/>
            <w:gridSpan w:val="6"/>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Total amounts presented in the Consolidated</w:t>
            </w:r>
          </w:p>
        </w:tc>
        <w:tc>
          <w:tcPr>
            <w:tcW w:w="0" w:type="dxa"/>
            <w:vAlign w:val="bottom"/>
          </w:tcPr>
          <w:p>
            <w:pPr>
              <w:spacing w:after="0"/>
              <w:rPr>
                <w:sz w:val="1"/>
                <w:szCs w:val="1"/>
                <w:color w:val="auto"/>
              </w:rPr>
            </w:pPr>
          </w:p>
        </w:tc>
      </w:tr>
      <w:tr>
        <w:trPr>
          <w:trHeight w:val="148"/>
        </w:trPr>
        <w:tc>
          <w:tcPr>
            <w:tcW w:w="34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340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3440" w:type="dxa"/>
            <w:vAlign w:val="bottom"/>
            <w:gridSpan w:val="7"/>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 Operations in which the effects of cash</w:t>
            </w:r>
          </w:p>
        </w:tc>
        <w:tc>
          <w:tcPr>
            <w:tcW w:w="0" w:type="dxa"/>
            <w:vAlign w:val="bottom"/>
          </w:tcPr>
          <w:p>
            <w:pPr>
              <w:spacing w:after="0"/>
              <w:rPr>
                <w:sz w:val="1"/>
                <w:szCs w:val="1"/>
                <w:color w:val="auto"/>
              </w:rPr>
            </w:pPr>
          </w:p>
        </w:tc>
      </w:tr>
      <w:tr>
        <w:trPr>
          <w:trHeight w:val="187"/>
        </w:trPr>
        <w:tc>
          <w:tcPr>
            <w:tcW w:w="2260" w:type="dxa"/>
            <w:vAlign w:val="bottom"/>
            <w:tcBorders>
              <w:bottom w:val="single" w:sz="8" w:color="auto"/>
            </w:tcBorders>
            <w:gridSpan w:val="3"/>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OCI on Derivative</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tcBorders>
              <w:bottom w:val="single" w:sz="8" w:color="auto"/>
            </w:tcBorders>
            <w:gridSpan w:val="5"/>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from AOCI into Income</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flow hedges are recorded</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40" w:type="dxa"/>
            <w:vAlign w:val="bottom"/>
            <w:tcBorders>
              <w:bottom w:val="single" w:sz="8" w:color="auto"/>
            </w:tcBorders>
            <w:gridSpan w:val="5"/>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69"/>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33"/>
        </w:trPr>
        <w:tc>
          <w:tcPr>
            <w:tcW w:w="1380" w:type="dxa"/>
            <w:vAlign w:val="bottom"/>
            <w:gridSpan w:val="2"/>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Interest rate swaps</w:t>
            </w:r>
          </w:p>
        </w:tc>
        <w:tc>
          <w:tcPr>
            <w:tcW w:w="8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3,124</w:t>
            </w:r>
          </w:p>
        </w:tc>
        <w:tc>
          <w:tcPr>
            <w:tcW w:w="11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5,457</w:t>
            </w:r>
          </w:p>
        </w:tc>
        <w:tc>
          <w:tcPr>
            <w:tcW w:w="140" w:type="dxa"/>
            <w:vAlign w:val="bottom"/>
            <w:shd w:val="clear" w:color="auto" w:fill="CFF0FC"/>
          </w:tcPr>
          <w:p>
            <w:pPr>
              <w:spacing w:after="0"/>
              <w:rPr>
                <w:sz w:val="11"/>
                <w:szCs w:val="11"/>
                <w:color w:val="auto"/>
              </w:rPr>
            </w:pPr>
          </w:p>
        </w:tc>
        <w:tc>
          <w:tcPr>
            <w:tcW w:w="1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(2,440 )</w:t>
            </w: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(1,649 )</w:t>
            </w:r>
          </w:p>
        </w:tc>
        <w:tc>
          <w:tcPr>
            <w:tcW w:w="140" w:type="dxa"/>
            <w:vAlign w:val="bottom"/>
            <w:shd w:val="clear" w:color="auto" w:fill="CFF0FC"/>
          </w:tcPr>
          <w:p>
            <w:pPr>
              <w:spacing w:after="0"/>
              <w:rPr>
                <w:sz w:val="11"/>
                <w:szCs w:val="11"/>
                <w:color w:val="auto"/>
              </w:rPr>
            </w:pPr>
          </w:p>
        </w:tc>
        <w:tc>
          <w:tcPr>
            <w:tcW w:w="1520" w:type="dxa"/>
            <w:vAlign w:val="bottom"/>
            <w:gridSpan w:val="3"/>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Interest expense,</w:t>
            </w:r>
          </w:p>
        </w:tc>
        <w:tc>
          <w:tcPr>
            <w:tcW w:w="8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43,178</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36,956</w:t>
            </w:r>
          </w:p>
        </w:tc>
        <w:tc>
          <w:tcPr>
            <w:tcW w:w="0" w:type="dxa"/>
            <w:vAlign w:val="bottom"/>
          </w:tcPr>
          <w:p>
            <w:pPr>
              <w:spacing w:after="0"/>
              <w:rPr>
                <w:sz w:val="1"/>
                <w:szCs w:val="1"/>
                <w:color w:val="auto"/>
              </w:rPr>
            </w:pPr>
          </w:p>
        </w:tc>
      </w:tr>
      <w:tr>
        <w:trPr>
          <w:trHeight w:val="185"/>
        </w:trPr>
        <w:tc>
          <w:tcPr>
            <w:tcW w:w="138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continue"/>
            <w:shd w:val="clear" w:color="auto" w:fill="CFF0FC"/>
          </w:tcPr>
          <w:p>
            <w:pPr>
              <w:spacing w:after="0"/>
              <w:rPr>
                <w:sz w:val="16"/>
                <w:szCs w:val="16"/>
                <w:color w:val="auto"/>
              </w:rPr>
            </w:pPr>
          </w:p>
        </w:tc>
        <w:tc>
          <w:tcPr>
            <w:tcW w:w="11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33"/>
        </w:trPr>
        <w:tc>
          <w:tcPr>
            <w:tcW w:w="1380" w:type="dxa"/>
            <w:vAlign w:val="bottom"/>
            <w:gridSpan w:val="2"/>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Interest rate swaps</w:t>
            </w:r>
          </w:p>
        </w:tc>
        <w:tc>
          <w:tcPr>
            <w:tcW w:w="8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11,717</w:t>
            </w:r>
          </w:p>
        </w:tc>
        <w:tc>
          <w:tcPr>
            <w:tcW w:w="11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2,721</w:t>
            </w:r>
          </w:p>
        </w:tc>
        <w:tc>
          <w:tcPr>
            <w:tcW w:w="140" w:type="dxa"/>
            <w:vAlign w:val="bottom"/>
            <w:shd w:val="clear" w:color="auto" w:fill="CFF0FC"/>
          </w:tcPr>
          <w:p>
            <w:pPr>
              <w:spacing w:after="0"/>
              <w:rPr>
                <w:sz w:val="11"/>
                <w:szCs w:val="11"/>
                <w:color w:val="auto"/>
              </w:rPr>
            </w:pPr>
          </w:p>
        </w:tc>
        <w:tc>
          <w:tcPr>
            <w:tcW w:w="1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(4,807 )</w:t>
            </w: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(3,141 )</w:t>
            </w:r>
          </w:p>
        </w:tc>
        <w:tc>
          <w:tcPr>
            <w:tcW w:w="140" w:type="dxa"/>
            <w:vAlign w:val="bottom"/>
            <w:shd w:val="clear" w:color="auto" w:fill="CFF0FC"/>
          </w:tcPr>
          <w:p>
            <w:pPr>
              <w:spacing w:after="0"/>
              <w:rPr>
                <w:sz w:val="11"/>
                <w:szCs w:val="11"/>
                <w:color w:val="auto"/>
              </w:rPr>
            </w:pPr>
          </w:p>
        </w:tc>
        <w:tc>
          <w:tcPr>
            <w:tcW w:w="1520" w:type="dxa"/>
            <w:vAlign w:val="bottom"/>
            <w:gridSpan w:val="3"/>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Interest expense,</w:t>
            </w:r>
          </w:p>
        </w:tc>
        <w:tc>
          <w:tcPr>
            <w:tcW w:w="8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86,046</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73,349</w:t>
            </w:r>
          </w:p>
        </w:tc>
        <w:tc>
          <w:tcPr>
            <w:tcW w:w="0" w:type="dxa"/>
            <w:vAlign w:val="bottom"/>
          </w:tcPr>
          <w:p>
            <w:pPr>
              <w:spacing w:after="0"/>
              <w:rPr>
                <w:sz w:val="1"/>
                <w:szCs w:val="1"/>
                <w:color w:val="auto"/>
              </w:rPr>
            </w:pPr>
          </w:p>
        </w:tc>
      </w:tr>
      <w:tr>
        <w:trPr>
          <w:trHeight w:val="185"/>
        </w:trPr>
        <w:tc>
          <w:tcPr>
            <w:tcW w:w="138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continue"/>
            <w:shd w:val="clear" w:color="auto" w:fill="CFF0FC"/>
          </w:tcPr>
          <w:p>
            <w:pPr>
              <w:spacing w:after="0"/>
              <w:rPr>
                <w:sz w:val="16"/>
                <w:szCs w:val="16"/>
                <w:color w:val="auto"/>
              </w:rPr>
            </w:pPr>
          </w:p>
        </w:tc>
        <w:tc>
          <w:tcPr>
            <w:tcW w:w="11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59" w:right="160"/>
        <w:spacing w:after="0" w:line="282" w:lineRule="auto"/>
        <w:rPr>
          <w:sz w:val="20"/>
          <w:szCs w:val="20"/>
          <w:color w:val="auto"/>
        </w:rPr>
      </w:pPr>
      <w:r>
        <w:rPr>
          <w:rFonts w:ascii="Times New Roman" w:cs="Times New Roman" w:eastAsia="Times New Roman" w:hAnsi="Times New Roman"/>
          <w:sz w:val="18"/>
          <w:szCs w:val="18"/>
          <w:color w:val="auto"/>
        </w:rPr>
        <w:t>As of June 30, 2024, the Company expects approximately $6.0 million of accumulated comprehensive income on derivative instruments in AOCI, including the Company's share from its Investments in real estate partnerships, to be reclassified into earnings during the next 12 months.</w:t>
      </w:r>
    </w:p>
    <w:p>
      <w:pPr>
        <w:spacing w:after="0" w:line="162" w:lineRule="exact"/>
        <w:rPr>
          <w:sz w:val="20"/>
          <w:szCs w:val="20"/>
          <w:color w:val="auto"/>
        </w:rPr>
      </w:pPr>
    </w:p>
    <w:p>
      <w:pPr>
        <w:ind w:left="339" w:hanging="339"/>
        <w:spacing w:after="0"/>
        <w:tabs>
          <w:tab w:leader="none" w:pos="33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185" w:lineRule="exact"/>
        <w:rPr>
          <w:sz w:val="20"/>
          <w:szCs w:val="20"/>
          <w:color w:val="auto"/>
        </w:rPr>
      </w:pPr>
    </w:p>
    <w:p>
      <w:pPr>
        <w:ind w:left="35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leases are classified as operating leases. The Company's Lease income is comprised of both fixed and variable income. Fixed and in-substance fixed lease income includes stated amounts per the lease contract, which are primarily related to base rent, and in some cases stated amounts for common area maintenance ("CAM"), real estate taxes, and insurance (collectively, "Recoverable Costs"). Income for these amounts is recognized on a straight-line basis.</w:t>
      </w:r>
    </w:p>
    <w:p>
      <w:pPr>
        <w:spacing w:after="0" w:line="126"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Variable lease income includes the following two main items in the lease contracts:</w:t>
      </w:r>
    </w:p>
    <w:p>
      <w:pPr>
        <w:spacing w:after="0" w:line="63" w:lineRule="exact"/>
        <w:rPr>
          <w:sz w:val="20"/>
          <w:szCs w:val="20"/>
          <w:color w:val="auto"/>
        </w:rPr>
      </w:pPr>
    </w:p>
    <w:p>
      <w:pPr>
        <w:ind w:left="999" w:right="60" w:hanging="503"/>
        <w:spacing w:after="0" w:line="266" w:lineRule="auto"/>
        <w:tabs>
          <w:tab w:leader="none" w:pos="9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Recoveries from tenants represents the tenants' contractual obligations to reimburse the Company for their portion of Recoverable Costs incurred. Generally, the Company's leases provide for the tenants to reimburse the Company based on the tenants' share of the actual costs incurred in proportion to the tenants' share of leased space in the property.</w:t>
      </w:r>
    </w:p>
    <w:p>
      <w:pPr>
        <w:spacing w:after="0" w:line="13" w:lineRule="exact"/>
        <w:rPr>
          <w:rFonts w:ascii="Times New Roman" w:cs="Times New Roman" w:eastAsia="Times New Roman" w:hAnsi="Times New Roman"/>
          <w:sz w:val="18"/>
          <w:szCs w:val="18"/>
          <w:color w:val="auto"/>
        </w:rPr>
      </w:pPr>
    </w:p>
    <w:p>
      <w:pPr>
        <w:ind w:left="999" w:right="300" w:hanging="503"/>
        <w:spacing w:after="0" w:line="282" w:lineRule="auto"/>
        <w:tabs>
          <w:tab w:leader="none" w:pos="9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rent represents amounts billable to tenants based on the tenants' actual sales volume in excess of levels specified in the lease contract.</w:t>
      </w:r>
    </w:p>
    <w:p>
      <w:pPr>
        <w:spacing w:after="0" w:line="108"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The following table provides a disaggregation of lease income recognized as either fixed or variable lease income based on the criteria specified in</w:t>
      </w:r>
    </w:p>
    <w:p>
      <w:pPr>
        <w:spacing w:after="0" w:line="27"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ASC Topic 842:</w:t>
      </w:r>
    </w:p>
    <w:p>
      <w:pPr>
        <w:spacing w:after="0" w:line="169" w:lineRule="exact"/>
        <w:rPr>
          <w:sz w:val="20"/>
          <w:szCs w:val="20"/>
          <w:color w:val="auto"/>
        </w:rPr>
      </w:pPr>
    </w:p>
    <w:tbl>
      <w:tblPr>
        <w:tblLayout w:type="fixed"/>
        <w:tblInd w:w="559" w:type="dxa"/>
        <w:tblCellMar>
          <w:top w:w="0" w:type="dxa"/>
          <w:left w:w="0" w:type="dxa"/>
          <w:bottom w:w="0" w:type="dxa"/>
          <w:right w:w="0" w:type="dxa"/>
        </w:tblCellMar>
      </w:tblPr>
      <w:tr>
        <w:trPr>
          <w:trHeight w:val="23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6"/>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8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4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income</w:t>
            </w: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r>
      <w:tr>
        <w:trPr>
          <w:trHeight w:val="220"/>
        </w:trPr>
        <w:tc>
          <w:tcPr>
            <w:tcW w:w="4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and in-substance fixed lease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256,991</w:t>
            </w:r>
          </w:p>
        </w:tc>
        <w:tc>
          <w:tcPr>
            <w:tcW w:w="1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220,191</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513,616</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439,831</w:t>
            </w:r>
          </w:p>
        </w:tc>
      </w:tr>
      <w:tr>
        <w:trPr>
          <w:trHeight w:val="239"/>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Variable lease income</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86,082</w:t>
            </w:r>
          </w:p>
        </w:tc>
        <w:tc>
          <w:tcPr>
            <w:tcW w:w="13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74,337</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178,372</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155,118</w:t>
            </w:r>
          </w:p>
        </w:tc>
      </w:tr>
      <w:tr>
        <w:trPr>
          <w:trHeight w:val="220"/>
        </w:trPr>
        <w:tc>
          <w:tcPr>
            <w:tcW w:w="4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lease related income, net: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2"/>
        </w:trPr>
        <w:tc>
          <w:tcPr>
            <w:tcW w:w="48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Above/below market rent and tenant rent inducement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30"/>
        </w:trPr>
        <w:tc>
          <w:tcPr>
            <w:tcW w:w="48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amortization, net</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7,441</w:t>
            </w:r>
          </w:p>
        </w:tc>
        <w:tc>
          <w:tcPr>
            <w:tcW w:w="13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8,751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13,264</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14,616</w:t>
            </w:r>
          </w:p>
        </w:tc>
      </w:tr>
      <w:tr>
        <w:trPr>
          <w:trHeight w:val="230"/>
        </w:trPr>
        <w:tc>
          <w:tcPr>
            <w:tcW w:w="4820" w:type="dxa"/>
            <w:vAlign w:val="bottom"/>
          </w:tcPr>
          <w:p>
            <w:pPr>
              <w:ind w:left="360"/>
              <w:spacing w:after="0" w:line="230" w:lineRule="exact"/>
              <w:rPr>
                <w:sz w:val="20"/>
                <w:szCs w:val="20"/>
                <w:color w:val="auto"/>
              </w:rPr>
            </w:pPr>
            <w:r>
              <w:rPr>
                <w:rFonts w:ascii="Times New Roman" w:cs="Times New Roman" w:eastAsia="Times New Roman" w:hAnsi="Times New Roman"/>
                <w:sz w:val="16"/>
                <w:szCs w:val="16"/>
                <w:color w:val="auto"/>
              </w:rPr>
              <w:t xml:space="preserve">Uncollectible straight-line rent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(811 )</w:t>
            </w:r>
          </w:p>
        </w:tc>
        <w:tc>
          <w:tcPr>
            <w:tcW w:w="1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1,522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(1,210 )</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2,100</w:t>
            </w:r>
          </w:p>
        </w:tc>
      </w:tr>
      <w:tr>
        <w:trPr>
          <w:trHeight w:val="223"/>
        </w:trPr>
        <w:tc>
          <w:tcPr>
            <w:tcW w:w="48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Uncollectible amounts billable in lease (loss) income</w:t>
            </w: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(1,858 )</w:t>
            </w: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(343 )</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(3,091 )</w:t>
            </w:r>
          </w:p>
        </w:tc>
        <w:tc>
          <w:tcPr>
            <w:tcW w:w="1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1,594</w:t>
            </w: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Total lease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347,845</w:t>
            </w:r>
          </w:p>
        </w:tc>
        <w:tc>
          <w:tcPr>
            <w:tcW w:w="1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304,458</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700,951</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613,259</w:t>
            </w:r>
          </w:p>
        </w:tc>
      </w:tr>
      <w:tr>
        <w:trPr>
          <w:trHeight w:val="20"/>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-179705</wp:posOffset>
            </wp:positionV>
            <wp:extent cx="7747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5066665</wp:posOffset>
            </wp:positionH>
            <wp:positionV relativeFrom="paragraph">
              <wp:posOffset>-179705</wp:posOffset>
            </wp:positionV>
            <wp:extent cx="1028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5915025</wp:posOffset>
            </wp:positionH>
            <wp:positionV relativeFrom="paragraph">
              <wp:posOffset>-179705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 w:lineRule="exact"/>
        <w:rPr>
          <w:sz w:val="20"/>
          <w:szCs w:val="20"/>
          <w:color w:val="auto"/>
        </w:rPr>
      </w:pPr>
    </w:p>
    <w:p>
      <w:pPr>
        <w:ind w:left="819" w:hanging="265"/>
        <w:spacing w:after="0"/>
        <w:tabs>
          <w:tab w:leader="none" w:pos="819"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amounts include straight-line rent adjustments associated with converting between cash basis and accrual basis of accounting for certain leases.</w:t>
      </w:r>
    </w:p>
    <w:p>
      <w:pPr>
        <w:spacing w:after="0" w:line="200" w:lineRule="exact"/>
        <w:rPr>
          <w:rFonts w:ascii="Times New Roman" w:cs="Times New Roman" w:eastAsia="Times New Roman" w:hAnsi="Times New Roman"/>
          <w:sz w:val="22"/>
          <w:szCs w:val="22"/>
          <w:color w:val="auto"/>
          <w:vertAlign w:val="superscript"/>
        </w:rPr>
      </w:pPr>
    </w:p>
    <w:p>
      <w:pPr>
        <w:spacing w:after="0" w:line="219" w:lineRule="exact"/>
        <w:rPr>
          <w:rFonts w:ascii="Times New Roman" w:cs="Times New Roman" w:eastAsia="Times New Roman" w:hAnsi="Times New Roman"/>
          <w:sz w:val="22"/>
          <w:szCs w:val="22"/>
          <w:color w:val="auto"/>
          <w:vertAlign w:val="superscript"/>
        </w:rPr>
      </w:pPr>
    </w:p>
    <w:p>
      <w:pPr>
        <w:ind w:left="5519"/>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9"/>
          </w:cols>
          <w:pgMar w:left="341" w:top="765" w:right="499" w:bottom="1440" w:gutter="0" w:footer="0" w:header="0"/>
        </w:sectPr>
      </w:pPr>
    </w:p>
    <w:bookmarkStart w:id="25" w:name="page26"/>
    <w:bookmarkEnd w:id="25"/>
    <w:p>
      <w:pPr>
        <w:jc w:val="center"/>
        <w:ind w:left="360" w:right="266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June 30, 2024</w:t>
      </w:r>
    </w:p>
    <w:p>
      <w:pPr>
        <w:spacing w:after="0" w:line="200" w:lineRule="exact"/>
        <w:rPr>
          <w:sz w:val="20"/>
          <w:szCs w:val="20"/>
          <w:color w:val="auto"/>
        </w:rPr>
      </w:pPr>
    </w:p>
    <w:p>
      <w:pPr>
        <w:spacing w:after="0" w:line="377"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The following table represents the components of Tenant and other receivables, net of amounts considered uncollectible, in the accompanying</w:t>
      </w:r>
    </w:p>
    <w:p>
      <w:pPr>
        <w:spacing w:after="0" w:line="27"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169" w:lineRule="exact"/>
        <w:rPr>
          <w:sz w:val="20"/>
          <w:szCs w:val="20"/>
          <w:color w:val="auto"/>
        </w:rPr>
      </w:pPr>
    </w:p>
    <w:tbl>
      <w:tblPr>
        <w:tblLayout w:type="fixed"/>
        <w:tblInd w:w="1119" w:type="dxa"/>
        <w:tblCellMar>
          <w:top w:w="0" w:type="dxa"/>
          <w:left w:w="0" w:type="dxa"/>
          <w:bottom w:w="0" w:type="dxa"/>
          <w:right w:w="0" w:type="dxa"/>
        </w:tblCellMar>
      </w:tblPr>
      <w:tr>
        <w:trPr>
          <w:trHeight w:val="232"/>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20"/>
                <w:szCs w:val="20"/>
                <w:color w:val="auto"/>
              </w:rPr>
            </w:pPr>
          </w:p>
        </w:tc>
        <w:tc>
          <w:tcPr>
            <w:tcW w:w="2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Tenant receivables</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24,935</w:t>
            </w:r>
          </w:p>
        </w:tc>
        <w:tc>
          <w:tcPr>
            <w:tcW w:w="2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34,814</w:t>
            </w:r>
          </w:p>
        </w:tc>
      </w:tr>
      <w:tr>
        <w:trPr>
          <w:trHeight w:val="220"/>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Straight-line rent receivables</w:t>
            </w:r>
          </w:p>
        </w:tc>
        <w:tc>
          <w:tcPr>
            <w:tcW w:w="28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147,409</w:t>
            </w:r>
          </w:p>
        </w:tc>
        <w:tc>
          <w:tcPr>
            <w:tcW w:w="2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138,590</w:t>
            </w:r>
          </w:p>
        </w:tc>
      </w:tr>
      <w:tr>
        <w:trPr>
          <w:trHeight w:val="23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Notes receivable</w:t>
            </w:r>
          </w:p>
        </w:tc>
        <w:tc>
          <w:tcPr>
            <w:tcW w:w="280" w:type="dxa"/>
            <w:vAlign w:val="bottom"/>
            <w:shd w:val="clear" w:color="auto" w:fill="CFF0FC"/>
          </w:tcPr>
          <w:p>
            <w:pPr>
              <w:spacing w:after="0"/>
              <w:rPr>
                <w:sz w:val="20"/>
                <w:szCs w:val="20"/>
                <w:color w:val="auto"/>
              </w:rPr>
            </w:pPr>
          </w:p>
        </w:tc>
        <w:tc>
          <w:tcPr>
            <w:tcW w:w="17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31,943</w:t>
            </w:r>
          </w:p>
        </w:tc>
        <w:tc>
          <w:tcPr>
            <w:tcW w:w="2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2,109</w:t>
            </w:r>
          </w:p>
        </w:tc>
      </w:tr>
      <w:tr>
        <w:trPr>
          <w:trHeight w:val="230"/>
        </w:trPr>
        <w:tc>
          <w:tcPr>
            <w:tcW w:w="474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Other receivables</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32,712</w:t>
            </w:r>
          </w:p>
        </w:tc>
        <w:tc>
          <w:tcPr>
            <w:tcW w:w="180" w:type="dxa"/>
            <w:vAlign w:val="bottom"/>
          </w:tcPr>
          <w:p>
            <w:pPr>
              <w:spacing w:after="0"/>
              <w:rPr>
                <w:sz w:val="19"/>
                <w:szCs w:val="19"/>
                <w:color w:val="auto"/>
              </w:rPr>
            </w:pPr>
          </w:p>
        </w:tc>
        <w:tc>
          <w:tcPr>
            <w:tcW w:w="2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30,649</w:t>
            </w:r>
          </w:p>
        </w:tc>
      </w:tr>
      <w:tr>
        <w:trPr>
          <w:trHeight w:val="257"/>
        </w:trPr>
        <w:tc>
          <w:tcPr>
            <w:tcW w:w="4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tenant and other receivables</w:t>
            </w: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236,999</w:t>
            </w:r>
          </w:p>
        </w:tc>
        <w:tc>
          <w:tcPr>
            <w:tcW w:w="180" w:type="dxa"/>
            <w:vAlign w:val="bottom"/>
            <w:tcBorders>
              <w:bottom w:val="single" w:sz="8" w:color="CFF0FC"/>
            </w:tcBorders>
            <w:shd w:val="clear" w:color="auto" w:fill="CFF0FC"/>
          </w:tcPr>
          <w:p>
            <w:pPr>
              <w:spacing w:after="0"/>
              <w:rPr>
                <w:sz w:val="22"/>
                <w:szCs w:val="22"/>
                <w:color w:val="auto"/>
              </w:rPr>
            </w:pPr>
          </w:p>
        </w:tc>
        <w:tc>
          <w:tcPr>
            <w:tcW w:w="20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206,162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5006340</wp:posOffset>
            </wp:positionH>
            <wp:positionV relativeFrom="paragraph">
              <wp:posOffset>-25400</wp:posOffset>
            </wp:positionV>
            <wp:extent cx="1111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5006340</wp:posOffset>
            </wp:positionH>
            <wp:positionV relativeFrom="paragraph">
              <wp:posOffset>-7620</wp:posOffset>
            </wp:positionV>
            <wp:extent cx="1111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ind w:left="819" w:hanging="265"/>
        <w:spacing w:after="0" w:line="226" w:lineRule="auto"/>
        <w:tabs>
          <w:tab w:leader="none" w:pos="819"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receivables include construction receivables, insurance receivables, and amounts due from real estate partnerships for Management, transaction, and other fee income.</w:t>
      </w:r>
    </w:p>
    <w:p>
      <w:pPr>
        <w:spacing w:after="0" w:line="151" w:lineRule="exact"/>
        <w:rPr>
          <w:sz w:val="20"/>
          <w:szCs w:val="20"/>
          <w:color w:val="auto"/>
        </w:rPr>
      </w:pPr>
    </w:p>
    <w:p>
      <w:pPr>
        <w:ind w:left="359" w:right="10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issued a note receivable in the amount of $29.8 million at an interest rate of 6.9% maturing in January 2027, secured by a grocery-anchored shopping center.</w:t>
      </w:r>
    </w:p>
    <w:p>
      <w:pPr>
        <w:spacing w:after="0" w:line="175" w:lineRule="exact"/>
        <w:rPr>
          <w:sz w:val="20"/>
          <w:szCs w:val="20"/>
          <w:color w:val="auto"/>
        </w:rPr>
      </w:pPr>
    </w:p>
    <w:p>
      <w:pPr>
        <w:ind w:left="339" w:hanging="339"/>
        <w:spacing w:after="0"/>
        <w:tabs>
          <w:tab w:leader="none" w:pos="3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Measurements</w:t>
      </w:r>
    </w:p>
    <w:p>
      <w:pPr>
        <w:spacing w:after="0" w:line="239"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(a) Disclosure of Fair Value of Financial Instruments</w:t>
      </w:r>
    </w:p>
    <w:p>
      <w:pPr>
        <w:spacing w:after="0" w:line="171" w:lineRule="exact"/>
        <w:rPr>
          <w:sz w:val="20"/>
          <w:szCs w:val="20"/>
          <w:color w:val="auto"/>
        </w:rPr>
      </w:pPr>
    </w:p>
    <w:p>
      <w:pPr>
        <w:ind w:left="359" w:right="620"/>
        <w:spacing w:after="0" w:line="282" w:lineRule="auto"/>
        <w:rPr>
          <w:sz w:val="20"/>
          <w:szCs w:val="20"/>
          <w:color w:val="auto"/>
        </w:rPr>
      </w:pPr>
      <w:r>
        <w:rPr>
          <w:rFonts w:ascii="Times New Roman" w:cs="Times New Roman" w:eastAsia="Times New Roman" w:hAnsi="Times New Roman"/>
          <w:sz w:val="18"/>
          <w:szCs w:val="18"/>
          <w:color w:val="auto"/>
        </w:rPr>
        <w:t>All financial instruments of the Company are reflected in the accompanying Consolidated Balance Sheets at amounts which, in management's estimation, reasonably approximate their fair values, except those instruments listed below:</w:t>
      </w:r>
    </w:p>
    <w:p>
      <w:pPr>
        <w:spacing w:after="0" w:line="164" w:lineRule="exact"/>
        <w:rPr>
          <w:sz w:val="20"/>
          <w:szCs w:val="20"/>
          <w:color w:val="auto"/>
        </w:rPr>
      </w:pPr>
    </w:p>
    <w:tbl>
      <w:tblPr>
        <w:tblLayout w:type="fixed"/>
        <w:tblInd w:w="399" w:type="dxa"/>
        <w:tblCellMar>
          <w:top w:w="0" w:type="dxa"/>
          <w:left w:w="0" w:type="dxa"/>
          <w:bottom w:w="0" w:type="dxa"/>
          <w:right w:w="0" w:type="dxa"/>
        </w:tblCellMar>
      </w:tblPr>
      <w:tr>
        <w:trPr>
          <w:trHeight w:val="225"/>
        </w:trPr>
        <w:tc>
          <w:tcPr>
            <w:tcW w:w="3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3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340" w:type="dxa"/>
            <w:vAlign w:val="bottom"/>
            <w:tcBorders>
              <w:bottom w:val="single" w:sz="8" w:color="auto"/>
            </w:tcBorders>
            <w:gridSpan w:val="3"/>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0"/>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gridSpan w:val="3"/>
          </w:tcPr>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2"/>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20"/>
                <w:szCs w:val="20"/>
                <w:color w:val="auto"/>
              </w:rPr>
            </w:pPr>
          </w:p>
        </w:tc>
        <w:tc>
          <w:tcPr>
            <w:tcW w:w="2180" w:type="dxa"/>
            <w:vAlign w:val="bottom"/>
            <w:gridSpan w:val="3"/>
          </w:tcPr>
          <w:p>
            <w:pPr>
              <w:jc w:val="center"/>
              <w:ind w:right="1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3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20"/>
                <w:szCs w:val="20"/>
                <w:color w:val="auto"/>
              </w:rPr>
            </w:pP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20"/>
                <w:szCs w:val="20"/>
                <w:color w:val="auto"/>
              </w:rPr>
            </w:pPr>
          </w:p>
        </w:tc>
        <w:tc>
          <w:tcPr>
            <w:tcW w:w="15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3"/>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Financial assets:</w:t>
            </w:r>
          </w:p>
        </w:tc>
        <w:tc>
          <w:tcPr>
            <w:tcW w:w="2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r>
      <w:tr>
        <w:trPr>
          <w:trHeight w:val="220"/>
        </w:trPr>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Notes receivable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31,943</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31,552</w:t>
            </w:r>
          </w:p>
        </w:tc>
        <w:tc>
          <w:tcPr>
            <w:tcW w:w="17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2,109</w:t>
            </w:r>
          </w:p>
        </w:tc>
        <w:tc>
          <w:tcPr>
            <w:tcW w:w="17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2,109</w:t>
            </w:r>
          </w:p>
        </w:tc>
      </w:tr>
      <w:tr>
        <w:trPr>
          <w:trHeight w:val="23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Financial liabilities:</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r>
      <w:tr>
        <w:trPr>
          <w:trHeight w:val="220"/>
        </w:trPr>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Notes payable, net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4,055,390</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3,799,988</w:t>
            </w:r>
          </w:p>
        </w:tc>
        <w:tc>
          <w:tcPr>
            <w:tcW w:w="17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4,001,949</w:t>
            </w:r>
          </w:p>
        </w:tc>
        <w:tc>
          <w:tcPr>
            <w:tcW w:w="17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3,763,152</w:t>
            </w:r>
          </w:p>
        </w:tc>
      </w:tr>
      <w:tr>
        <w:trPr>
          <w:trHeight w:val="239"/>
        </w:trPr>
        <w:tc>
          <w:tcPr>
            <w:tcW w:w="3120" w:type="dxa"/>
            <w:vAlign w:val="bottom"/>
            <w:shd w:val="clear" w:color="auto" w:fill="CFF0FC"/>
          </w:tcPr>
          <w:p>
            <w:pPr>
              <w:ind w:left="180"/>
              <w:spacing w:after="0" w:line="239" w:lineRule="exact"/>
              <w:rPr>
                <w:sz w:val="20"/>
                <w:szCs w:val="20"/>
                <w:color w:val="auto"/>
              </w:rPr>
            </w:pPr>
            <w:r>
              <w:rPr>
                <w:rFonts w:ascii="Times New Roman" w:cs="Times New Roman" w:eastAsia="Times New Roman" w:hAnsi="Times New Roman"/>
                <w:sz w:val="16"/>
                <w:szCs w:val="16"/>
                <w:color w:val="auto"/>
              </w:rPr>
              <w:t>Unsecured credit facilities</w:t>
            </w:r>
            <w:r>
              <w:rPr>
                <w:rFonts w:ascii="Times New Roman" w:cs="Times New Roman" w:eastAsia="Times New Roman" w:hAnsi="Times New Roman"/>
                <w:sz w:val="21"/>
                <w:szCs w:val="21"/>
                <w:color w:val="auto"/>
                <w:vertAlign w:val="superscript"/>
              </w:rPr>
              <w:t>(1)</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310,000</w:t>
            </w: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310,000</w:t>
            </w:r>
          </w:p>
        </w:tc>
        <w:tc>
          <w:tcPr>
            <w:tcW w:w="17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152,000</w:t>
            </w:r>
          </w:p>
        </w:tc>
        <w:tc>
          <w:tcPr>
            <w:tcW w:w="17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152,000</w:t>
            </w:r>
          </w:p>
        </w:tc>
      </w:tr>
    </w:tbl>
    <w:p>
      <w:pPr>
        <w:spacing w:after="0" w:line="52" w:lineRule="exact"/>
        <w:rPr>
          <w:sz w:val="20"/>
          <w:szCs w:val="20"/>
          <w:color w:val="auto"/>
        </w:rPr>
      </w:pPr>
    </w:p>
    <w:p>
      <w:pPr>
        <w:ind w:left="819" w:hanging="265"/>
        <w:spacing w:after="0"/>
        <w:tabs>
          <w:tab w:leader="none" w:pos="819"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carrying amounts approximated its fair values due to the variable nature of the terms.</w:t>
      </w:r>
    </w:p>
    <w:p>
      <w:pPr>
        <w:spacing w:after="0" w:line="150" w:lineRule="exact"/>
        <w:rPr>
          <w:sz w:val="20"/>
          <w:szCs w:val="20"/>
          <w:color w:val="auto"/>
        </w:rPr>
      </w:pPr>
    </w:p>
    <w:p>
      <w:pPr>
        <w:ind w:left="359" w:right="200"/>
        <w:spacing w:after="0" w:line="258" w:lineRule="auto"/>
        <w:rPr>
          <w:sz w:val="20"/>
          <w:szCs w:val="20"/>
          <w:color w:val="auto"/>
        </w:rPr>
      </w:pPr>
      <w:r>
        <w:rPr>
          <w:rFonts w:ascii="Times New Roman" w:cs="Times New Roman" w:eastAsia="Times New Roman" w:hAnsi="Times New Roman"/>
          <w:sz w:val="18"/>
          <w:szCs w:val="18"/>
          <w:color w:val="auto"/>
        </w:rPr>
        <w:t>The above fair values represent management's estimate of the amounts that would be received from selling those assets or that would be paid to transfer those liabilities in an orderly transaction between market participants as of June 30, 2024, and December 31, 2023, respectively. These fair value measurements maximize the use of observable inputs which are classified within Level 2 of the fair value hierarchy. However, in situations where there is little, if any, market activity for the asset or liability at the measurement date, the fair value measurement reflects the Company's own judgments about the assumptions that market participants would use in pricing the asset or liability.</w:t>
      </w:r>
    </w:p>
    <w:p>
      <w:pPr>
        <w:spacing w:after="0" w:line="129" w:lineRule="exact"/>
        <w:rPr>
          <w:sz w:val="20"/>
          <w:szCs w:val="20"/>
          <w:color w:val="auto"/>
        </w:rPr>
      </w:pPr>
    </w:p>
    <w:p>
      <w:pPr>
        <w:ind w:left="359" w:right="140"/>
        <w:spacing w:after="0" w:line="258" w:lineRule="auto"/>
        <w:rPr>
          <w:sz w:val="20"/>
          <w:szCs w:val="20"/>
          <w:color w:val="auto"/>
        </w:rPr>
      </w:pPr>
      <w:r>
        <w:rPr>
          <w:rFonts w:ascii="Times New Roman" w:cs="Times New Roman" w:eastAsia="Times New Roman" w:hAnsi="Times New Roman"/>
          <w:sz w:val="18"/>
          <w:szCs w:val="18"/>
          <w:color w:val="auto"/>
        </w:rPr>
        <w:t>The Company develops its judgments based on the best information available at the measurement date, including expected cash flows, appropriate risk-adjusted discount rates, and available observable and unobservable inputs. Service providers involved in fair value measurements are evaluated for competency and qualifications on an ongoing basis. As considerable judgment is often necessary to estimate the fair value of these financial instruments, the fair values presented above are not necessarily indicative of amounts that will be realized upon disposition of the financial instruments.</w:t>
      </w:r>
    </w:p>
    <w:p>
      <w:pPr>
        <w:spacing w:after="0" w:line="129"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(b) Recurring Fair Value</w:t>
      </w:r>
    </w:p>
    <w:p>
      <w:pPr>
        <w:spacing w:after="0" w:line="171"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The following financial instruments are measured at fair value on a recurring basis:</w:t>
      </w:r>
    </w:p>
    <w:p>
      <w:pPr>
        <w:spacing w:after="0" w:line="171" w:lineRule="exact"/>
        <w:rPr>
          <w:sz w:val="20"/>
          <w:szCs w:val="20"/>
          <w:color w:val="auto"/>
        </w:rPr>
      </w:pPr>
    </w:p>
    <w:p>
      <w:pPr>
        <w:ind w:left="739"/>
        <w:spacing w:after="0"/>
        <w:rPr>
          <w:sz w:val="20"/>
          <w:szCs w:val="20"/>
          <w:color w:val="auto"/>
        </w:rPr>
      </w:pPr>
      <w:r>
        <w:rPr>
          <w:rFonts w:ascii="Times New Roman" w:cs="Times New Roman" w:eastAsia="Times New Roman" w:hAnsi="Times New Roman"/>
          <w:sz w:val="18"/>
          <w:szCs w:val="18"/>
          <w:u w:val="single" w:color="auto"/>
          <w:color w:val="auto"/>
        </w:rPr>
        <w:t>Securities</w:t>
      </w:r>
    </w:p>
    <w:p>
      <w:pPr>
        <w:spacing w:after="0" w:line="171" w:lineRule="exact"/>
        <w:rPr>
          <w:sz w:val="20"/>
          <w:szCs w:val="20"/>
          <w:color w:val="auto"/>
        </w:rPr>
      </w:pPr>
    </w:p>
    <w:p>
      <w:pPr>
        <w:ind w:left="739" w:right="60"/>
        <w:spacing w:after="0" w:line="256" w:lineRule="auto"/>
        <w:rPr>
          <w:sz w:val="20"/>
          <w:szCs w:val="20"/>
          <w:color w:val="auto"/>
        </w:rPr>
      </w:pPr>
      <w:r>
        <w:rPr>
          <w:rFonts w:ascii="Times New Roman" w:cs="Times New Roman" w:eastAsia="Times New Roman" w:hAnsi="Times New Roman"/>
          <w:sz w:val="18"/>
          <w:szCs w:val="18"/>
          <w:color w:val="auto"/>
        </w:rPr>
        <w:t>The Company has investments in marketable securities that are included within Other assets on the accompanying Consolidated Balance Sheets. The fair value of the securities was determined using quoted prices in active markets, which are considered Level 1 inputs of the fair value hierarchy. Changes in the value of securities are recorded within Net investment income in the accompanying Consolidated Statements of Operations, and include unrealized gains of $0.7 million and unrealized gains of $1.4 million during the three months ended June 30, 2024 and 2023, respectively, and unrealized gains of $3.1 million and unrealized gains of $3.0 million during the six months ended June 30, 2024 and 2023, respectively.</w:t>
      </w:r>
    </w:p>
    <w:p>
      <w:pPr>
        <w:sectPr>
          <w:pgSz w:w="11900" w:h="16838" w:orient="portrait"/>
          <w:cols w:equalWidth="0" w:num="1">
            <w:col w:w="11199"/>
          </w:cols>
          <w:pgMar w:left="341" w:top="765"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9"/>
          </w:cols>
          <w:pgMar w:left="341" w:top="765" w:right="359" w:bottom="1440" w:gutter="0" w:footer="0" w:header="0"/>
          <w:type w:val="continuous"/>
        </w:sectPr>
      </w:pPr>
    </w:p>
    <w:bookmarkStart w:id="26" w:name="page27"/>
    <w:bookmarkEnd w:id="26"/>
    <w:p>
      <w:pPr>
        <w:jc w:val="center"/>
        <w:ind w:right="30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June 30, 2024</w:t>
      </w:r>
    </w:p>
    <w:p>
      <w:pPr>
        <w:spacing w:after="0" w:line="200" w:lineRule="exact"/>
        <w:rPr>
          <w:sz w:val="20"/>
          <w:szCs w:val="20"/>
          <w:color w:val="auto"/>
        </w:rPr>
      </w:pPr>
    </w:p>
    <w:p>
      <w:pPr>
        <w:spacing w:after="0" w:line="3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Available-for-Sale Debt Securities</w:t>
      </w:r>
    </w:p>
    <w:p>
      <w:pPr>
        <w:spacing w:after="0" w:line="171" w:lineRule="exact"/>
        <w:rPr>
          <w:sz w:val="20"/>
          <w:szCs w:val="20"/>
          <w:color w:val="auto"/>
        </w:rPr>
      </w:pPr>
    </w:p>
    <w:p>
      <w:pPr>
        <w:ind w:left="380" w:right="40"/>
        <w:spacing w:after="0" w:line="261" w:lineRule="auto"/>
        <w:rPr>
          <w:sz w:val="20"/>
          <w:szCs w:val="20"/>
          <w:color w:val="auto"/>
        </w:rPr>
      </w:pPr>
      <w:r>
        <w:rPr>
          <w:rFonts w:ascii="Times New Roman" w:cs="Times New Roman" w:eastAsia="Times New Roman" w:hAnsi="Times New Roman"/>
          <w:sz w:val="18"/>
          <w:szCs w:val="18"/>
          <w:color w:val="auto"/>
        </w:rPr>
        <w:t>Available-for-sale debt securities consist of investments in certificates of deposit and corporate bonds, and are recorded at fair value using either recent trade prices for the identical debt instrument or comparable instruments by issuers of similar industry sector, issuer rating, and size, to estimate fair value, which are considered Level 2 inputs of the fair value hierarchy. Unrealized gains or losses on these debt securities are recognized through Other comprehensive income.</w:t>
      </w:r>
    </w:p>
    <w:p>
      <w:pPr>
        <w:spacing w:after="0" w:line="1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Interest Rate Derivatives</w:t>
      </w:r>
    </w:p>
    <w:p>
      <w:pPr>
        <w:spacing w:after="0" w:line="171" w:lineRule="exact"/>
        <w:rPr>
          <w:sz w:val="20"/>
          <w:szCs w:val="20"/>
          <w:color w:val="auto"/>
        </w:rPr>
      </w:pPr>
    </w:p>
    <w:p>
      <w:pPr>
        <w:ind w:left="380"/>
        <w:spacing w:after="0" w:line="258" w:lineRule="auto"/>
        <w:rPr>
          <w:sz w:val="20"/>
          <w:szCs w:val="20"/>
          <w:color w:val="auto"/>
        </w:rPr>
      </w:pPr>
      <w:r>
        <w:rPr>
          <w:rFonts w:ascii="Times New Roman" w:cs="Times New Roman" w:eastAsia="Times New Roman" w:hAnsi="Times New Roman"/>
          <w:sz w:val="18"/>
          <w:szCs w:val="18"/>
          <w:color w:val="auto"/>
        </w:rPr>
        <w:t>The fair value of the Company's interest rate derivatives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29" w:lineRule="exact"/>
        <w:rPr>
          <w:sz w:val="20"/>
          <w:szCs w:val="20"/>
          <w:color w:val="auto"/>
        </w:rPr>
      </w:pPr>
    </w:p>
    <w:p>
      <w:pPr>
        <w:ind w:left="380" w:right="40"/>
        <w:spacing w:after="0" w:line="256"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swaps. As a result, the Company determined that its interest rate swaps valuation in its entirety is classified in Level 2 of the fair value hierarchy.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placement in the fair value hierarchy of assets and liabilities that are measured at fair value on a recurring basis: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Fair Value Measurements as of June 30, 2024</w:t>
            </w: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r>
      <w:tr>
        <w:trPr>
          <w:trHeight w:val="200"/>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Quoted Prices in Active</w:t>
            </w: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Markets for Identical</w:t>
            </w:r>
          </w:p>
        </w:tc>
        <w:tc>
          <w:tcPr>
            <w:tcW w:w="160" w:type="dxa"/>
            <w:vAlign w:val="bottom"/>
          </w:tcPr>
          <w:p>
            <w:pPr>
              <w:spacing w:after="0"/>
              <w:rPr>
                <w:sz w:val="17"/>
                <w:szCs w:val="17"/>
                <w:color w:val="auto"/>
              </w:rPr>
            </w:pPr>
          </w:p>
        </w:tc>
        <w:tc>
          <w:tcPr>
            <w:tcW w:w="18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Pr>
          <w:p>
            <w:pPr>
              <w:spacing w:after="0"/>
              <w:rPr>
                <w:sz w:val="17"/>
                <w:szCs w:val="17"/>
                <w:color w:val="auto"/>
              </w:rPr>
            </w:pPr>
          </w:p>
        </w:tc>
        <w:tc>
          <w:tcPr>
            <w:tcW w:w="18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12"/>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8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40" w:type="dxa"/>
            <w:vAlign w:val="bottom"/>
          </w:tcPr>
          <w:p>
            <w:pPr>
              <w:spacing w:after="0"/>
              <w:rPr>
                <w:sz w:val="18"/>
                <w:szCs w:val="18"/>
                <w:color w:val="auto"/>
              </w:rPr>
            </w:pPr>
          </w:p>
        </w:tc>
        <w:tc>
          <w:tcPr>
            <w:tcW w:w="18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49"/>
        </w:trPr>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21"/>
                <w:szCs w:val="21"/>
                <w:color w:val="auto"/>
              </w:rPr>
            </w:pPr>
          </w:p>
        </w:tc>
        <w:tc>
          <w:tcPr>
            <w:tcW w:w="18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60" w:type="dxa"/>
            <w:vAlign w:val="bottom"/>
          </w:tcPr>
          <w:p>
            <w:pPr>
              <w:spacing w:after="0"/>
              <w:rPr>
                <w:sz w:val="21"/>
                <w:szCs w:val="21"/>
                <w:color w:val="auto"/>
              </w:rPr>
            </w:pPr>
          </w:p>
        </w:tc>
        <w:tc>
          <w:tcPr>
            <w:tcW w:w="18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21"/>
                <w:szCs w:val="21"/>
                <w:color w:val="auto"/>
              </w:rPr>
            </w:pPr>
          </w:p>
        </w:tc>
        <w:tc>
          <w:tcPr>
            <w:tcW w:w="18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169"/>
        </w:trPr>
        <w:tc>
          <w:tcPr>
            <w:tcW w:w="300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r>
      <w:tr>
        <w:trPr>
          <w:trHeight w:val="34"/>
        </w:trPr>
        <w:tc>
          <w:tcPr>
            <w:tcW w:w="480" w:type="dxa"/>
            <w:vAlign w:val="bottom"/>
            <w:tcBorders>
              <w:top w:val="single" w:sz="8" w:color="auto"/>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226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8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r>
      <w:tr>
        <w:trPr>
          <w:trHeight w:val="220"/>
        </w:trPr>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36,901</w:t>
            </w:r>
          </w:p>
        </w:tc>
        <w:tc>
          <w:tcPr>
            <w:tcW w:w="20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36,901</w:t>
            </w:r>
          </w:p>
        </w:tc>
        <w:tc>
          <w:tcPr>
            <w:tcW w:w="160" w:type="dxa"/>
            <w:vAlign w:val="bottom"/>
          </w:tcPr>
          <w:p>
            <w:pPr>
              <w:spacing w:after="0"/>
              <w:rPr>
                <w:sz w:val="19"/>
                <w:szCs w:val="19"/>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82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Available-for-sale debt securities</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13,755</w:t>
            </w:r>
          </w:p>
        </w:tc>
        <w:tc>
          <w:tcPr>
            <w:tcW w:w="160" w:type="dxa"/>
            <w:vAlign w:val="bottom"/>
            <w:shd w:val="clear" w:color="auto" w:fill="CFF0FC"/>
          </w:tcPr>
          <w:p>
            <w:pPr>
              <w:spacing w:after="0"/>
              <w:rPr>
                <w:sz w:val="20"/>
                <w:szCs w:val="20"/>
                <w:color w:val="auto"/>
              </w:rPr>
            </w:pPr>
          </w:p>
        </w:tc>
        <w:tc>
          <w:tcPr>
            <w:tcW w:w="1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13,755</w:t>
            </w:r>
          </w:p>
        </w:tc>
        <w:tc>
          <w:tcPr>
            <w:tcW w:w="140" w:type="dxa"/>
            <w:vAlign w:val="bottom"/>
            <w:shd w:val="clear" w:color="auto" w:fill="CFF0FC"/>
          </w:tcPr>
          <w:p>
            <w:pPr>
              <w:spacing w:after="0"/>
              <w:rPr>
                <w:sz w:val="20"/>
                <w:szCs w:val="20"/>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rate derivatives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16,293</w:t>
            </w:r>
          </w:p>
        </w:tc>
        <w:tc>
          <w:tcPr>
            <w:tcW w:w="160" w:type="dxa"/>
            <w:vAlign w:val="bottom"/>
          </w:tcPr>
          <w:p>
            <w:pPr>
              <w:spacing w:after="0"/>
              <w:rPr>
                <w:sz w:val="19"/>
                <w:szCs w:val="19"/>
                <w:color w:val="auto"/>
              </w:rPr>
            </w:pPr>
          </w:p>
        </w:tc>
        <w:tc>
          <w:tcPr>
            <w:tcW w:w="1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16,293</w:t>
            </w:r>
          </w:p>
        </w:tc>
        <w:tc>
          <w:tcPr>
            <w:tcW w:w="140" w:type="dxa"/>
            <w:vAlign w:val="bottom"/>
          </w:tcPr>
          <w:p>
            <w:pPr>
              <w:spacing w:after="0"/>
              <w:rPr>
                <w:sz w:val="19"/>
                <w:szCs w:val="19"/>
                <w:color w:val="auto"/>
              </w:rPr>
            </w:pPr>
          </w:p>
        </w:tc>
        <w:tc>
          <w:tcPr>
            <w:tcW w:w="18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30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66,949</w:t>
            </w:r>
          </w:p>
        </w:tc>
        <w:tc>
          <w:tcPr>
            <w:tcW w:w="20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36,901</w:t>
            </w:r>
          </w:p>
        </w:tc>
        <w:tc>
          <w:tcPr>
            <w:tcW w:w="1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30,048</w:t>
            </w:r>
          </w:p>
        </w:tc>
        <w:tc>
          <w:tcPr>
            <w:tcW w:w="140" w:type="dxa"/>
            <w:vAlign w:val="bottom"/>
            <w:shd w:val="clear" w:color="auto" w:fill="CFF0FC"/>
          </w:tcPr>
          <w:p>
            <w:pPr>
              <w:spacing w:after="0"/>
              <w:rPr>
                <w:sz w:val="22"/>
                <w:szCs w:val="22"/>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163"/>
        </w:trPr>
        <w:tc>
          <w:tcPr>
            <w:tcW w:w="3000" w:type="dxa"/>
            <w:vAlign w:val="bottom"/>
            <w:tcBorders>
              <w:top w:val="single" w:sz="8" w:color="CFF0FC"/>
            </w:tcBorders>
            <w:gridSpan w:val="3"/>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r>
      <w:tr>
        <w:trPr>
          <w:trHeight w:val="34"/>
        </w:trPr>
        <w:tc>
          <w:tcPr>
            <w:tcW w:w="4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0"/>
        </w:trPr>
        <w:tc>
          <w:tcPr>
            <w:tcW w:w="3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derivatives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(261 )</w:t>
            </w: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(261 )</w:t>
            </w: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425"/>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 as of December 31, 2023</w:t>
            </w: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00"/>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Quoted Prices in Active</w:t>
            </w: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Markets for Identical</w:t>
            </w:r>
          </w:p>
        </w:tc>
        <w:tc>
          <w:tcPr>
            <w:tcW w:w="160" w:type="dxa"/>
            <w:vAlign w:val="bottom"/>
          </w:tcPr>
          <w:p>
            <w:pPr>
              <w:spacing w:after="0"/>
              <w:rPr>
                <w:sz w:val="17"/>
                <w:szCs w:val="17"/>
                <w:color w:val="auto"/>
              </w:rPr>
            </w:pPr>
          </w:p>
        </w:tc>
        <w:tc>
          <w:tcPr>
            <w:tcW w:w="18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Pr>
          <w:p>
            <w:pPr>
              <w:spacing w:after="0"/>
              <w:rPr>
                <w:sz w:val="17"/>
                <w:szCs w:val="17"/>
                <w:color w:val="auto"/>
              </w:rPr>
            </w:pPr>
          </w:p>
        </w:tc>
        <w:tc>
          <w:tcPr>
            <w:tcW w:w="18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12"/>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8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40" w:type="dxa"/>
            <w:vAlign w:val="bottom"/>
          </w:tcPr>
          <w:p>
            <w:pPr>
              <w:spacing w:after="0"/>
              <w:rPr>
                <w:sz w:val="18"/>
                <w:szCs w:val="18"/>
                <w:color w:val="auto"/>
              </w:rPr>
            </w:pPr>
          </w:p>
        </w:tc>
        <w:tc>
          <w:tcPr>
            <w:tcW w:w="18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49"/>
        </w:trPr>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21"/>
                <w:szCs w:val="21"/>
                <w:color w:val="auto"/>
              </w:rPr>
            </w:pPr>
          </w:p>
        </w:tc>
        <w:tc>
          <w:tcPr>
            <w:tcW w:w="18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60" w:type="dxa"/>
            <w:vAlign w:val="bottom"/>
          </w:tcPr>
          <w:p>
            <w:pPr>
              <w:spacing w:after="0"/>
              <w:rPr>
                <w:sz w:val="21"/>
                <w:szCs w:val="21"/>
                <w:color w:val="auto"/>
              </w:rPr>
            </w:pPr>
          </w:p>
        </w:tc>
        <w:tc>
          <w:tcPr>
            <w:tcW w:w="18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21"/>
                <w:szCs w:val="21"/>
                <w:color w:val="auto"/>
              </w:rPr>
            </w:pPr>
          </w:p>
        </w:tc>
        <w:tc>
          <w:tcPr>
            <w:tcW w:w="18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169"/>
        </w:trPr>
        <w:tc>
          <w:tcPr>
            <w:tcW w:w="300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r>
      <w:tr>
        <w:trPr>
          <w:trHeight w:val="34"/>
        </w:trPr>
        <w:tc>
          <w:tcPr>
            <w:tcW w:w="480" w:type="dxa"/>
            <w:vAlign w:val="bottom"/>
            <w:tcBorders>
              <w:top w:val="single" w:sz="8" w:color="auto"/>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226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8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r>
      <w:tr>
        <w:trPr>
          <w:trHeight w:val="220"/>
        </w:trPr>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37,039</w:t>
            </w:r>
          </w:p>
        </w:tc>
        <w:tc>
          <w:tcPr>
            <w:tcW w:w="20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37,039</w:t>
            </w:r>
          </w:p>
        </w:tc>
        <w:tc>
          <w:tcPr>
            <w:tcW w:w="160" w:type="dxa"/>
            <w:vAlign w:val="bottom"/>
          </w:tcPr>
          <w:p>
            <w:pPr>
              <w:spacing w:after="0"/>
              <w:rPr>
                <w:sz w:val="19"/>
                <w:szCs w:val="19"/>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82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Available-for-sale debt securities</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14,953</w:t>
            </w:r>
          </w:p>
        </w:tc>
        <w:tc>
          <w:tcPr>
            <w:tcW w:w="160" w:type="dxa"/>
            <w:vAlign w:val="bottom"/>
            <w:shd w:val="clear" w:color="auto" w:fill="CFF0FC"/>
          </w:tcPr>
          <w:p>
            <w:pPr>
              <w:spacing w:after="0"/>
              <w:rPr>
                <w:sz w:val="20"/>
                <w:szCs w:val="20"/>
                <w:color w:val="auto"/>
              </w:rPr>
            </w:pPr>
          </w:p>
        </w:tc>
        <w:tc>
          <w:tcPr>
            <w:tcW w:w="1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14,953</w:t>
            </w:r>
          </w:p>
        </w:tc>
        <w:tc>
          <w:tcPr>
            <w:tcW w:w="140" w:type="dxa"/>
            <w:vAlign w:val="bottom"/>
            <w:shd w:val="clear" w:color="auto" w:fill="CFF0FC"/>
          </w:tcPr>
          <w:p>
            <w:pPr>
              <w:spacing w:after="0"/>
              <w:rPr>
                <w:sz w:val="20"/>
                <w:szCs w:val="20"/>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rate derivatives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14,213</w:t>
            </w:r>
          </w:p>
        </w:tc>
        <w:tc>
          <w:tcPr>
            <w:tcW w:w="160" w:type="dxa"/>
            <w:vAlign w:val="bottom"/>
          </w:tcPr>
          <w:p>
            <w:pPr>
              <w:spacing w:after="0"/>
              <w:rPr>
                <w:sz w:val="19"/>
                <w:szCs w:val="19"/>
                <w:color w:val="auto"/>
              </w:rPr>
            </w:pPr>
          </w:p>
        </w:tc>
        <w:tc>
          <w:tcPr>
            <w:tcW w:w="1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14,213</w:t>
            </w:r>
          </w:p>
        </w:tc>
        <w:tc>
          <w:tcPr>
            <w:tcW w:w="140" w:type="dxa"/>
            <w:vAlign w:val="bottom"/>
          </w:tcPr>
          <w:p>
            <w:pPr>
              <w:spacing w:after="0"/>
              <w:rPr>
                <w:sz w:val="19"/>
                <w:szCs w:val="19"/>
                <w:color w:val="auto"/>
              </w:rPr>
            </w:pPr>
          </w:p>
        </w:tc>
        <w:tc>
          <w:tcPr>
            <w:tcW w:w="18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30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66,205</w:t>
            </w:r>
          </w:p>
        </w:tc>
        <w:tc>
          <w:tcPr>
            <w:tcW w:w="20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37,039</w:t>
            </w:r>
          </w:p>
        </w:tc>
        <w:tc>
          <w:tcPr>
            <w:tcW w:w="1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29,166</w:t>
            </w:r>
          </w:p>
        </w:tc>
        <w:tc>
          <w:tcPr>
            <w:tcW w:w="140" w:type="dxa"/>
            <w:vAlign w:val="bottom"/>
            <w:shd w:val="clear" w:color="auto" w:fill="CFF0FC"/>
          </w:tcPr>
          <w:p>
            <w:pPr>
              <w:spacing w:after="0"/>
              <w:rPr>
                <w:sz w:val="22"/>
                <w:szCs w:val="22"/>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163"/>
        </w:trPr>
        <w:tc>
          <w:tcPr>
            <w:tcW w:w="3000" w:type="dxa"/>
            <w:vAlign w:val="bottom"/>
            <w:tcBorders>
              <w:top w:val="single" w:sz="8" w:color="CFF0FC"/>
            </w:tcBorders>
            <w:gridSpan w:val="3"/>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r>
      <w:tr>
        <w:trPr>
          <w:trHeight w:val="34"/>
        </w:trPr>
        <w:tc>
          <w:tcPr>
            <w:tcW w:w="4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0"/>
        </w:trPr>
        <w:tc>
          <w:tcPr>
            <w:tcW w:w="3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derivatives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(1,335 )</w:t>
            </w: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(1,335 )</w:t>
            </w: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-2211070</wp:posOffset>
            </wp:positionV>
            <wp:extent cx="10287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2849880</wp:posOffset>
            </wp:positionH>
            <wp:positionV relativeFrom="paragraph">
              <wp:posOffset>-2193925</wp:posOffset>
            </wp:positionV>
            <wp:extent cx="1028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-2211070</wp:posOffset>
            </wp:positionV>
            <wp:extent cx="1028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-2193925</wp:posOffset>
            </wp:positionV>
            <wp:extent cx="1028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-2211070</wp:posOffset>
            </wp:positionV>
            <wp:extent cx="9461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-2193925</wp:posOffset>
            </wp:positionV>
            <wp:extent cx="9461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2849880</wp:posOffset>
            </wp:positionH>
            <wp:positionV relativeFrom="paragraph">
              <wp:posOffset>-316865</wp:posOffset>
            </wp:positionV>
            <wp:extent cx="10287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2849880</wp:posOffset>
            </wp:positionH>
            <wp:positionV relativeFrom="paragraph">
              <wp:posOffset>-299720</wp:posOffset>
            </wp:positionV>
            <wp:extent cx="1028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-316865</wp:posOffset>
            </wp:positionV>
            <wp:extent cx="1028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-299720</wp:posOffset>
            </wp:positionV>
            <wp:extent cx="1028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-316865</wp:posOffset>
            </wp:positionV>
            <wp:extent cx="9461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-299720</wp:posOffset>
            </wp:positionV>
            <wp:extent cx="9461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ectPr>
          <w:pgSz w:w="11900" w:h="16838" w:orient="portrait"/>
          <w:cols w:equalWidth="0" w:num="1">
            <w:col w:w="10800"/>
          </w:cols>
          <w:pgMar w:left="700" w:top="76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00" w:top="765" w:right="399" w:bottom="1440" w:gutter="0" w:footer="0" w:header="0"/>
          <w:type w:val="continuous"/>
        </w:sectPr>
      </w:pPr>
    </w:p>
    <w:bookmarkStart w:id="27" w:name="page28"/>
    <w:bookmarkEnd w:id="27"/>
    <w:p>
      <w:pPr>
        <w:jc w:val="center"/>
        <w:ind w:left="400" w:right="262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9" w:hanging="339"/>
        <w:spacing w:after="0"/>
        <w:tabs>
          <w:tab w:leader="none" w:pos="33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and Capital</w:t>
      </w:r>
    </w:p>
    <w:p>
      <w:pPr>
        <w:spacing w:after="0" w:line="185"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u w:val="single" w:color="auto"/>
          <w:color w:val="auto"/>
        </w:rPr>
        <w:t>Preferred Stock of the Parent Company</w:t>
      </w:r>
    </w:p>
    <w:p>
      <w:pPr>
        <w:spacing w:after="0" w:line="171"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Terms and conditions of the preferred stock outstanding are summarized as follows:</w:t>
      </w:r>
    </w:p>
    <w:p>
      <w:pPr>
        <w:spacing w:after="0" w:line="282" w:lineRule="exact"/>
        <w:rPr>
          <w:sz w:val="20"/>
          <w:szCs w:val="20"/>
          <w:color w:val="auto"/>
        </w:rPr>
      </w:pPr>
    </w:p>
    <w:tbl>
      <w:tblPr>
        <w:tblLayout w:type="fixed"/>
        <w:tblInd w:w="399" w:type="dxa"/>
        <w:tblCellMar>
          <w:top w:w="0" w:type="dxa"/>
          <w:left w:w="0" w:type="dxa"/>
          <w:bottom w:w="0" w:type="dxa"/>
          <w:right w:w="0" w:type="dxa"/>
        </w:tblCellMar>
      </w:tblPr>
      <w:tr>
        <w:trPr>
          <w:trHeight w:val="225"/>
        </w:trPr>
        <w:tc>
          <w:tcPr>
            <w:tcW w:w="170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30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6"/>
                <w:szCs w:val="16"/>
                <w:b w:val="1"/>
                <w:bCs w:val="1"/>
                <w:color w:val="auto"/>
              </w:rPr>
              <w:t>Preferred Stock Outstanding as of June 30, 2024 and December 31, 2023</w:t>
            </w:r>
          </w:p>
        </w:tc>
        <w:tc>
          <w:tcPr>
            <w:tcW w:w="1800" w:type="dxa"/>
            <w:vAlign w:val="bottom"/>
            <w:tcBorders>
              <w:bottom w:val="single" w:sz="8" w:color="auto"/>
            </w:tcBorders>
          </w:tcPr>
          <w:p>
            <w:pPr>
              <w:spacing w:after="0"/>
              <w:rPr>
                <w:sz w:val="19"/>
                <w:szCs w:val="19"/>
                <w:color w:val="auto"/>
              </w:rPr>
            </w:pPr>
          </w:p>
        </w:tc>
      </w:tr>
      <w:tr>
        <w:trPr>
          <w:trHeight w:val="200"/>
        </w:trPr>
        <w:tc>
          <w:tcPr>
            <w:tcW w:w="1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 Issued and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25"/>
        </w:trPr>
        <w:tc>
          <w:tcPr>
            <w:tcW w:w="170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 Issuance</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Liquidation Preference</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Distribution Rate</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Callable By Company</w:t>
            </w:r>
          </w:p>
        </w:tc>
      </w:tr>
      <w:tr>
        <w:trPr>
          <w:trHeight w:val="229"/>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Series A</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8/18/2023</w:t>
            </w:r>
          </w:p>
        </w:tc>
        <w:tc>
          <w:tcPr>
            <w:tcW w:w="17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4,600,000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115,000,000</w:t>
            </w:r>
          </w:p>
        </w:tc>
        <w:tc>
          <w:tcPr>
            <w:tcW w:w="1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On demand</w:t>
            </w: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Series B</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8/18/2023</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4,400,000</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110,000,000</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5.875%</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On or after 10/1/2024</w:t>
            </w:r>
          </w:p>
        </w:tc>
      </w:tr>
      <w:tr>
        <w:trPr>
          <w:trHeight w:val="259"/>
        </w:trPr>
        <w:tc>
          <w:tcPr>
            <w:tcW w:w="170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9,000,000</w:t>
            </w:r>
          </w:p>
        </w:tc>
        <w:tc>
          <w:tcPr>
            <w:tcW w:w="1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225,000,000</w:t>
            </w:r>
          </w:p>
        </w:tc>
        <w:tc>
          <w:tcPr>
            <w:tcW w:w="10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8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-25400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3394710</wp:posOffset>
            </wp:positionH>
            <wp:positionV relativeFrom="paragraph">
              <wp:posOffset>-8255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4663440</wp:posOffset>
            </wp:positionH>
            <wp:positionV relativeFrom="paragraph">
              <wp:posOffset>-25400</wp:posOffset>
            </wp:positionV>
            <wp:extent cx="60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4663440</wp:posOffset>
            </wp:positionH>
            <wp:positionV relativeFrom="paragraph">
              <wp:posOffset>-8255</wp:posOffset>
            </wp:positionV>
            <wp:extent cx="603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2"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i w:val="1"/>
          <w:iCs w:val="1"/>
          <w:color w:val="auto"/>
        </w:rPr>
        <w:t>Dividends Declared</w:t>
      </w:r>
    </w:p>
    <w:p>
      <w:pPr>
        <w:spacing w:after="0" w:line="173"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On July 31, 2024, the Board:</w:t>
      </w:r>
    </w:p>
    <w:p>
      <w:pPr>
        <w:spacing w:after="0" w:line="63" w:lineRule="exact"/>
        <w:rPr>
          <w:sz w:val="20"/>
          <w:szCs w:val="20"/>
          <w:color w:val="auto"/>
        </w:rPr>
      </w:pPr>
    </w:p>
    <w:p>
      <w:pPr>
        <w:ind w:left="999" w:right="20" w:hanging="503"/>
        <w:spacing w:after="0" w:line="281" w:lineRule="auto"/>
        <w:tabs>
          <w:tab w:leader="none" w:pos="99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dividends on the Series A Preferred Stock, which will be paid at a rate of $0.390625 per share on October 31, 2024. The dividends will be payable to holders of record of the Series A Preferred Stock as of the close of business on October 16, 2024; and</w:t>
      </w:r>
    </w:p>
    <w:p>
      <w:pPr>
        <w:spacing w:after="0" w:line="1" w:lineRule="exact"/>
        <w:rPr>
          <w:rFonts w:ascii="Times New Roman" w:cs="Times New Roman" w:eastAsia="Times New Roman" w:hAnsi="Times New Roman"/>
          <w:sz w:val="18"/>
          <w:szCs w:val="18"/>
          <w:color w:val="auto"/>
        </w:rPr>
      </w:pPr>
    </w:p>
    <w:p>
      <w:pPr>
        <w:ind w:left="999" w:right="160" w:hanging="503"/>
        <w:spacing w:after="0" w:line="282" w:lineRule="auto"/>
        <w:tabs>
          <w:tab w:leader="none" w:pos="99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dividend on the Series B Preferred Stock, which will be paid at a rate of $0.367200 per share on October 31, 2024. The dividend will be payable to holders of record of the Series B Preferred Stock as of the close of business on October 16, 2024.</w:t>
      </w:r>
    </w:p>
    <w:p>
      <w:pPr>
        <w:spacing w:after="0" w:line="162"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u w:val="single" w:color="auto"/>
          <w:color w:val="auto"/>
        </w:rPr>
        <w:t>Common Stock of the Parent Company</w:t>
      </w:r>
    </w:p>
    <w:p>
      <w:pPr>
        <w:spacing w:after="0" w:line="169"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i w:val="1"/>
          <w:iCs w:val="1"/>
          <w:color w:val="auto"/>
        </w:rPr>
        <w:t>Dividends Declared</w:t>
      </w:r>
    </w:p>
    <w:p>
      <w:pPr>
        <w:spacing w:after="0" w:line="173" w:lineRule="exact"/>
        <w:rPr>
          <w:sz w:val="20"/>
          <w:szCs w:val="20"/>
          <w:color w:val="auto"/>
        </w:rPr>
      </w:pPr>
    </w:p>
    <w:p>
      <w:pPr>
        <w:ind w:left="359" w:right="520"/>
        <w:spacing w:after="0" w:line="282" w:lineRule="auto"/>
        <w:rPr>
          <w:sz w:val="20"/>
          <w:szCs w:val="20"/>
          <w:color w:val="auto"/>
        </w:rPr>
      </w:pPr>
      <w:r>
        <w:rPr>
          <w:rFonts w:ascii="Times New Roman" w:cs="Times New Roman" w:eastAsia="Times New Roman" w:hAnsi="Times New Roman"/>
          <w:sz w:val="18"/>
          <w:szCs w:val="18"/>
          <w:color w:val="auto"/>
        </w:rPr>
        <w:t>On July 31, 2024, the Board declared a common stock dividend of $0.67 per share, payable on October 3, 2024, to shareholders of record as of September 12, 2024.</w:t>
      </w:r>
    </w:p>
    <w:p>
      <w:pPr>
        <w:spacing w:after="0" w:line="108" w:lineRule="exact"/>
        <w:rPr>
          <w:sz w:val="20"/>
          <w:szCs w:val="20"/>
          <w:color w:val="auto"/>
        </w:rPr>
      </w:pPr>
    </w:p>
    <w:p>
      <w:pPr>
        <w:ind w:left="359" w:right="360"/>
        <w:spacing w:after="0" w:line="282" w:lineRule="auto"/>
        <w:rPr>
          <w:sz w:val="20"/>
          <w:szCs w:val="20"/>
          <w:color w:val="auto"/>
        </w:rPr>
      </w:pPr>
      <w:r>
        <w:rPr>
          <w:rFonts w:ascii="Times New Roman" w:cs="Times New Roman" w:eastAsia="Times New Roman" w:hAnsi="Times New Roman"/>
          <w:sz w:val="18"/>
          <w:szCs w:val="18"/>
          <w:color w:val="auto"/>
        </w:rPr>
        <w:t>On August 1, 2023, our Board declared a common stock dividend of $0.65 per share, payable on October 4, 2023, to shareholders of record as of September 14, 2023.</w:t>
      </w:r>
    </w:p>
    <w:p>
      <w:pPr>
        <w:spacing w:after="0" w:line="106"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i w:val="1"/>
          <w:iCs w:val="1"/>
          <w:color w:val="auto"/>
        </w:rPr>
        <w:t>At the Market ("ATM") Program</w:t>
      </w:r>
    </w:p>
    <w:p>
      <w:pPr>
        <w:spacing w:after="0" w:line="173" w:lineRule="exact"/>
        <w:rPr>
          <w:sz w:val="20"/>
          <w:szCs w:val="20"/>
          <w:color w:val="auto"/>
        </w:rPr>
      </w:pPr>
    </w:p>
    <w:p>
      <w:pPr>
        <w:ind w:left="359"/>
        <w:spacing w:after="0" w:line="261" w:lineRule="auto"/>
        <w:rPr>
          <w:sz w:val="20"/>
          <w:szCs w:val="20"/>
          <w:color w:val="auto"/>
        </w:rPr>
      </w:pPr>
      <w:r>
        <w:rPr>
          <w:rFonts w:ascii="Times New Roman" w:cs="Times New Roman" w:eastAsia="Times New Roman" w:hAnsi="Times New Roman"/>
          <w:sz w:val="18"/>
          <w:szCs w:val="18"/>
          <w:color w:val="auto"/>
        </w:rPr>
        <w:t>Under the Parent Company's ATM program, as authorized by the Board, the Parent Company may sell up to $500 million of common stock at prices determined by the market at the time of sale. The timing of sales, if any, will be dependent on market conditions and other factors. No sales occurred under the ATM program during both the six months ended June 30, 2024 and 2023. As of June 30, 2024, $500 million of common stock remained available for issuance under this ATM equity program.</w:t>
      </w:r>
    </w:p>
    <w:p>
      <w:pPr>
        <w:spacing w:after="0" w:line="124"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73" w:lineRule="exact"/>
        <w:rPr>
          <w:sz w:val="20"/>
          <w:szCs w:val="20"/>
          <w:color w:val="auto"/>
        </w:rPr>
      </w:pPr>
    </w:p>
    <w:p>
      <w:pPr>
        <w:ind w:left="359" w:right="80"/>
        <w:spacing w:after="0" w:line="258" w:lineRule="auto"/>
        <w:rPr>
          <w:sz w:val="20"/>
          <w:szCs w:val="20"/>
          <w:color w:val="auto"/>
        </w:rPr>
      </w:pPr>
      <w:r>
        <w:rPr>
          <w:rFonts w:ascii="Times New Roman" w:cs="Times New Roman" w:eastAsia="Times New Roman" w:hAnsi="Times New Roman"/>
          <w:sz w:val="18"/>
          <w:szCs w:val="18"/>
          <w:color w:val="auto"/>
        </w:rPr>
        <w:t>On February 8, 2023, the Board authorized a common stock repurchase program under which the Company may purchase up to a maximum of $250 million of its outstanding common stock through open market purchases, and/or in privately negotiated transactions (referred to as the "Repurchase Program"). The timing and price of stock repurchases, if any, are dependent upon market conditions and other factors. The stock repurchased, if not retired, is be treated as treasury stock. The Board's authorization for the Repurchase Program was to expire on February 7, 2025, unless modified, extended or earlier terminated by the Board in its discretion.</w:t>
      </w:r>
    </w:p>
    <w:p>
      <w:pPr>
        <w:spacing w:after="0" w:line="129" w:lineRule="exact"/>
        <w:rPr>
          <w:sz w:val="20"/>
          <w:szCs w:val="20"/>
          <w:color w:val="auto"/>
        </w:rPr>
      </w:pPr>
    </w:p>
    <w:p>
      <w:pPr>
        <w:ind w:left="359" w:right="2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the Company executed multiple trades by which it repurchased 3.3 million common shares under the Repurchase Program for a total of $200 million at a weighted average price of $60.48 per share. These shares were repurchased through open market purchases in accordance with applicable federal securities laws, including Rule 10b-18 of the Exchange Act of 1934 (the "Exchange Act"). All repurchased shares were retired on the respective settlement dates. At June 30, 2024, $30.0 million remained available under the Repurchase Program.</w:t>
      </w:r>
    </w:p>
    <w:p>
      <w:pPr>
        <w:spacing w:after="0" w:line="183"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9"/>
          </w:cols>
          <w:pgMar w:left="341" w:top="765" w:right="399" w:bottom="1440" w:gutter="0" w:footer="0" w:header="0"/>
        </w:sectPr>
      </w:pPr>
    </w:p>
    <w:bookmarkStart w:id="28" w:name="page29"/>
    <w:bookmarkEnd w:id="28"/>
    <w:p>
      <w:pPr>
        <w:jc w:val="center"/>
        <w:ind w:left="360" w:right="266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June 30, 2024</w:t>
      </w:r>
    </w:p>
    <w:p>
      <w:pPr>
        <w:spacing w:after="0" w:line="200" w:lineRule="exact"/>
        <w:rPr>
          <w:sz w:val="20"/>
          <w:szCs w:val="20"/>
          <w:color w:val="auto"/>
        </w:rPr>
      </w:pPr>
    </w:p>
    <w:p>
      <w:pPr>
        <w:spacing w:after="0" w:line="377" w:lineRule="exact"/>
        <w:rPr>
          <w:sz w:val="20"/>
          <w:szCs w:val="20"/>
          <w:color w:val="auto"/>
        </w:rPr>
      </w:pPr>
    </w:p>
    <w:p>
      <w:pPr>
        <w:ind w:left="360" w:right="8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2023, the Company executed multiple trades to repurchase 349,519 common shares under the Repurchase Program for a total of $20.0 million at a weighted average price of $57.22 per share. All repurchased shares were retired on the respective settlement dates.</w:t>
      </w:r>
    </w:p>
    <w:p>
      <w:pPr>
        <w:spacing w:after="0" w:line="122" w:lineRule="exact"/>
        <w:rPr>
          <w:sz w:val="20"/>
          <w:szCs w:val="20"/>
          <w:color w:val="auto"/>
        </w:rPr>
      </w:pPr>
    </w:p>
    <w:p>
      <w:pPr>
        <w:ind w:left="360" w:right="120"/>
        <w:spacing w:after="0" w:line="256" w:lineRule="auto"/>
        <w:rPr>
          <w:sz w:val="20"/>
          <w:szCs w:val="20"/>
          <w:color w:val="auto"/>
        </w:rPr>
      </w:pPr>
      <w:r>
        <w:rPr>
          <w:rFonts w:ascii="Times New Roman" w:cs="Times New Roman" w:eastAsia="Times New Roman" w:hAnsi="Times New Roman"/>
          <w:sz w:val="18"/>
          <w:szCs w:val="18"/>
          <w:color w:val="auto"/>
        </w:rPr>
        <w:t>On July 31, 2024, the Board authorized and approved a new common stock repurchase program under which the Company may purchase up to $250 million of shares of the Company’s outstanding common stock (the “New Repurchase Program”). The New Repurchase Program replaces and supercedes, in all respects, the Repurchase Program noted above. Under the New Repurchase Program, the Company intends to repurchase shares through open market purchases in accordance with applicable federal securities laws, including Rule 10b-18 of the Exchange Act. The Board's authorization for the New Repurchase Program expires on June 30, 2026, unless modified, extended or earlier terminated by the Board in its discretion.</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Preferred Units of the Operating Partnership</w:t>
      </w:r>
    </w:p>
    <w:p>
      <w:pPr>
        <w:spacing w:after="0" w:line="171" w:lineRule="exact"/>
        <w:rPr>
          <w:sz w:val="20"/>
          <w:szCs w:val="20"/>
          <w:color w:val="auto"/>
        </w:rPr>
      </w:pPr>
    </w:p>
    <w:p>
      <w:pPr>
        <w:ind w:left="360" w:right="420"/>
        <w:spacing w:after="0" w:line="282" w:lineRule="auto"/>
        <w:rPr>
          <w:sz w:val="20"/>
          <w:szCs w:val="20"/>
          <w:color w:val="auto"/>
        </w:rPr>
      </w:pPr>
      <w:r>
        <w:rPr>
          <w:rFonts w:ascii="Times New Roman" w:cs="Times New Roman" w:eastAsia="Times New Roman" w:hAnsi="Times New Roman"/>
          <w:sz w:val="18"/>
          <w:szCs w:val="18"/>
          <w:color w:val="auto"/>
        </w:rPr>
        <w:t>The number of Series A Preferred Units and Series B Preferred Units, respectively, issued by the Operating Partnership is equal to the number of Series A Preferred Stock and Series B Preferred Stock, respectively, issued by the Parent Company.</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Common Units of the Operating Partnership</w:t>
      </w:r>
    </w:p>
    <w:p>
      <w:pPr>
        <w:spacing w:after="0" w:line="171" w:lineRule="exact"/>
        <w:rPr>
          <w:sz w:val="20"/>
          <w:szCs w:val="20"/>
          <w:color w:val="auto"/>
        </w:rPr>
      </w:pPr>
    </w:p>
    <w:p>
      <w:pPr>
        <w:ind w:left="360" w:right="20"/>
        <w:spacing w:after="0" w:line="261" w:lineRule="auto"/>
        <w:rPr>
          <w:sz w:val="20"/>
          <w:szCs w:val="20"/>
          <w:color w:val="auto"/>
        </w:rPr>
      </w:pPr>
      <w:r>
        <w:rPr>
          <w:rFonts w:ascii="Times New Roman" w:cs="Times New Roman" w:eastAsia="Times New Roman" w:hAnsi="Times New Roman"/>
          <w:sz w:val="18"/>
          <w:szCs w:val="18"/>
          <w:color w:val="auto"/>
        </w:rPr>
        <w:t>Common Units are issued, or redeemed and retired, for each share of the Parent Company stock issued or redeemed, or retired, as described above. During the six months ended June 30, 2024, 7,938 Partnership Units were converted to Parent Company common stock. During the six months ended June 30, 2023 the Operating Partnership issued 338,704 exchangeable operating partnership units, valued at $20.0 million, as partial purchase price consideration for a development property.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Stock-Based Compensation</w:t>
      </w:r>
    </w:p>
    <w:p>
      <w:pPr>
        <w:spacing w:after="0" w:line="185" w:lineRule="exact"/>
        <w:rPr>
          <w:sz w:val="20"/>
          <w:szCs w:val="20"/>
          <w:color w:val="auto"/>
        </w:rPr>
      </w:pPr>
    </w:p>
    <w:p>
      <w:pPr>
        <w:ind w:left="36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343,014 shares of restricted stock with a weighted-average grant-date fair value of $60.25 per share. During the six months ended June 30, 2023, the Company granted 301,099 shares of restricted stock with a weighted-average grant-date fair value of $68.29 per share. The Company records stock-based compensation expense within General and administrative expenses in the accompanying Consolidated Statements of Operations, and recognizes forfeitures as they occur.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Earnings per Share and Unit</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Parent Company Earnings per Share</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summarizes the calculation of basic and diluted earnings per share:</w:t>
      </w:r>
    </w:p>
    <w:p>
      <w:pPr>
        <w:spacing w:after="0" w:line="228" w:lineRule="exact"/>
        <w:rPr>
          <w:sz w:val="20"/>
          <w:szCs w:val="20"/>
          <w:color w:val="auto"/>
        </w:rPr>
      </w:pPr>
    </w:p>
    <w:tbl>
      <w:tblPr>
        <w:tblLayout w:type="fixed"/>
        <w:tblInd w:w="280" w:type="dxa"/>
        <w:tblCellMar>
          <w:top w:w="0" w:type="dxa"/>
          <w:left w:w="0" w:type="dxa"/>
          <w:bottom w:w="0" w:type="dxa"/>
          <w:right w:w="0" w:type="dxa"/>
        </w:tblCellMar>
      </w:tblPr>
      <w:tr>
        <w:trPr>
          <w:trHeight w:val="225"/>
        </w:trPr>
        <w:tc>
          <w:tcPr>
            <w:tcW w:w="5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140" w:type="dxa"/>
            <w:vAlign w:val="bottom"/>
          </w:tcPr>
          <w:p>
            <w:pPr>
              <w:spacing w:after="0"/>
              <w:rPr>
                <w:sz w:val="19"/>
                <w:szCs w:val="19"/>
                <w:color w:val="auto"/>
              </w:rPr>
            </w:pP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6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0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r>
      <w:tr>
        <w:trPr>
          <w:trHeight w:val="223"/>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attributable to common shareholders - 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99,255</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86,782</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205,616</w:t>
            </w: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184,063</w:t>
            </w:r>
          </w:p>
        </w:tc>
      </w:tr>
      <w:tr>
        <w:trPr>
          <w:trHeight w:val="20"/>
        </w:trPr>
        <w:tc>
          <w:tcPr>
            <w:tcW w:w="5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5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income attributable to common shareholders -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99,255</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86,782</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205,616</w:t>
            </w:r>
          </w:p>
        </w:tc>
        <w:tc>
          <w:tcPr>
            <w:tcW w:w="1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184,063</w:t>
            </w:r>
          </w:p>
        </w:tc>
      </w:tr>
      <w:tr>
        <w:trPr>
          <w:trHeight w:val="208"/>
        </w:trPr>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72"/>
        </w:trPr>
        <w:tc>
          <w:tcPr>
            <w:tcW w:w="55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for basic EPS</w:t>
            </w:r>
          </w:p>
        </w:tc>
        <w:tc>
          <w:tcPr>
            <w:tcW w:w="14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183,703</w:t>
            </w: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170,990</w:t>
            </w:r>
          </w:p>
        </w:tc>
        <w:tc>
          <w:tcPr>
            <w:tcW w:w="1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184,188</w:t>
            </w:r>
          </w:p>
        </w:tc>
        <w:tc>
          <w:tcPr>
            <w:tcW w:w="10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171,100</w:t>
            </w:r>
          </w:p>
        </w:tc>
      </w:tr>
      <w:tr>
        <w:trPr>
          <w:trHeight w:val="216"/>
        </w:trPr>
        <w:tc>
          <w:tcPr>
            <w:tcW w:w="5500" w:type="dxa"/>
            <w:vAlign w:val="bottom"/>
          </w:tcPr>
          <w:p>
            <w:pPr>
              <w:ind w:left="180"/>
              <w:spacing w:after="0" w:line="217" w:lineRule="exact"/>
              <w:rPr>
                <w:sz w:val="20"/>
                <w:szCs w:val="20"/>
                <w:color w:val="auto"/>
              </w:rPr>
            </w:pPr>
            <w:r>
              <w:rPr>
                <w:rFonts w:ascii="Times New Roman" w:cs="Times New Roman" w:eastAsia="Times New Roman" w:hAnsi="Times New Roman"/>
                <w:sz w:val="16"/>
                <w:szCs w:val="16"/>
                <w:color w:val="auto"/>
              </w:rPr>
              <w:t xml:space="preserve">Weighted average common shares outstanding for diluted EPS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183,868</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171,275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184,332</w:t>
            </w: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171,369</w:t>
            </w:r>
          </w:p>
        </w:tc>
      </w:tr>
      <w:tr>
        <w:trPr>
          <w:trHeight w:val="20"/>
        </w:trPr>
        <w:tc>
          <w:tcPr>
            <w:tcW w:w="5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per common share – 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0.54</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0.51</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1.12</w:t>
            </w:r>
          </w:p>
        </w:tc>
        <w:tc>
          <w:tcPr>
            <w:tcW w:w="1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r>
      <w:tr>
        <w:trPr>
          <w:trHeight w:val="212"/>
        </w:trPr>
        <w:tc>
          <w:tcPr>
            <w:tcW w:w="5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per common share –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0.54</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0.51</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w:t>
            </w: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-794385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-777240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-794385</wp:posOffset>
            </wp:positionV>
            <wp:extent cx="10287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-777240</wp:posOffset>
            </wp:positionV>
            <wp:extent cx="1028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-794385</wp:posOffset>
            </wp:positionV>
            <wp:extent cx="603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-777240</wp:posOffset>
            </wp:positionV>
            <wp:extent cx="603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-476885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-459740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-476885</wp:posOffset>
            </wp:positionV>
            <wp:extent cx="1028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-459740</wp:posOffset>
            </wp:positionV>
            <wp:extent cx="1028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-476885</wp:posOffset>
            </wp:positionV>
            <wp:extent cx="603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-459740</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49" w:lineRule="exact"/>
        <w:rPr>
          <w:sz w:val="20"/>
          <w:szCs w:val="20"/>
          <w:color w:val="auto"/>
        </w:rPr>
      </w:pPr>
    </w:p>
    <w:p>
      <w:pPr>
        <w:ind w:left="280"/>
        <w:spacing w:after="0"/>
        <w:tabs>
          <w:tab w:leader="none" w:pos="520" w:val="left"/>
        </w:tabs>
        <w:rPr>
          <w:sz w:val="20"/>
          <w:szCs w:val="20"/>
          <w:color w:val="auto"/>
        </w:rPr>
      </w:pPr>
      <w:r>
        <w:rPr>
          <w:rFonts w:ascii="Times New Roman" w:cs="Times New Roman" w:eastAsia="Times New Roman" w:hAnsi="Times New Roman"/>
          <w:sz w:val="22"/>
          <w:szCs w:val="22"/>
          <w:color w:val="auto"/>
          <w:vertAlign w:val="superscript"/>
        </w:rPr>
        <w:t>(1)</w:t>
      </w:r>
      <w:r>
        <w:rPr>
          <w:sz w:val="20"/>
          <w:szCs w:val="20"/>
          <w:color w:val="auto"/>
        </w:rPr>
        <w:tab/>
      </w:r>
      <w:r>
        <w:rPr>
          <w:rFonts w:ascii="Times New Roman" w:cs="Times New Roman" w:eastAsia="Times New Roman" w:hAnsi="Times New Roman"/>
          <w:sz w:val="16"/>
          <w:szCs w:val="16"/>
          <w:color w:val="auto"/>
        </w:rPr>
        <w:t>Includes the dilutive impact of unvested restricted stock.</w:t>
      </w:r>
    </w:p>
    <w:p>
      <w:pPr>
        <w:spacing w:after="0" w:line="150" w:lineRule="exact"/>
        <w:rPr>
          <w:sz w:val="20"/>
          <w:szCs w:val="20"/>
          <w:color w:val="auto"/>
        </w:rPr>
      </w:pPr>
    </w:p>
    <w:p>
      <w:pPr>
        <w:ind w:left="360" w:right="100"/>
        <w:spacing w:after="0" w:line="261" w:lineRule="auto"/>
        <w:rPr>
          <w:sz w:val="20"/>
          <w:szCs w:val="20"/>
          <w:color w:val="auto"/>
        </w:rPr>
      </w:pPr>
      <w:r>
        <w:rPr>
          <w:rFonts w:ascii="Times New Roman" w:cs="Times New Roman" w:eastAsia="Times New Roman" w:hAnsi="Times New Roman"/>
          <w:sz w:val="18"/>
          <w:szCs w:val="18"/>
          <w:color w:val="auto"/>
        </w:rPr>
        <w:t>The effect of the assumed conversion of the EOP units and certain other convertible units had an anti-dilutive effect upon the calculation of net income to the common shareholders per share. Accordingly, the impact of such assumed conversions has not been included in the determination of diluted net income per share calculations. Weighted average EOP units outstanding were 1,099,516 and 901,480 for the three months ended June 30, 2024 and 2023, and 1,100,305 and 822,346 for the six months ended June 30, 2024 and 2023, respectively.</w:t>
      </w:r>
    </w:p>
    <w:p>
      <w:pPr>
        <w:sectPr>
          <w:pgSz w:w="11900" w:h="16838" w:orient="portrait"/>
          <w:cols w:equalWidth="0" w:num="1">
            <w:col w:w="11200"/>
          </w:cols>
          <w:pgMar w:left="340" w:top="765" w:right="35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type w:val="continuous"/>
        </w:sectPr>
      </w:pPr>
    </w:p>
    <w:bookmarkStart w:id="29" w:name="page30"/>
    <w:bookmarkEnd w:id="29"/>
    <w:p>
      <w:pPr>
        <w:jc w:val="center"/>
        <w:ind w:left="360" w:right="266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June 30, 2024</w:t>
      </w:r>
    </w:p>
    <w:p>
      <w:pPr>
        <w:spacing w:after="0" w:line="200" w:lineRule="exact"/>
        <w:rPr>
          <w:sz w:val="20"/>
          <w:szCs w:val="20"/>
          <w:color w:val="auto"/>
        </w:rPr>
      </w:pPr>
    </w:p>
    <w:p>
      <w:pPr>
        <w:spacing w:after="0" w:line="3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Operating Partnership Earnings per Unit</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summarizes the calculation of basic and diluted earnings per unit ("EPU"):</w:t>
      </w:r>
    </w:p>
    <w:p>
      <w:pPr>
        <w:spacing w:after="0" w:line="228" w:lineRule="exact"/>
        <w:rPr>
          <w:sz w:val="20"/>
          <w:szCs w:val="20"/>
          <w:color w:val="auto"/>
        </w:rPr>
      </w:pPr>
    </w:p>
    <w:tbl>
      <w:tblPr>
        <w:tblLayout w:type="fixed"/>
        <w:tblInd w:w="280" w:type="dxa"/>
        <w:tblCellMar>
          <w:top w:w="0" w:type="dxa"/>
          <w:left w:w="0" w:type="dxa"/>
          <w:bottom w:w="0" w:type="dxa"/>
          <w:right w:w="0" w:type="dxa"/>
        </w:tblCellMar>
      </w:tblPr>
      <w:tr>
        <w:trPr>
          <w:trHeight w:val="225"/>
        </w:trPr>
        <w:tc>
          <w:tcPr>
            <w:tcW w:w="5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per unit data)</w:t>
            </w:r>
          </w:p>
        </w:tc>
        <w:tc>
          <w:tcPr>
            <w:tcW w:w="140" w:type="dxa"/>
            <w:vAlign w:val="bottom"/>
          </w:tcPr>
          <w:p>
            <w:pPr>
              <w:spacing w:after="0"/>
              <w:rPr>
                <w:sz w:val="19"/>
                <w:szCs w:val="19"/>
                <w:color w:val="auto"/>
              </w:rPr>
            </w:pP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6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0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r>
      <w:tr>
        <w:trPr>
          <w:trHeight w:val="223"/>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attributable to common unit holders - 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99,856</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87,332</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206,859</w:t>
            </w: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185,033</w:t>
            </w:r>
          </w:p>
        </w:tc>
      </w:tr>
      <w:tr>
        <w:trPr>
          <w:trHeight w:val="20"/>
        </w:trPr>
        <w:tc>
          <w:tcPr>
            <w:tcW w:w="5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5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income attributable to common unit holders -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99,856</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87,332</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206,859</w:t>
            </w:r>
          </w:p>
        </w:tc>
        <w:tc>
          <w:tcPr>
            <w:tcW w:w="1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185,033</w:t>
            </w:r>
          </w:p>
        </w:tc>
      </w:tr>
      <w:tr>
        <w:trPr>
          <w:trHeight w:val="208"/>
        </w:trPr>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72"/>
        </w:trPr>
        <w:tc>
          <w:tcPr>
            <w:tcW w:w="55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Weighted average common units outstanding for basic EPU</w:t>
            </w:r>
          </w:p>
        </w:tc>
        <w:tc>
          <w:tcPr>
            <w:tcW w:w="14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184,803</w:t>
            </w: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171,891</w:t>
            </w:r>
          </w:p>
        </w:tc>
        <w:tc>
          <w:tcPr>
            <w:tcW w:w="1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185,288</w:t>
            </w:r>
          </w:p>
        </w:tc>
        <w:tc>
          <w:tcPr>
            <w:tcW w:w="10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171,922</w:t>
            </w:r>
          </w:p>
        </w:tc>
      </w:tr>
      <w:tr>
        <w:trPr>
          <w:trHeight w:val="217"/>
        </w:trPr>
        <w:tc>
          <w:tcPr>
            <w:tcW w:w="5500" w:type="dxa"/>
            <w:vAlign w:val="bottom"/>
          </w:tcPr>
          <w:p>
            <w:pPr>
              <w:ind w:left="180"/>
              <w:spacing w:after="0" w:line="217" w:lineRule="exact"/>
              <w:rPr>
                <w:sz w:val="20"/>
                <w:szCs w:val="20"/>
                <w:color w:val="auto"/>
              </w:rPr>
            </w:pPr>
            <w:r>
              <w:rPr>
                <w:rFonts w:ascii="Times New Roman" w:cs="Times New Roman" w:eastAsia="Times New Roman" w:hAnsi="Times New Roman"/>
                <w:sz w:val="16"/>
                <w:szCs w:val="16"/>
                <w:color w:val="auto"/>
              </w:rPr>
              <w:t xml:space="preserve">Weighted average common units outstanding for diluted EPU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184,968</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172,176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185,433</w:t>
            </w: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172,192</w:t>
            </w:r>
          </w:p>
        </w:tc>
      </w:tr>
      <w:tr>
        <w:trPr>
          <w:trHeight w:val="20"/>
        </w:trPr>
        <w:tc>
          <w:tcPr>
            <w:tcW w:w="5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per common unit – 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0.54</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0.51</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1.12</w:t>
            </w:r>
          </w:p>
        </w:tc>
        <w:tc>
          <w:tcPr>
            <w:tcW w:w="1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r>
      <w:tr>
        <w:trPr>
          <w:trHeight w:val="212"/>
        </w:trPr>
        <w:tc>
          <w:tcPr>
            <w:tcW w:w="5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per common unit –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0.54</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0.51</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w:t>
            </w: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-794385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-777240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-794385</wp:posOffset>
            </wp:positionV>
            <wp:extent cx="1028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-777240</wp:posOffset>
            </wp:positionV>
            <wp:extent cx="1028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-794385</wp:posOffset>
            </wp:positionV>
            <wp:extent cx="603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-777240</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-476885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-459740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-476885</wp:posOffset>
            </wp:positionV>
            <wp:extent cx="1028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-459740</wp:posOffset>
            </wp:positionV>
            <wp:extent cx="10287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-476885</wp:posOffset>
            </wp:positionV>
            <wp:extent cx="603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-459740</wp:posOffset>
            </wp:positionV>
            <wp:extent cx="603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49" w:lineRule="exact"/>
        <w:rPr>
          <w:sz w:val="20"/>
          <w:szCs w:val="20"/>
          <w:color w:val="auto"/>
        </w:rPr>
      </w:pPr>
    </w:p>
    <w:p>
      <w:pPr>
        <w:ind w:left="280"/>
        <w:spacing w:after="0"/>
        <w:tabs>
          <w:tab w:leader="none" w:pos="520" w:val="left"/>
        </w:tabs>
        <w:rPr>
          <w:sz w:val="20"/>
          <w:szCs w:val="20"/>
          <w:color w:val="auto"/>
        </w:rPr>
      </w:pPr>
      <w:r>
        <w:rPr>
          <w:rFonts w:ascii="Times New Roman" w:cs="Times New Roman" w:eastAsia="Times New Roman" w:hAnsi="Times New Roman"/>
          <w:sz w:val="22"/>
          <w:szCs w:val="22"/>
          <w:color w:val="auto"/>
          <w:vertAlign w:val="superscript"/>
        </w:rPr>
        <w:t>(1)</w:t>
      </w:r>
      <w:r>
        <w:rPr>
          <w:sz w:val="20"/>
          <w:szCs w:val="20"/>
          <w:color w:val="auto"/>
        </w:rPr>
        <w:tab/>
      </w:r>
      <w:r>
        <w:rPr>
          <w:rFonts w:ascii="Times New Roman" w:cs="Times New Roman" w:eastAsia="Times New Roman" w:hAnsi="Times New Roman"/>
          <w:sz w:val="16"/>
          <w:szCs w:val="16"/>
          <w:color w:val="auto"/>
        </w:rPr>
        <w:t>Includes the dilutive impact of unvested restricted stock.</w:t>
      </w:r>
    </w:p>
    <w:p>
      <w:pPr>
        <w:spacing w:after="0" w:line="150" w:lineRule="exact"/>
        <w:rPr>
          <w:sz w:val="20"/>
          <w:szCs w:val="20"/>
          <w:color w:val="auto"/>
        </w:rPr>
      </w:pPr>
    </w:p>
    <w:p>
      <w:pPr>
        <w:ind w:left="360"/>
        <w:spacing w:after="0" w:line="266" w:lineRule="auto"/>
        <w:rPr>
          <w:sz w:val="20"/>
          <w:szCs w:val="20"/>
          <w:color w:val="auto"/>
        </w:rPr>
      </w:pPr>
      <w:r>
        <w:rPr>
          <w:rFonts w:ascii="Times New Roman" w:cs="Times New Roman" w:eastAsia="Times New Roman" w:hAnsi="Times New Roman"/>
          <w:sz w:val="18"/>
          <w:szCs w:val="18"/>
          <w:color w:val="212529"/>
        </w:rPr>
        <w:t>The effect of the assumed conversion of certain other convertible units had an anti-dilutive effect upon the calculation of net income to the common unit holders per share. Accordingly, the impact of such assumed conversions has not been included in the determination of diluted net income per unit calculations.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Commitments and Contingencies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ind w:left="360"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party to litigation and other disputes that arise in the ordinary course of business. While the outcome of any particular lawsuit or dispute cannot be predicted with certainty, in the opinion of management, the Company's currently pending litigation and disputes are not expected to have a material adverse effect on the Company's consolidated financial position, results of operations, or liquidity </w:t>
      </w:r>
      <w:r>
        <w:rPr>
          <w:rFonts w:ascii="Times New Roman" w:cs="Times New Roman" w:eastAsia="Times New Roman" w:hAnsi="Times New Roman"/>
          <w:sz w:val="18"/>
          <w:szCs w:val="18"/>
          <w:color w:val="212529"/>
        </w:rPr>
        <w:t>of the Company taken as a whole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of </w:t>
      </w:r>
      <w:r>
        <w:rPr>
          <w:rFonts w:ascii="Times New Roman" w:cs="Times New Roman" w:eastAsia="Times New Roman" w:hAnsi="Times New Roman"/>
          <w:sz w:val="18"/>
          <w:szCs w:val="18"/>
          <w:color w:val="000000"/>
        </w:rPr>
        <w:t>June 30, 2024.</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73" w:lineRule="exact"/>
        <w:rPr>
          <w:sz w:val="20"/>
          <w:szCs w:val="20"/>
          <w:color w:val="auto"/>
        </w:rPr>
      </w:pPr>
    </w:p>
    <w:p>
      <w:pPr>
        <w:ind w:left="360"/>
        <w:spacing w:after="0" w:line="254" w:lineRule="auto"/>
        <w:rPr>
          <w:sz w:val="20"/>
          <w:szCs w:val="20"/>
          <w:color w:val="auto"/>
        </w:rPr>
      </w:pPr>
      <w:r>
        <w:rPr>
          <w:rFonts w:ascii="Times New Roman" w:cs="Times New Roman" w:eastAsia="Times New Roman" w:hAnsi="Times New Roman"/>
          <w:sz w:val="18"/>
          <w:szCs w:val="18"/>
          <w:color w:val="auto"/>
        </w:rPr>
        <w:t>The Company is subject to numerous environmental laws and regulations. With respect to applicability to the Company, these pertain primarily to chemicals historically used by certain current and former dry cleaning tenants, the existence of asbestos in older shopping centers, underground petroleum storage tanks and other historic land uses. The Company believes that the ultimate disposition of currently known environmental matters will not have a material effect on its financial position, liquidity, or operations. The Company can give no assurance that existing environmental studies with respect to its shopping centers have revealed all potential environmental contamination; that its estimate of liabilities will not change as more information becomes available; that any previous owner, occupant or tenant did not create any material environmental condition not known to the Company; that the current environmental condition of the shopping centers will not be affected by tenants and occupants, by the condition of nearby properties, or by unrelated third parties; and that changes in applicable environmental laws and regulations or their interpretation will not result in additional environmental liability to the Company.</w:t>
      </w:r>
    </w:p>
    <w:p>
      <w:pPr>
        <w:spacing w:after="0" w:line="130" w:lineRule="exact"/>
        <w:rPr>
          <w:sz w:val="20"/>
          <w:szCs w:val="20"/>
          <w:color w:val="auto"/>
        </w:rPr>
      </w:pPr>
    </w:p>
    <w:p>
      <w:pPr>
        <w:ind w:left="360" w:right="40"/>
        <w:spacing w:after="0" w:line="289" w:lineRule="auto"/>
        <w:rPr>
          <w:sz w:val="20"/>
          <w:szCs w:val="20"/>
          <w:color w:val="auto"/>
        </w:rPr>
      </w:pPr>
      <w:r>
        <w:rPr>
          <w:rFonts w:ascii="Times New Roman" w:cs="Times New Roman" w:eastAsia="Times New Roman" w:hAnsi="Times New Roman"/>
          <w:sz w:val="18"/>
          <w:szCs w:val="18"/>
          <w:color w:val="auto"/>
        </w:rPr>
        <w:t xml:space="preserve">The Company had accrued liabilities of $17.2 million and $16.5 million for environmental remediation, which are </w:t>
      </w:r>
      <w:r>
        <w:rPr>
          <w:rFonts w:ascii="Times New Roman" w:cs="Times New Roman" w:eastAsia="Times New Roman" w:hAnsi="Times New Roman"/>
          <w:sz w:val="19"/>
          <w:szCs w:val="19"/>
          <w:color w:val="auto"/>
        </w:rPr>
        <w:t>i</w:t>
      </w:r>
      <w:r>
        <w:rPr>
          <w:rFonts w:ascii="Times New Roman" w:cs="Times New Roman" w:eastAsia="Times New Roman" w:hAnsi="Times New Roman"/>
          <w:sz w:val="18"/>
          <w:szCs w:val="18"/>
          <w:color w:val="auto"/>
        </w:rPr>
        <w:t>ncluded in Accounts payable, and other liabilities on the Company’s Consolidated Balance Sheets as of June 30, 2024 and December 31, 2023, respectively.</w:t>
      </w:r>
    </w:p>
    <w:p>
      <w:pPr>
        <w:spacing w:after="0" w:line="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73" w:lineRule="exact"/>
        <w:rPr>
          <w:sz w:val="20"/>
          <w:szCs w:val="20"/>
          <w:color w:val="auto"/>
        </w:rPr>
      </w:pPr>
    </w:p>
    <w:p>
      <w:pPr>
        <w:ind w:left="360" w:right="220"/>
        <w:spacing w:after="0" w:line="261" w:lineRule="auto"/>
        <w:rPr>
          <w:sz w:val="20"/>
          <w:szCs w:val="20"/>
          <w:color w:val="auto"/>
        </w:rPr>
      </w:pPr>
      <w:r>
        <w:rPr>
          <w:rFonts w:ascii="Times New Roman" w:cs="Times New Roman" w:eastAsia="Times New Roman" w:hAnsi="Times New Roman"/>
          <w:sz w:val="18"/>
          <w:szCs w:val="18"/>
          <w:color w:val="auto"/>
        </w:rPr>
        <w:t>The Company has the right to issue letters of credit under the Line up to an aggregate amount not to exceed $50.0 million, which reduces the credit availability under the Line. These letters of credit are primarily issued as collateral on behalf of its captive insurance subsidiary and to facilitate the construction of development projects. The Company had $10.9 million and $8.5 million in letters of credit outstanding as of June 30, 2024 and December 31, 2023,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30" w:name="page31"/>
    <w:bookmarkEnd w:id="30"/>
    <w:p>
      <w:pPr>
        <w:ind w:right="38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Statements</w:t>
      </w:r>
    </w:p>
    <w:p>
      <w:pPr>
        <w:spacing w:after="0" w:line="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404040"/>
        </w:rPr>
        <w:t>Certain statements in this document regarding anticipated financial, business, legal or other outcomes including business and market conditions, outlook and other similar statements relating to Regency's future events, developments, or financial or operational performance or results,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04040"/>
        </w:rPr>
        <w:t>Our operations are subject to a number of risks and uncertainties including, but not limited to, risk factors described in our Securities and Exchange Commission ("SEC") filings, our Annual Report on Form 10-K for the year ended December 31, 2023 ("2023 Form 10-K") under Item 1A. "Risk Factors" and in Part II, Item 1A. "Risk Factors" in this Report. When considering an investment in our securities, you should carefully read and consider these risks, together with all other information in our most recent 2023 Form 10-K, subsequent Quarterly Reports on Form 10-Q, and our other filings with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and to the extent required by law.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Measures</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to the required Generally Accepted Accounting Principles ("GAAP") presentations, we use and report certain non-GAAP measures as we believe these measures improve the understanding of our operational results. We believe these non-GAAP measures provide useful information to our Board of Directors, management and investors regarding certain trends relating to our financial condition and results of operations. Our management uses these non-GAAP measures to compare our performance to that of prior periods for trend analyses, purposes of determining management incentive compensation and budgeting, forecasting and planning purposes. We continually evaluate the usefulness, relevance, limitations, and calculation of our reported non-GAAP measures to determine how best to provide relevant information to the public, and thus such reported measures could change.</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do not consider non-GAAP measures an alternative to financial measures determined in accordance with GAAP, rather they supplement GAAP measures by providing additional information we believe to be useful to our shareholders. The principal limitation of these non-GAAP measures is that they may exclude significant expense and income items that are required by GAAP to be recognized in our Consolidated Financial Statements. In addition, they reflect the exercise of management's judgment about which expense and income items are excluded or included in determining these non-GAAP measures. In order to compensate for these limitations, reconciliations of the non-GAAP measures we use to their most directly comparable GAAP measures are provided. Non-GAAP measures should not be relied upon in evaluating the financial condition, results of operations, or future prospects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Defined Terms</w:t>
      </w:r>
    </w:p>
    <w:p>
      <w:pPr>
        <w:spacing w:after="0" w:line="175"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The following terms, as defined, are commonly used by management and the investing public to understand and evaluate our operational results, and are included in this document:</w:t>
      </w:r>
    </w:p>
    <w:p>
      <w:pPr>
        <w:spacing w:after="0" w:line="1" w:lineRule="exact"/>
        <w:rPr>
          <w:sz w:val="20"/>
          <w:szCs w:val="20"/>
          <w:color w:val="auto"/>
        </w:rPr>
      </w:pPr>
    </w:p>
    <w:p>
      <w:pPr>
        <w:ind w:left="760" w:right="160" w:hanging="378"/>
        <w:spacing w:after="0" w:line="267"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Adjusted Funds From Operations ("AFFO") </w:t>
      </w:r>
      <w:r>
        <w:rPr>
          <w:rFonts w:ascii="Times New Roman" w:cs="Times New Roman" w:eastAsia="Times New Roman" w:hAnsi="Times New Roman"/>
          <w:sz w:val="18"/>
          <w:szCs w:val="18"/>
          <w:color w:val="auto"/>
        </w:rPr>
        <w:t>is an additional performance measure we use that reflects cash available to fund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needs and distribution to shareholders. AFFO is calculated by adjusting Core Operating Earnings ("COE") for (i) capital expenditures necessary to maintain and lease our portfolio of properties, (ii) debt cost and derivative adjustments and (iii) stock-based compensation.</w:t>
      </w:r>
    </w:p>
    <w:p>
      <w:pPr>
        <w:spacing w:after="0" w:line="11" w:lineRule="exact"/>
        <w:rPr>
          <w:rFonts w:ascii="Times New Roman" w:cs="Times New Roman" w:eastAsia="Times New Roman" w:hAnsi="Times New Roman"/>
          <w:sz w:val="18"/>
          <w:szCs w:val="18"/>
          <w:color w:val="auto"/>
        </w:rPr>
      </w:pPr>
    </w:p>
    <w:p>
      <w:pPr>
        <w:ind w:left="760" w:right="20" w:hanging="378"/>
        <w:spacing w:after="0" w:line="257"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Core Operating Earnings </w:t>
      </w:r>
      <w:r>
        <w:rPr>
          <w:rFonts w:ascii="Times New Roman" w:cs="Times New Roman" w:eastAsia="Times New Roman" w:hAnsi="Times New Roman"/>
          <w:sz w:val="18"/>
          <w:szCs w:val="18"/>
          <w:color w:val="auto"/>
        </w:rPr>
        <w:t>is an additional performance measure we use because the computation of National Association of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Trusts Funds from Operations ("</w:t>
      </w:r>
      <w:r>
        <w:rPr>
          <w:rFonts w:ascii="Times New Roman" w:cs="Times New Roman" w:eastAsia="Times New Roman" w:hAnsi="Times New Roman"/>
          <w:sz w:val="18"/>
          <w:szCs w:val="18"/>
          <w:i w:val="1"/>
          <w:iCs w:val="1"/>
          <w:color w:val="auto"/>
        </w:rPr>
        <w:t>Nareit FFO</w:t>
      </w:r>
      <w:r>
        <w:rPr>
          <w:rFonts w:ascii="Times New Roman" w:cs="Times New Roman" w:eastAsia="Times New Roman" w:hAnsi="Times New Roman"/>
          <w:sz w:val="18"/>
          <w:szCs w:val="18"/>
          <w:color w:val="auto"/>
        </w:rPr>
        <w:t>") includes certain non-comparable items that affect our period-over-period performance. Core Operating Earnings excludes from Nareit FFO: (i) transaction related income or expenses, (ii) gains or losses from the early extinguishment of debt, (iii) certain non-cash components of earnings derived from straight-line rents, above and below market rent amortization, and debt and derivative mark-to-market amortization, and (iv) other amounts as they occur. We provide reconciliations of both Net Income Attributable to Common Shareholders to Nareit FFO and Nareit FFO to Core Operating Earnings.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1" w:name="page32"/>
    <w:bookmarkEnd w:id="31"/>
    <w:p>
      <w:pPr>
        <w:ind w:left="380" w:right="160" w:hanging="378"/>
        <w:spacing w:after="0" w:line="267"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Development Completion </w:t>
      </w:r>
      <w:r>
        <w:rPr>
          <w:rFonts w:ascii="Times New Roman" w:cs="Times New Roman" w:eastAsia="Times New Roman" w:hAnsi="Times New Roman"/>
          <w:sz w:val="18"/>
          <w:szCs w:val="18"/>
          <w:color w:val="auto"/>
        </w:rPr>
        <w:t>is a Property in Development that is deemed complete upon the earlier of: (i) 90% of total estimated net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have been incurred and percent leased equals or exceeds 95%, or (ii) the property features at least two years of anchor operations. Once deemed complete, the property is termed a Retail Operating Property.</w:t>
      </w:r>
    </w:p>
    <w:p>
      <w:pPr>
        <w:spacing w:after="0" w:line="11" w:lineRule="exact"/>
        <w:rPr>
          <w:rFonts w:ascii="Times New Roman" w:cs="Times New Roman" w:eastAsia="Times New Roman" w:hAnsi="Times New Roman"/>
          <w:sz w:val="18"/>
          <w:szCs w:val="18"/>
          <w:color w:val="auto"/>
        </w:rPr>
      </w:pPr>
    </w:p>
    <w:p>
      <w:pPr>
        <w:ind w:left="380" w:right="100" w:hanging="378"/>
        <w:spacing w:after="0" w:line="261"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Nareit Funds from Operations ("Nareit FFO") </w:t>
      </w:r>
      <w:r>
        <w:rPr>
          <w:rFonts w:ascii="Times New Roman" w:cs="Times New Roman" w:eastAsia="Times New Roman" w:hAnsi="Times New Roman"/>
          <w:sz w:val="18"/>
          <w:szCs w:val="18"/>
          <w:color w:val="auto"/>
        </w:rPr>
        <w:t>is a commonly used measure of REIT performance, which Nareit defines as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computed in accordance with GAAP, excluding gains on sales and impairments of real estate, net of tax, plus depreciation and amortization, and after adjustments for unconsolidated partnerships and joint ventures. We compute Nareit FFO for all periods presented in accordance with Nareit's definition.</w:t>
      </w:r>
    </w:p>
    <w:p>
      <w:pPr>
        <w:spacing w:after="0" w:line="19" w:lineRule="exact"/>
        <w:rPr>
          <w:rFonts w:ascii="Times New Roman" w:cs="Times New Roman" w:eastAsia="Times New Roman" w:hAnsi="Times New Roman"/>
          <w:sz w:val="18"/>
          <w:szCs w:val="18"/>
          <w:color w:val="auto"/>
        </w:rPr>
      </w:pPr>
    </w:p>
    <w:p>
      <w:pPr>
        <w:ind w:left="38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use different depreciable lives and methods, and real estate values historically fluctuate with market conditions. Since Nareit FFO excludes depreciation and amortization and gains on sale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our financial performance not immediately apparent from net income determined in accordance with GAAP. Thus, Nareit FFO is a supplemental non-GAAP financial measure of our operating performance, which does not represent cash generated from operating activities in accordance with GAAP; and, therefore, should not be considered a substitute measure of cash flows from operations. We provide a reconciliation of Net Income Attributable to Common Shareholders to Nareit FFO.</w:t>
      </w:r>
    </w:p>
    <w:p>
      <w:pPr>
        <w:spacing w:after="0" w:line="24" w:lineRule="exact"/>
        <w:rPr>
          <w:rFonts w:ascii="Times New Roman" w:cs="Times New Roman" w:eastAsia="Times New Roman" w:hAnsi="Times New Roman"/>
          <w:sz w:val="18"/>
          <w:szCs w:val="18"/>
          <w:color w:val="auto"/>
        </w:rPr>
      </w:pPr>
    </w:p>
    <w:p>
      <w:pPr>
        <w:ind w:left="380" w:hanging="378"/>
        <w:spacing w:after="0" w:line="261"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Operating Income ("NOI") </w:t>
      </w:r>
      <w:r>
        <w:rPr>
          <w:rFonts w:ascii="Times New Roman" w:cs="Times New Roman" w:eastAsia="Times New Roman" w:hAnsi="Times New Roman"/>
          <w:sz w:val="18"/>
          <w:szCs w:val="18"/>
          <w:color w:val="auto"/>
        </w:rPr>
        <w:t>is the sum of base rent, percentage rent, recoveries from tenants, other lease income, and other property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operating and maintenance expenses, real estate taxes, ground rent, and uncollectible lease income. NOI excludes straight-line rental income and expense, above and below market rent and ground rent amortization, tenant lease inducement amortization, and other fees. We also provide disclosure of NOI excluding termination fees, which excludes both termination fee income and expenses.</w:t>
      </w:r>
    </w:p>
    <w:p>
      <w:pPr>
        <w:spacing w:after="0" w:line="17" w:lineRule="exact"/>
        <w:rPr>
          <w:rFonts w:ascii="Times New Roman" w:cs="Times New Roman" w:eastAsia="Times New Roman" w:hAnsi="Times New Roman"/>
          <w:sz w:val="18"/>
          <w:szCs w:val="18"/>
          <w:color w:val="auto"/>
        </w:rPr>
      </w:pPr>
    </w:p>
    <w:p>
      <w:pPr>
        <w:ind w:left="380" w:right="100" w:hanging="378"/>
        <w:spacing w:after="0" w:line="267"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Non-Same Property</w:t>
      </w:r>
      <w:r>
        <w:rPr>
          <w:rFonts w:ascii="Times New Roman" w:cs="Times New Roman" w:eastAsia="Times New Roman" w:hAnsi="Times New Roman"/>
          <w:sz w:val="18"/>
          <w:szCs w:val="18"/>
          <w:color w:val="auto"/>
        </w:rPr>
        <w:t xml:space="preserve"> is any property, during either calendar year period being compared, that was acquired, sold, a Property in Development, a Development Completion, or a property under, or being positioned for, significant redevelopment that distorts comparability between periods. Non-retail properties and corporate activities, including the captive insurance program, are part of Non-Same Property.</w:t>
      </w:r>
    </w:p>
    <w:p>
      <w:pPr>
        <w:spacing w:after="0" w:line="11" w:lineRule="exact"/>
        <w:rPr>
          <w:rFonts w:ascii="Times New Roman" w:cs="Times New Roman" w:eastAsia="Times New Roman" w:hAnsi="Times New Roman"/>
          <w:sz w:val="18"/>
          <w:szCs w:val="18"/>
          <w:color w:val="auto"/>
        </w:rPr>
      </w:pPr>
    </w:p>
    <w:p>
      <w:pPr>
        <w:ind w:left="380" w:right="940" w:hanging="378"/>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Pro-rata </w:t>
      </w:r>
      <w:r>
        <w:rPr>
          <w:rFonts w:ascii="Times New Roman" w:cs="Times New Roman" w:eastAsia="Times New Roman" w:hAnsi="Times New Roman"/>
          <w:sz w:val="18"/>
          <w:szCs w:val="18"/>
          <w:color w:val="auto"/>
        </w:rPr>
        <w:t>information includes 100% of our consolidated properties plus our economic share (based on our ownership interest)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real estate investment partnerships.</w:t>
      </w:r>
    </w:p>
    <w:p>
      <w:pPr>
        <w:spacing w:after="0" w:line="1" w:lineRule="exact"/>
        <w:rPr>
          <w:rFonts w:ascii="Times New Roman" w:cs="Times New Roman" w:eastAsia="Times New Roman" w:hAnsi="Times New Roman"/>
          <w:sz w:val="18"/>
          <w:szCs w:val="18"/>
          <w:color w:val="auto"/>
        </w:rPr>
      </w:pPr>
    </w:p>
    <w:p>
      <w:pPr>
        <w:ind w:left="380" w:right="1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Pro-rata financial information because we believe it assists investors and analysts in estimating our economic interest in our consolidated and unconsolidated partnerships, when read in conjunction with our reported results under GAAP. We believe presenting our Pro-rata share of assets, liabilities, operating results, and other metrics, along with certain other non-GAAP measures, makes comparisons of our operating results to those of other REITs more meaningful. The Pro-rata information provided is not, nor is it intended to be, presented in accordance with GAAP. The Pro-rata supplemental details of assets and liabilities and supplemental details of operations reflect our proportionate economic ownership of the assets, liabilities, and operating results of the properties in our portfolio.</w:t>
      </w:r>
    </w:p>
    <w:p>
      <w:pPr>
        <w:spacing w:after="0" w:line="25" w:lineRule="exact"/>
        <w:rPr>
          <w:rFonts w:ascii="Times New Roman" w:cs="Times New Roman" w:eastAsia="Times New Roman" w:hAnsi="Times New Roman"/>
          <w:sz w:val="18"/>
          <w:szCs w:val="18"/>
          <w:color w:val="auto"/>
        </w:rPr>
      </w:pPr>
    </w:p>
    <w:p>
      <w:pPr>
        <w:ind w:left="3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Pro-rata information is prepared on a basis consistent with the comparable consolidated amounts and is intended to more accurately reflect our proportionate economic interest in the assets, liabilities, and operating results of properties in our portfolio. We do not control the unconsolidated real estate partnerships, and the Pro-rata presentations of the assets and liabilities, and revenues and expenses do not represent our legal claim to such items. The partners are entitled to profit or loss allocations and distributions of cash flows according to the operating agreements, which generally provide for such allocations according to their invested capital. Our share of invested capital establishes the ownership interests we use to prepare our Pro-rata share.</w:t>
      </w:r>
    </w:p>
    <w:p>
      <w:pPr>
        <w:spacing w:after="0" w:line="25"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Pro-rata information has limitations which include, but are not limited to, the following:</w:t>
      </w:r>
    </w:p>
    <w:p>
      <w:pPr>
        <w:spacing w:after="0" w:line="63" w:lineRule="exact"/>
        <w:rPr>
          <w:sz w:val="20"/>
          <w:szCs w:val="20"/>
          <w:color w:val="auto"/>
        </w:rPr>
      </w:pPr>
    </w:p>
    <w:p>
      <w:pPr>
        <w:ind w:left="1120" w:right="620" w:hanging="369"/>
        <w:spacing w:after="0" w:line="266" w:lineRule="auto"/>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on the individual line items were derived by applying our overall economic ownership interest percentage determined when applying the equity method of accounting and do not necessarily represent our legal claim to the assets and liabilities, or the revenues and expenses; and</w:t>
      </w:r>
    </w:p>
    <w:p>
      <w:pPr>
        <w:spacing w:after="0" w:line="13"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their Pro-rata interest differently, limiting the comparability of Pro-rata information.</w:t>
      </w:r>
    </w:p>
    <w:p>
      <w:pPr>
        <w:spacing w:after="0" w:line="63" w:lineRule="exact"/>
        <w:rPr>
          <w:sz w:val="20"/>
          <w:szCs w:val="20"/>
          <w:color w:val="auto"/>
        </w:rPr>
      </w:pPr>
    </w:p>
    <w:p>
      <w:pPr>
        <w:ind w:left="380" w:right="40"/>
        <w:spacing w:after="0" w:line="266" w:lineRule="auto"/>
        <w:rPr>
          <w:sz w:val="20"/>
          <w:szCs w:val="20"/>
          <w:color w:val="auto"/>
        </w:rPr>
      </w:pPr>
      <w:r>
        <w:rPr>
          <w:rFonts w:ascii="Times New Roman" w:cs="Times New Roman" w:eastAsia="Times New Roman" w:hAnsi="Times New Roman"/>
          <w:sz w:val="18"/>
          <w:szCs w:val="18"/>
          <w:color w:val="auto"/>
        </w:rPr>
        <w:t>Because of these limitations, the Pro-rata financial information should not be considered independently or as a substitute for our financial statements as reported under GAAP. We compensate for these limitations by relying primarily on our GAAP financial statements, using the Pro-rata information as a supplement.</w:t>
      </w:r>
    </w:p>
    <w:p>
      <w:pPr>
        <w:spacing w:after="0" w:line="12" w:lineRule="exact"/>
        <w:rPr>
          <w:sz w:val="20"/>
          <w:szCs w:val="20"/>
          <w:color w:val="auto"/>
        </w:rPr>
      </w:pPr>
    </w:p>
    <w:p>
      <w:pPr>
        <w:ind w:left="380" w:hanging="378"/>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Property In Development </w:t>
      </w:r>
      <w:r>
        <w:rPr>
          <w:rFonts w:ascii="Times New Roman" w:cs="Times New Roman" w:eastAsia="Times New Roman" w:hAnsi="Times New Roman"/>
          <w:sz w:val="18"/>
          <w:szCs w:val="18"/>
          <w:color w:val="auto"/>
        </w:rPr>
        <w:t>includes properties in various stages of ground-up development.</w:t>
      </w:r>
    </w:p>
    <w:p>
      <w:pPr>
        <w:spacing w:after="0" w:line="63" w:lineRule="exact"/>
        <w:rPr>
          <w:rFonts w:ascii="Times New Roman" w:cs="Times New Roman" w:eastAsia="Times New Roman" w:hAnsi="Times New Roman"/>
          <w:sz w:val="18"/>
          <w:szCs w:val="18"/>
          <w:color w:val="auto"/>
        </w:rPr>
      </w:pPr>
    </w:p>
    <w:p>
      <w:pPr>
        <w:ind w:left="380" w:right="120" w:hanging="378"/>
        <w:spacing w:after="0" w:line="281"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Property In Redevelopment </w:t>
      </w:r>
      <w:r>
        <w:rPr>
          <w:rFonts w:ascii="Times New Roman" w:cs="Times New Roman" w:eastAsia="Times New Roman" w:hAnsi="Times New Roman"/>
          <w:sz w:val="18"/>
          <w:szCs w:val="18"/>
          <w:color w:val="auto"/>
        </w:rPr>
        <w:t>includes Retail Operating Properties under redevelopment or being positioned for redevelopment. Unless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indicated, a Property in Redevelopment is included in the Same Property pool.</w:t>
      </w:r>
    </w:p>
    <w:p>
      <w:pPr>
        <w:spacing w:after="0" w:line="1" w:lineRule="exact"/>
        <w:rPr>
          <w:rFonts w:ascii="Times New Roman" w:cs="Times New Roman" w:eastAsia="Times New Roman" w:hAnsi="Times New Roman"/>
          <w:sz w:val="18"/>
          <w:szCs w:val="18"/>
          <w:color w:val="auto"/>
        </w:rPr>
      </w:pPr>
    </w:p>
    <w:p>
      <w:pPr>
        <w:jc w:val="both"/>
        <w:ind w:left="380" w:right="100" w:hanging="378"/>
        <w:spacing w:after="0" w:line="267"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Redevelopment Completion </w:t>
      </w:r>
      <w:r>
        <w:rPr>
          <w:rFonts w:ascii="Times New Roman" w:cs="Times New Roman" w:eastAsia="Times New Roman" w:hAnsi="Times New Roman"/>
          <w:sz w:val="18"/>
          <w:szCs w:val="18"/>
          <w:color w:val="auto"/>
        </w:rPr>
        <w:t>is a Property in Redevelopment that is deemed complete upon the earlier of: (i) 90% of total estimated project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incurred and percent leased equals or exceeds 95% for the Company owned GLA related to the project, or (ii) the property features at least two years of anchor operations, if applicable.</w:t>
      </w:r>
    </w:p>
    <w:p>
      <w:pPr>
        <w:spacing w:after="0" w:line="17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64" w:right="339" w:bottom="1440" w:gutter="0" w:footer="0" w:header="0"/>
        </w:sectPr>
      </w:pPr>
    </w:p>
    <w:bookmarkStart w:id="32" w:name="page33"/>
    <w:bookmarkEnd w:id="32"/>
    <w:p>
      <w:pPr>
        <w:ind w:left="760" w:right="1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Operating Property </w:t>
      </w:r>
      <w:r>
        <w:rPr>
          <w:rFonts w:ascii="Times New Roman" w:cs="Times New Roman" w:eastAsia="Times New Roman" w:hAnsi="Times New Roman"/>
          <w:sz w:val="18"/>
          <w:szCs w:val="18"/>
          <w:color w:val="auto"/>
        </w:rPr>
        <w:t>is any retail property not termed a Property in Development. A retail property is any property where the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income is generated from retail uses.</w:t>
      </w:r>
    </w:p>
    <w:p>
      <w:pPr>
        <w:spacing w:after="0" w:line="1" w:lineRule="exact"/>
        <w:rPr>
          <w:rFonts w:ascii="Times New Roman" w:cs="Times New Roman" w:eastAsia="Times New Roman" w:hAnsi="Times New Roman"/>
          <w:sz w:val="18"/>
          <w:szCs w:val="18"/>
          <w:color w:val="auto"/>
        </w:rPr>
      </w:pPr>
    </w:p>
    <w:p>
      <w:pPr>
        <w:ind w:left="760" w:right="160" w:hanging="378"/>
        <w:spacing w:after="0" w:line="267"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Same Property </w:t>
      </w:r>
      <w:r>
        <w:rPr>
          <w:rFonts w:ascii="Times New Roman" w:cs="Times New Roman" w:eastAsia="Times New Roman" w:hAnsi="Times New Roman"/>
          <w:sz w:val="18"/>
          <w:szCs w:val="18"/>
          <w:color w:val="auto"/>
        </w:rPr>
        <w:t>is a Retail Operating Property that was owned and operated for the entirety of both calendar year periods being compared.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excludes Properties in Development, prior year Development Completions, and Non-Same Properties. Properties in Redevelopment are included unless otherwise indicated.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 of Our Strategy</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Regency Centers Corporation began operations as a publicly-traded REIT in 1993. All of our operating, investing, and financing activities are performed through our Operating Partnership, Regency Centers, L.P. and its wholly-owned subsidiaries, and through our real estate partnerships. As of June 30, 2024, the Parent Company owned approximately 99.4% of the outstanding Common Units and 100% of the Preferred Units of the Operating Partnership.</w:t>
      </w:r>
    </w:p>
    <w:p>
      <w:pPr>
        <w:spacing w:after="0" w:line="12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 xml:space="preserve">We are a preeminent national owner, operator, and developer of neighborhood and community shopping centers predominantly located in suburban trade areas with compelling demographics. As of June 30, 2024, we had full or partial ownership interests in 481 retail properties. Our properties are high-quality neighborhood and community shopping centers primarily anchored by market leading grocers and principally located in suburban markets within the country's most desirable metro areas, and contain approximately 56.9 million square feet ("SF") of gross leasable area ("GLA"). </w:t>
      </w:r>
      <w:r>
        <w:rPr>
          <w:rFonts w:ascii="Times New Roman" w:cs="Times New Roman" w:eastAsia="Times New Roman" w:hAnsi="Times New Roman"/>
          <w:sz w:val="18"/>
          <w:szCs w:val="18"/>
          <w:color w:val="212529"/>
        </w:rPr>
        <w:t>Our mission is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create thriving environments for retailers and service providers to connect with surrounding neighborhoods and communities. Our vision is to elevate quality of life as an integral thread in the fabric of our communities. Our portfolio includes thriving properties merchandised with highly productive grocers, restaurants, service providers, and best-in-class retailers that connect with their neighborhoods, communities, and customers.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Our values:</w:t>
      </w:r>
    </w:p>
    <w:p>
      <w:pPr>
        <w:spacing w:after="0" w:line="63" w:lineRule="exact"/>
        <w:rPr>
          <w:sz w:val="20"/>
          <w:szCs w:val="20"/>
          <w:color w:val="auto"/>
        </w:rPr>
      </w:pPr>
    </w:p>
    <w:p>
      <w:pPr>
        <w:ind w:left="760" w:right="220" w:hanging="378"/>
        <w:spacing w:after="0" w:line="281" w:lineRule="auto"/>
        <w:tabs>
          <w:tab w:leader="none" w:pos="760" w:val="left"/>
        </w:tabs>
        <w:numPr>
          <w:ilvl w:val="0"/>
          <w:numId w:val="2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are our people: Our people are our greatest asset, and we believe that a talented team from diverse backgrounds and experiences makes us better.</w:t>
      </w:r>
    </w:p>
    <w:p>
      <w:pPr>
        <w:spacing w:after="0" w:line="1" w:lineRule="exact"/>
        <w:rPr>
          <w:rFonts w:ascii="Times New Roman" w:cs="Times New Roman" w:eastAsia="Times New Roman" w:hAnsi="Times New Roman"/>
          <w:sz w:val="18"/>
          <w:szCs w:val="18"/>
          <w:color w:val="212529"/>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do what is right: We act with unwavering standards of honesty and integrity.</w:t>
      </w:r>
    </w:p>
    <w:p>
      <w:pPr>
        <w:spacing w:after="0" w:line="63" w:lineRule="exact"/>
        <w:rPr>
          <w:rFonts w:ascii="Times New Roman" w:cs="Times New Roman" w:eastAsia="Times New Roman" w:hAnsi="Times New Roman"/>
          <w:sz w:val="18"/>
          <w:szCs w:val="18"/>
          <w:color w:val="212529"/>
        </w:rPr>
      </w:pPr>
    </w:p>
    <w:p>
      <w:pPr>
        <w:ind w:left="760" w:right="240" w:hanging="378"/>
        <w:spacing w:after="0" w:line="281" w:lineRule="auto"/>
        <w:tabs>
          <w:tab w:leader="none" w:pos="760" w:val="left"/>
        </w:tabs>
        <w:numPr>
          <w:ilvl w:val="0"/>
          <w:numId w:val="2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connect with our communities: We promote philanthropic ideas and strive for the betterment of our neighborhoods by giving our time and financial support.</w:t>
      </w:r>
    </w:p>
    <w:p>
      <w:pPr>
        <w:spacing w:after="0" w:line="1" w:lineRule="exact"/>
        <w:rPr>
          <w:rFonts w:ascii="Times New Roman" w:cs="Times New Roman" w:eastAsia="Times New Roman" w:hAnsi="Times New Roman"/>
          <w:sz w:val="18"/>
          <w:szCs w:val="18"/>
          <w:color w:val="212529"/>
        </w:rPr>
      </w:pPr>
    </w:p>
    <w:p>
      <w:pPr>
        <w:ind w:left="760" w:right="460" w:hanging="378"/>
        <w:spacing w:after="0" w:line="281" w:lineRule="auto"/>
        <w:tabs>
          <w:tab w:leader="none" w:pos="760" w:val="left"/>
        </w:tabs>
        <w:numPr>
          <w:ilvl w:val="0"/>
          <w:numId w:val="2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are responsible: Our duty is to balance purpose and profit, being good stewards of capital and the environment for the benefit of all our stakeholders.</w:t>
      </w:r>
    </w:p>
    <w:p>
      <w:pPr>
        <w:spacing w:after="0" w:line="1" w:lineRule="exact"/>
        <w:rPr>
          <w:rFonts w:ascii="Times New Roman" w:cs="Times New Roman" w:eastAsia="Times New Roman" w:hAnsi="Times New Roman"/>
          <w:sz w:val="18"/>
          <w:szCs w:val="18"/>
          <w:color w:val="212529"/>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strive for excellence: When we are passionate about what we do, it is reflected in our performance.</w:t>
      </w:r>
    </w:p>
    <w:p>
      <w:pPr>
        <w:spacing w:after="0" w:line="63" w:lineRule="exact"/>
        <w:rPr>
          <w:rFonts w:ascii="Times New Roman" w:cs="Times New Roman" w:eastAsia="Times New Roman" w:hAnsi="Times New Roman"/>
          <w:sz w:val="18"/>
          <w:szCs w:val="18"/>
          <w:color w:val="212529"/>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are better together: When we listen to each other and our customers, we will succeed together.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Our goals are to:</w:t>
      </w:r>
    </w:p>
    <w:p>
      <w:pPr>
        <w:spacing w:after="0" w:line="63" w:lineRule="exact"/>
        <w:rPr>
          <w:sz w:val="20"/>
          <w:szCs w:val="20"/>
          <w:color w:val="auto"/>
        </w:rPr>
      </w:pPr>
    </w:p>
    <w:p>
      <w:pPr>
        <w:ind w:left="760" w:right="80" w:hanging="378"/>
        <w:spacing w:after="0" w:line="261" w:lineRule="auto"/>
        <w:tabs>
          <w:tab w:leader="none" w:pos="760" w:val="left"/>
        </w:tabs>
        <w:numPr>
          <w:ilvl w:val="0"/>
          <w:numId w:val="27"/>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Own and manage a portfolio of high-quality neighborhood and community shopping centers anchored primarily by market leading grocers and principally located in suburban trade areas in the most desirable metro areas in the United States. We believe that this strategy will result in highly desirable and attractive centers with best-in-class retailers. These centers should command higher rental and occupancy rates resulting in excellent prospects to grow NOI;</w:t>
      </w:r>
    </w:p>
    <w:p>
      <w:pPr>
        <w:spacing w:after="0" w:line="17" w:lineRule="exact"/>
        <w:rPr>
          <w:rFonts w:ascii="Times New Roman" w:cs="Times New Roman" w:eastAsia="Times New Roman" w:hAnsi="Times New Roman"/>
          <w:sz w:val="18"/>
          <w:szCs w:val="18"/>
          <w:color w:val="212529"/>
        </w:rPr>
      </w:pPr>
    </w:p>
    <w:p>
      <w:pPr>
        <w:ind w:left="760" w:right="46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shareholder value by increasing earnings and dividends per share that generate total returns at or near the top of our shopping center peers;</w:t>
      </w:r>
    </w:p>
    <w:p>
      <w:pPr>
        <w:spacing w:after="0" w:line="1" w:lineRule="exact"/>
        <w:rPr>
          <w:rFonts w:ascii="Times New Roman" w:cs="Times New Roman" w:eastAsia="Times New Roman" w:hAnsi="Times New Roman"/>
          <w:sz w:val="18"/>
          <w:szCs w:val="18"/>
          <w:color w:val="auto"/>
        </w:rPr>
      </w:pPr>
    </w:p>
    <w:p>
      <w:pPr>
        <w:ind w:left="760" w:right="36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industry leading, disciplined development and redevelopment platform to create exceptional retail centers that deliver favorable returns;</w:t>
      </w:r>
    </w:p>
    <w:p>
      <w:pPr>
        <w:spacing w:after="0" w:line="1"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our business activities with a conservative capital structure, including a strong balance sheet with sufficient liquidity to meet our capital needs together with a carefully constructed debt maturity profile;</w:t>
      </w:r>
    </w:p>
    <w:p>
      <w:pPr>
        <w:spacing w:after="0" w:line="1" w:lineRule="exact"/>
        <w:rPr>
          <w:rFonts w:ascii="Times New Roman" w:cs="Times New Roman" w:eastAsia="Times New Roman" w:hAnsi="Times New Roman"/>
          <w:sz w:val="18"/>
          <w:szCs w:val="18"/>
          <w:color w:val="auto"/>
        </w:rPr>
      </w:pPr>
    </w:p>
    <w:p>
      <w:pPr>
        <w:ind w:left="760" w:right="48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leading environmental, social, and governance ("ESG") practices through our Corporate Responsibility program to support and enhance our business goals and objectives; and</w:t>
      </w:r>
    </w:p>
    <w:p>
      <w:pPr>
        <w:spacing w:after="0" w:line="1"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and retain an exceptional and diverse team that is guided by our strong values, while fostering an environment of innovation and continuous improvement.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and Uncertainties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Note 1 to Unaudited Consolidated Financial Statements.</w:t>
      </w:r>
    </w:p>
    <w:p>
      <w:pPr>
        <w:spacing w:after="0" w:line="1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Please also refer to the Risk Factors discussed in Item 1A of Part I of our Annual Report on Form 10-K for the year ended December 31, 2023, and the Risk Factors described in Part II, Item 1A of this Form 10-Q.</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Executing on our Strategy</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had Net income attributable to common shareholders of $205.6 million as compared to $184.1 million during the six months ended June 30,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w:t>
      </w:r>
    </w:p>
    <w:p>
      <w:pPr>
        <w:spacing w:after="0" w:line="63" w:lineRule="exact"/>
        <w:rPr>
          <w:sz w:val="20"/>
          <w:szCs w:val="20"/>
          <w:color w:val="auto"/>
        </w:rPr>
      </w:pPr>
    </w:p>
    <w:p>
      <w:pPr>
        <w:ind w:left="760" w:right="10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Pro-rata same property NOI, excluding termination fees, grew 2.1%, as compared to the six months ended June 30, 2023, primarily attributable to improvements in base rent from increases in year over year occupancy rates, contractual rent steps in existing leases, and positive rent spreads on comparable new and renewal leases.</w:t>
      </w:r>
    </w:p>
    <w:p>
      <w:pPr>
        <w:spacing w:after="0" w:line="13"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executed 984 new and renewal leasing transactions representing 4.1 million Pro-rata SF with positive rent spreads of 8.9% during the six months ended June 30, 2024, compared to 842 leasing transactions representing 3.0 million Pro-rata SF with positive rent spreads of 9.2% during the six months ended June 30, 2023. Rent spreads are calculated on all executed leasing transactions for comparable Retail Operating Property spaces, including spaces vacant greater than 12 months.</w:t>
      </w:r>
    </w:p>
    <w:p>
      <w:pPr>
        <w:spacing w:after="0" w:line="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June 30, 2024, December 31, 2023, and June 30, 2023 our total property portfolio was 95.0%, 95.1%, and 94.6% leased, respectively. At June 30, 2024, December 31, 2023, and June 30, 2023 our same property portfolio was 95.8%, 95.7%, and 95.2% leased,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continued our development and redevelopment of high quality shopping centers:</w:t>
      </w:r>
    </w:p>
    <w:p>
      <w:pPr>
        <w:spacing w:after="0" w:line="63" w:lineRule="exact"/>
        <w:rPr>
          <w:sz w:val="20"/>
          <w:szCs w:val="20"/>
          <w:color w:val="auto"/>
        </w:rPr>
      </w:pPr>
    </w:p>
    <w:p>
      <w:pPr>
        <w:ind w:left="760" w:right="460" w:hanging="378"/>
        <w:spacing w:after="0" w:line="28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Pro-rata project costs of our current in process development and redevelopment projects totaled $577.6 million at June 30, 2024, compared to $468.1 million at December 31, 2023.</w:t>
      </w:r>
    </w:p>
    <w:p>
      <w:pPr>
        <w:spacing w:after="0" w:line="1"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redevelopment projects completed during 2024 represented $14.8 million of estimated net project costs, with an average stabilized yield of 10.6%.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maintained liquidity and financial flexibility to cost effectively fund investment opportunities and debt maturities:</w:t>
      </w:r>
    </w:p>
    <w:p>
      <w:pPr>
        <w:spacing w:after="0" w:line="117"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Regency received a credit rating upgrade to A3 with a stable outlook from Moody's Investors Service.</w:t>
      </w:r>
    </w:p>
    <w:p>
      <w:pPr>
        <w:spacing w:after="0" w:line="63" w:lineRule="exact"/>
        <w:rPr>
          <w:rFonts w:ascii="Times New Roman" w:cs="Times New Roman" w:eastAsia="Times New Roman" w:hAnsi="Times New Roman"/>
          <w:sz w:val="18"/>
          <w:szCs w:val="18"/>
          <w:color w:val="auto"/>
        </w:rPr>
      </w:pPr>
    </w:p>
    <w:p>
      <w:pPr>
        <w:ind w:left="760" w:right="300" w:hanging="378"/>
        <w:spacing w:after="0" w:line="26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8, 2024, Regency priced a public offering of $400 million of senior unsecured notes due in 2034, with a coupon of 5.250% . The Company used a portion of the net proceeds to reduce the outstanding balance on its line of credit and invested the remaining net proceeds in certificates of deposit and short-term U.S. Treasury mutual funds until required for general corporate purposes including the repayment of outstanding debt, as further described below.</w:t>
      </w:r>
    </w:p>
    <w:p>
      <w:pPr>
        <w:spacing w:after="0" w:line="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17, 2024, Regency repaid $250 million of maturing senior unsecured notes.</w:t>
      </w:r>
    </w:p>
    <w:p>
      <w:pPr>
        <w:spacing w:after="0" w:line="63" w:lineRule="exact"/>
        <w:rPr>
          <w:rFonts w:ascii="Times New Roman" w:cs="Times New Roman" w:eastAsia="Times New Roman" w:hAnsi="Times New Roman"/>
          <w:sz w:val="18"/>
          <w:szCs w:val="18"/>
          <w:color w:val="auto"/>
        </w:rPr>
      </w:pPr>
    </w:p>
    <w:p>
      <w:pPr>
        <w:ind w:left="760" w:right="340" w:hanging="378"/>
        <w:spacing w:after="0" w:line="28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$230.7 million of secured loans which are to mature during the next 12 months, including maturities within our unconsolidated real estate partnerships, which we intend to refinance or pay-off as they mature.</w:t>
      </w:r>
    </w:p>
    <w:p>
      <w:pPr>
        <w:spacing w:after="0" w:line="1" w:lineRule="exact"/>
        <w:rPr>
          <w:rFonts w:ascii="Times New Roman" w:cs="Times New Roman" w:eastAsia="Times New Roman" w:hAnsi="Times New Roman"/>
          <w:sz w:val="18"/>
          <w:szCs w:val="18"/>
          <w:color w:val="auto"/>
        </w:rPr>
      </w:pPr>
    </w:p>
    <w:p>
      <w:pPr>
        <w:ind w:left="760" w:right="200" w:hanging="378"/>
        <w:spacing w:after="0" w:line="312" w:lineRule="auto"/>
        <w:tabs>
          <w:tab w:leader="none" w:pos="7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June 30, 2024, we had $1.18 billion available on the Line, which expires March 23, 2028 unless we exercise the available options to extend the maturity for two additional six-month periods, in which case the term will be extended in accordance with any such option exercise.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Portfolio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general information related to the consolidated properties in our portfolio:</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23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(GLA in thousands)</w:t>
            </w:r>
          </w:p>
        </w:tc>
        <w:tc>
          <w:tcPr>
            <w:tcW w:w="20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9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Properties</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240" w:type="dxa"/>
            <w:vAlign w:val="bottom"/>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GLA</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43,815</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 Leased – Operating and Development</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94.9 %</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94.9 %</w:t>
            </w: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 Leased – Operating</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95.3 %</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95.4 %</w:t>
            </w:r>
          </w:p>
        </w:tc>
      </w:tr>
      <w:tr>
        <w:trPr>
          <w:trHeight w:val="21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annual effective rent per square foot</w:t>
            </w:r>
          </w:p>
        </w:tc>
        <w:tc>
          <w:tcPr>
            <w:tcW w:w="1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("PSF"), net of tenant concessions.</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-565150</wp:posOffset>
            </wp:positionV>
            <wp:extent cx="4989195" cy="1460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The following table summarizes general information related to the unconsolidated properties owned in real estate investment partnerships in our portfolio:</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23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(GLA in thousands)</w:t>
            </w:r>
          </w:p>
        </w:tc>
        <w:tc>
          <w:tcPr>
            <w:tcW w:w="20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9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Properties</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40" w:type="dxa"/>
            <w:vAlign w:val="bottom"/>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GLA</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13,065</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 Leased – Operating and Development</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96.4 %</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96.6 %</w:t>
            </w: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 Leased –Operating</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96.4 %</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96.6 %</w:t>
            </w:r>
          </w:p>
        </w:tc>
      </w:tr>
      <w:tr>
        <w:trPr>
          <w:trHeight w:val="21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annual effective rent PSF, net of tenant</w:t>
            </w:r>
          </w:p>
        </w:tc>
        <w:tc>
          <w:tcPr>
            <w:tcW w:w="1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concessions</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-565150</wp:posOffset>
            </wp:positionV>
            <wp:extent cx="4989195" cy="1454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Pro-rata occupancy rates of our combined consolidated and unconsolidated shopping center portfolio:</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4000" w:type="dxa"/>
            <w:vAlign w:val="bottom"/>
          </w:tcPr>
          <w:p>
            <w:pPr>
              <w:spacing w:after="0"/>
              <w:rPr>
                <w:sz w:val="19"/>
                <w:szCs w:val="19"/>
                <w:color w:val="auto"/>
              </w:rPr>
            </w:pPr>
          </w:p>
        </w:tc>
        <w:tc>
          <w:tcPr>
            <w:tcW w:w="14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Pr>
          <w:p>
            <w:pPr>
              <w:spacing w:after="0"/>
              <w:rPr>
                <w:sz w:val="19"/>
                <w:szCs w:val="19"/>
                <w:color w:val="auto"/>
              </w:rPr>
            </w:pPr>
          </w:p>
        </w:tc>
      </w:tr>
      <w:tr>
        <w:trPr>
          <w:trHeight w:val="210"/>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 Leased – All Properties</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95.0 %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95.1 %</w:t>
            </w:r>
          </w:p>
        </w:tc>
      </w:tr>
      <w:tr>
        <w:trPr>
          <w:trHeight w:val="243"/>
        </w:trPr>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xml:space="preserve">Anchor Space (spaces </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10,000 SF)</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96.9 %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96.7 %</w:t>
            </w:r>
          </w:p>
        </w:tc>
      </w:tr>
      <w:tr>
        <w:trPr>
          <w:trHeight w:val="230"/>
        </w:trPr>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Shop Space (spaces &lt; 10,000 SF)</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92.1 %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-433070</wp:posOffset>
            </wp:positionV>
            <wp:extent cx="4989195" cy="1460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-132715</wp:posOffset>
            </wp:positionV>
            <wp:extent cx="4989195" cy="1460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14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leasing activity, including our Pro-rata share of activity within the portfolio of our real estate partnerships (totals as a weighted average PSF):</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00"/>
        </w:trPr>
        <w:tc>
          <w:tcPr>
            <w:tcW w:w="3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Tenant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Leasing</w:t>
            </w:r>
          </w:p>
        </w:tc>
      </w:tr>
      <w:tr>
        <w:trPr>
          <w:trHeight w:val="203"/>
        </w:trPr>
        <w:tc>
          <w:tcPr>
            <w:tcW w:w="3300" w:type="dxa"/>
            <w:vAlign w:val="bottom"/>
          </w:tcPr>
          <w:p>
            <w:pPr>
              <w:spacing w:after="0"/>
              <w:rPr>
                <w:sz w:val="17"/>
                <w:szCs w:val="17"/>
                <w:color w:val="auto"/>
              </w:rPr>
            </w:pPr>
          </w:p>
        </w:tc>
        <w:tc>
          <w:tcPr>
            <w:tcW w:w="116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SF (in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Base Rent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and Landlord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Commissions</w:t>
            </w:r>
          </w:p>
        </w:tc>
      </w:tr>
      <w:tr>
        <w:trPr>
          <w:trHeight w:val="225"/>
        </w:trPr>
        <w:tc>
          <w:tcPr>
            <w:tcW w:w="3300" w:type="dxa"/>
            <w:vAlign w:val="bottom"/>
          </w:tcPr>
          <w:p>
            <w:pPr>
              <w:spacing w:after="0"/>
              <w:rPr>
                <w:sz w:val="19"/>
                <w:szCs w:val="19"/>
                <w:color w:val="auto"/>
              </w:rPr>
            </w:pPr>
          </w:p>
        </w:tc>
        <w:tc>
          <w:tcPr>
            <w:tcW w:w="116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8"/>
              </w:rPr>
              <w:t>Transactions</w:t>
            </w:r>
          </w:p>
        </w:tc>
        <w:tc>
          <w:tcPr>
            <w:tcW w:w="4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PSF</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Work PSF</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PSF</w:t>
            </w:r>
          </w:p>
        </w:tc>
      </w:tr>
      <w:tr>
        <w:trPr>
          <w:trHeight w:val="229"/>
        </w:trPr>
        <w:tc>
          <w:tcPr>
            <w:tcW w:w="4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Anchor Space Leases</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0"/>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307</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69.01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8.09</w:t>
            </w:r>
          </w:p>
        </w:tc>
      </w:tr>
      <w:tr>
        <w:trPr>
          <w:trHeight w:val="233"/>
        </w:trPr>
        <w:tc>
          <w:tcPr>
            <w:tcW w:w="3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Renewal</w:t>
            </w:r>
          </w:p>
        </w:tc>
        <w:tc>
          <w:tcPr>
            <w:tcW w:w="116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1,911</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19.56</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0.13</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0.09</w:t>
            </w:r>
          </w:p>
        </w:tc>
      </w:tr>
      <w:tr>
        <w:trPr>
          <w:trHeight w:val="223"/>
        </w:trPr>
        <w:tc>
          <w:tcPr>
            <w:tcW w:w="3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Anchor Space Leases</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78</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2,218</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19.86</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9.65</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r>
      <w:tr>
        <w:trPr>
          <w:trHeight w:val="230"/>
        </w:trPr>
        <w:tc>
          <w:tcPr>
            <w:tcW w:w="4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Shop Space Leases</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0"/>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282</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592</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39.42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39.95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13.69</w:t>
            </w:r>
          </w:p>
        </w:tc>
      </w:tr>
      <w:tr>
        <w:trPr>
          <w:trHeight w:val="233"/>
        </w:trPr>
        <w:tc>
          <w:tcPr>
            <w:tcW w:w="3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Renewal</w:t>
            </w:r>
          </w:p>
        </w:tc>
        <w:tc>
          <w:tcPr>
            <w:tcW w:w="116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624</w:t>
            </w:r>
          </w:p>
        </w:tc>
        <w:tc>
          <w:tcPr>
            <w:tcW w:w="18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1,258</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36.89</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2.65</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0.57</w:t>
            </w:r>
          </w:p>
        </w:tc>
      </w:tr>
      <w:tr>
        <w:trPr>
          <w:trHeight w:val="223"/>
        </w:trPr>
        <w:tc>
          <w:tcPr>
            <w:tcW w:w="3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Shop Space Leases</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906</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1,850</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37.70</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14.59</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4.77</w:t>
            </w:r>
          </w:p>
        </w:tc>
      </w:tr>
      <w:tr>
        <w:trPr>
          <w:trHeight w:val="263"/>
        </w:trPr>
        <w:tc>
          <w:tcPr>
            <w:tcW w:w="33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Leases</w:t>
            </w:r>
          </w:p>
        </w:tc>
        <w:tc>
          <w:tcPr>
            <w:tcW w:w="1160" w:type="dxa"/>
            <w:vAlign w:val="bottom"/>
            <w:tcBorders>
              <w:bottom w:val="single" w:sz="8" w:color="auto"/>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984</w:t>
            </w:r>
          </w:p>
        </w:tc>
        <w:tc>
          <w:tcPr>
            <w:tcW w:w="18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4,068</w:t>
            </w:r>
          </w:p>
        </w:tc>
        <w:tc>
          <w:tcPr>
            <w:tcW w:w="1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27.98</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11.90</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2.82</w:t>
            </w:r>
          </w:p>
        </w:tc>
      </w:tr>
      <w:tr>
        <w:trPr>
          <w:trHeight w:val="413"/>
        </w:trPr>
        <w:tc>
          <w:tcPr>
            <w:tcW w:w="33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00"/>
        </w:trPr>
        <w:tc>
          <w:tcPr>
            <w:tcW w:w="3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Tenant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Leasing</w:t>
            </w:r>
          </w:p>
        </w:tc>
      </w:tr>
      <w:tr>
        <w:trPr>
          <w:trHeight w:val="203"/>
        </w:trPr>
        <w:tc>
          <w:tcPr>
            <w:tcW w:w="3300" w:type="dxa"/>
            <w:vAlign w:val="bottom"/>
          </w:tcPr>
          <w:p>
            <w:pPr>
              <w:spacing w:after="0"/>
              <w:rPr>
                <w:sz w:val="17"/>
                <w:szCs w:val="17"/>
                <w:color w:val="auto"/>
              </w:rPr>
            </w:pPr>
          </w:p>
        </w:tc>
        <w:tc>
          <w:tcPr>
            <w:tcW w:w="116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SF (in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Base Rent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and Landlord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Commissions</w:t>
            </w:r>
          </w:p>
        </w:tc>
      </w:tr>
      <w:tr>
        <w:trPr>
          <w:trHeight w:val="225"/>
        </w:trPr>
        <w:tc>
          <w:tcPr>
            <w:tcW w:w="3300" w:type="dxa"/>
            <w:vAlign w:val="bottom"/>
          </w:tcPr>
          <w:p>
            <w:pPr>
              <w:spacing w:after="0"/>
              <w:rPr>
                <w:sz w:val="19"/>
                <w:szCs w:val="19"/>
                <w:color w:val="auto"/>
              </w:rPr>
            </w:pPr>
          </w:p>
        </w:tc>
        <w:tc>
          <w:tcPr>
            <w:tcW w:w="116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8"/>
              </w:rPr>
              <w:t>Transactions</w:t>
            </w:r>
          </w:p>
        </w:tc>
        <w:tc>
          <w:tcPr>
            <w:tcW w:w="4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PSF</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Work PSF</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PSF</w:t>
            </w:r>
          </w:p>
        </w:tc>
      </w:tr>
      <w:tr>
        <w:trPr>
          <w:trHeight w:val="230"/>
        </w:trPr>
        <w:tc>
          <w:tcPr>
            <w:tcW w:w="4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Anchor Space Leases</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0"/>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251</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47.72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5.42</w:t>
            </w:r>
          </w:p>
        </w:tc>
      </w:tr>
      <w:tr>
        <w:trPr>
          <w:trHeight w:val="233"/>
        </w:trPr>
        <w:tc>
          <w:tcPr>
            <w:tcW w:w="3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Renewal</w:t>
            </w:r>
          </w:p>
        </w:tc>
        <w:tc>
          <w:tcPr>
            <w:tcW w:w="116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1,300</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16.50</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0.48</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0.08</w:t>
            </w:r>
          </w:p>
        </w:tc>
      </w:tr>
      <w:tr>
        <w:trPr>
          <w:trHeight w:val="223"/>
        </w:trPr>
        <w:tc>
          <w:tcPr>
            <w:tcW w:w="3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Anchor Space Leases</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60</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1,551</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16.97</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8.14</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0.94</w:t>
            </w:r>
          </w:p>
        </w:tc>
      </w:tr>
      <w:tr>
        <w:trPr>
          <w:trHeight w:val="230"/>
        </w:trPr>
        <w:tc>
          <w:tcPr>
            <w:tcW w:w="4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Shop Space Leases</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0"/>
        </w:trPr>
        <w:tc>
          <w:tcPr>
            <w:tcW w:w="4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272</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577</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39.42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13.18</w:t>
            </w:r>
          </w:p>
        </w:tc>
      </w:tr>
      <w:tr>
        <w:trPr>
          <w:trHeight w:val="233"/>
        </w:trPr>
        <w:tc>
          <w:tcPr>
            <w:tcW w:w="3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Renewal</w:t>
            </w:r>
          </w:p>
        </w:tc>
        <w:tc>
          <w:tcPr>
            <w:tcW w:w="116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510</w:t>
            </w:r>
          </w:p>
        </w:tc>
        <w:tc>
          <w:tcPr>
            <w:tcW w:w="18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873</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36.92</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1.62</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0.60</w:t>
            </w:r>
          </w:p>
        </w:tc>
      </w:tr>
      <w:tr>
        <w:trPr>
          <w:trHeight w:val="223"/>
        </w:trPr>
        <w:tc>
          <w:tcPr>
            <w:tcW w:w="3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Shop Space Leases</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782</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1,450</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37.92</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17.44</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5.60</w:t>
            </w:r>
          </w:p>
        </w:tc>
      </w:tr>
      <w:tr>
        <w:trPr>
          <w:trHeight w:val="263"/>
        </w:trPr>
        <w:tc>
          <w:tcPr>
            <w:tcW w:w="33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Leases</w:t>
            </w:r>
          </w:p>
        </w:tc>
        <w:tc>
          <w:tcPr>
            <w:tcW w:w="1160" w:type="dxa"/>
            <w:vAlign w:val="bottom"/>
            <w:tcBorders>
              <w:bottom w:val="single" w:sz="8" w:color="auto"/>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842</w:t>
            </w:r>
          </w:p>
        </w:tc>
        <w:tc>
          <w:tcPr>
            <w:tcW w:w="18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3,001</w:t>
            </w:r>
          </w:p>
        </w:tc>
        <w:tc>
          <w:tcPr>
            <w:tcW w:w="1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27.09</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12.63</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-3128010</wp:posOffset>
            </wp:positionV>
            <wp:extent cx="12001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-3128010</wp:posOffset>
            </wp:positionV>
            <wp:extent cx="1111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-3128010</wp:posOffset>
            </wp:positionV>
            <wp:extent cx="1117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-3128010</wp:posOffset>
            </wp:positionV>
            <wp:extent cx="1111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-2527935</wp:posOffset>
            </wp:positionV>
            <wp:extent cx="1200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-2527935</wp:posOffset>
            </wp:positionV>
            <wp:extent cx="1111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-2527935</wp:posOffset>
            </wp:positionV>
            <wp:extent cx="1117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-2527935</wp:posOffset>
            </wp:positionV>
            <wp:extent cx="1111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-2219325</wp:posOffset>
            </wp:positionV>
            <wp:extent cx="1200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-2202180</wp:posOffset>
            </wp:positionV>
            <wp:extent cx="12001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-2219325</wp:posOffset>
            </wp:positionV>
            <wp:extent cx="1111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-2202180</wp:posOffset>
            </wp:positionV>
            <wp:extent cx="1111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-2219325</wp:posOffset>
            </wp:positionV>
            <wp:extent cx="1117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-2202180</wp:posOffset>
            </wp:positionV>
            <wp:extent cx="1117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-2219325</wp:posOffset>
            </wp:positionV>
            <wp:extent cx="1111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-2202180</wp:posOffset>
            </wp:positionV>
            <wp:extent cx="1111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-933450</wp:posOffset>
            </wp:positionV>
            <wp:extent cx="1200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-933450</wp:posOffset>
            </wp:positionV>
            <wp:extent cx="1111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-933450</wp:posOffset>
            </wp:positionV>
            <wp:extent cx="1117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-933450</wp:posOffset>
            </wp:positionV>
            <wp:extent cx="1111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-334010</wp:posOffset>
            </wp:positionV>
            <wp:extent cx="12001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-334010</wp:posOffset>
            </wp:positionV>
            <wp:extent cx="1111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-334010</wp:posOffset>
            </wp:positionV>
            <wp:extent cx="11176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-334010</wp:posOffset>
            </wp:positionV>
            <wp:extent cx="1111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-24765</wp:posOffset>
            </wp:positionV>
            <wp:extent cx="12001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-8255</wp:posOffset>
            </wp:positionV>
            <wp:extent cx="12001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1111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1111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1117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11176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1111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11112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2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weighted-average base rent PSF on signed Shop Space leases during 2024 was $37.70 PSF, which is higher than the weighted average annual base rent PSF of all Shop Space leases due to expire during the next 12 months of $35.05 PSF. New and renewal rent spreads, compared to prior rents on these same spaces leased, were positive at 8.9% for the six months ended June 30, 2024, compared to 9.2% for the six months ended June 30,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Significant Tenants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seek to reduce our operating and leasing risks by avoiding dependence on any single tenant. Based on percentage of annualized base rent, the following table summarizes our most significant tenants, of which four of the top five are grocers: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2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r>
      <w:tr>
        <w:trPr>
          <w:trHeight w:val="200"/>
        </w:trPr>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75"/>
        </w:trPr>
        <w:tc>
          <w:tcPr>
            <w:tcW w:w="2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center"/>
              <w:ind w:left="239"/>
              <w:spacing w:after="0" w:line="175"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Company-</w:t>
            </w:r>
          </w:p>
        </w:tc>
        <w:tc>
          <w:tcPr>
            <w:tcW w:w="260" w:type="dxa"/>
            <w:vAlign w:val="bottom"/>
          </w:tcPr>
          <w:p>
            <w:pPr>
              <w:spacing w:after="0"/>
              <w:rPr>
                <w:sz w:val="15"/>
                <w:szCs w:val="15"/>
                <w:color w:val="auto"/>
              </w:rPr>
            </w:pPr>
          </w:p>
        </w:tc>
        <w:tc>
          <w:tcPr>
            <w:tcW w:w="1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59"/>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Tenant</w:t>
            </w:r>
          </w:p>
        </w:tc>
        <w:tc>
          <w:tcPr>
            <w:tcW w:w="260" w:type="dxa"/>
            <w:vAlign w:val="bottom"/>
          </w:tcPr>
          <w:p>
            <w:pPr>
              <w:spacing w:after="0"/>
              <w:rPr>
                <w:sz w:val="22"/>
                <w:szCs w:val="22"/>
                <w:color w:val="auto"/>
              </w:rPr>
            </w:pPr>
          </w:p>
        </w:tc>
        <w:tc>
          <w:tcPr>
            <w:tcW w:w="136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Stores</w:t>
            </w:r>
          </w:p>
        </w:tc>
        <w:tc>
          <w:tcPr>
            <w:tcW w:w="42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owned GLA </w:t>
            </w:r>
            <w:r>
              <w:rPr>
                <w:rFonts w:ascii="Times New Roman" w:cs="Times New Roman" w:eastAsia="Times New Roman" w:hAnsi="Times New Roman"/>
                <w:sz w:val="21"/>
                <w:szCs w:val="21"/>
                <w:b w:val="1"/>
                <w:bCs w:val="1"/>
                <w:color w:val="auto"/>
                <w:w w:val="96"/>
                <w:vertAlign w:val="superscript"/>
              </w:rPr>
              <w:t>(1)</w:t>
            </w:r>
          </w:p>
        </w:tc>
        <w:tc>
          <w:tcPr>
            <w:tcW w:w="260" w:type="dxa"/>
            <w:vAlign w:val="bottom"/>
          </w:tcPr>
          <w:p>
            <w:pPr>
              <w:spacing w:after="0"/>
              <w:rPr>
                <w:sz w:val="22"/>
                <w:szCs w:val="22"/>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xml:space="preserve">Annual Base Rent </w:t>
            </w:r>
            <w:r>
              <w:rPr>
                <w:rFonts w:ascii="Times New Roman" w:cs="Times New Roman" w:eastAsia="Times New Roman" w:hAnsi="Times New Roman"/>
                <w:sz w:val="21"/>
                <w:szCs w:val="21"/>
                <w:b w:val="1"/>
                <w:bCs w:val="1"/>
                <w:color w:val="auto"/>
                <w:w w:val="98"/>
                <w:vertAlign w:val="superscript"/>
              </w:rPr>
              <w:t>(1)</w:t>
            </w:r>
          </w:p>
        </w:tc>
      </w:tr>
      <w:tr>
        <w:trPr>
          <w:trHeight w:val="223"/>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Publix</w:t>
            </w:r>
          </w:p>
        </w:tc>
        <w:tc>
          <w:tcPr>
            <w:tcW w:w="13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67</w:t>
            </w:r>
          </w:p>
        </w:tc>
        <w:tc>
          <w:tcPr>
            <w:tcW w:w="204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6.0%</w:t>
            </w:r>
          </w:p>
        </w:tc>
        <w:tc>
          <w:tcPr>
            <w:tcW w:w="204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3.0%</w:t>
            </w:r>
          </w:p>
        </w:tc>
      </w:tr>
      <w:tr>
        <w:trPr>
          <w:trHeight w:val="22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TJX Companies, Inc.</w:t>
            </w:r>
          </w:p>
        </w:tc>
        <w:tc>
          <w:tcPr>
            <w:tcW w:w="1360" w:type="dxa"/>
            <w:vAlign w:val="bottom"/>
          </w:tcPr>
          <w:p>
            <w:pPr>
              <w:spacing w:after="0"/>
              <w:rPr>
                <w:sz w:val="19"/>
                <w:szCs w:val="19"/>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20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3.6%</w:t>
            </w:r>
          </w:p>
        </w:tc>
        <w:tc>
          <w:tcPr>
            <w:tcW w:w="20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2.8%</w:t>
            </w:r>
          </w:p>
        </w:tc>
      </w:tr>
      <w:tr>
        <w:trPr>
          <w:trHeight w:val="239"/>
        </w:trPr>
        <w:tc>
          <w:tcPr>
            <w:tcW w:w="3120" w:type="dxa"/>
            <w:vAlign w:val="bottom"/>
            <w:gridSpan w:val="2"/>
            <w:shd w:val="clear" w:color="auto" w:fill="CFF0FC"/>
          </w:tcPr>
          <w:p>
            <w:pPr>
              <w:spacing w:after="0" w:line="239" w:lineRule="exact"/>
              <w:rPr>
                <w:sz w:val="20"/>
                <w:szCs w:val="20"/>
                <w:color w:val="auto"/>
              </w:rPr>
            </w:pPr>
            <w:r>
              <w:rPr>
                <w:rFonts w:ascii="Times New Roman" w:cs="Times New Roman" w:eastAsia="Times New Roman" w:hAnsi="Times New Roman"/>
                <w:sz w:val="16"/>
                <w:szCs w:val="16"/>
                <w:color w:val="auto"/>
              </w:rPr>
              <w:t>Albertsons Companies, Inc.</w:t>
            </w:r>
            <w:r>
              <w:rPr>
                <w:rFonts w:ascii="Times New Roman" w:cs="Times New Roman" w:eastAsia="Times New Roman" w:hAnsi="Times New Roman"/>
                <w:sz w:val="21"/>
                <w:szCs w:val="21"/>
                <w:color w:val="auto"/>
                <w:vertAlign w:val="superscript"/>
              </w:rPr>
              <w:t>(2)</w:t>
            </w:r>
          </w:p>
        </w:tc>
        <w:tc>
          <w:tcPr>
            <w:tcW w:w="13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c>
          <w:tcPr>
            <w:tcW w:w="204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4.3%</w:t>
            </w:r>
          </w:p>
        </w:tc>
        <w:tc>
          <w:tcPr>
            <w:tcW w:w="204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2.7%</w:t>
            </w:r>
          </w:p>
        </w:tc>
      </w:tr>
      <w:tr>
        <w:trPr>
          <w:trHeight w:val="22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Amazon/Whole Foods</w:t>
            </w:r>
          </w:p>
        </w:tc>
        <w:tc>
          <w:tcPr>
            <w:tcW w:w="1360" w:type="dxa"/>
            <w:vAlign w:val="bottom"/>
          </w:tcPr>
          <w:p>
            <w:pPr>
              <w:spacing w:after="0"/>
              <w:rPr>
                <w:sz w:val="19"/>
                <w:szCs w:val="19"/>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20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2.7%</w:t>
            </w:r>
          </w:p>
        </w:tc>
        <w:tc>
          <w:tcPr>
            <w:tcW w:w="20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2.7%</w:t>
            </w:r>
          </w:p>
        </w:tc>
      </w:tr>
      <w:tr>
        <w:trPr>
          <w:trHeight w:val="239"/>
        </w:trPr>
        <w:tc>
          <w:tcPr>
            <w:tcW w:w="3120" w:type="dxa"/>
            <w:vAlign w:val="bottom"/>
            <w:gridSpan w:val="2"/>
            <w:shd w:val="clear" w:color="auto" w:fill="CFF0FC"/>
          </w:tcPr>
          <w:p>
            <w:pPr>
              <w:spacing w:after="0" w:line="239" w:lineRule="exact"/>
              <w:rPr>
                <w:sz w:val="20"/>
                <w:szCs w:val="20"/>
                <w:color w:val="auto"/>
              </w:rPr>
            </w:pPr>
            <w:r>
              <w:rPr>
                <w:rFonts w:ascii="Times New Roman" w:cs="Times New Roman" w:eastAsia="Times New Roman" w:hAnsi="Times New Roman"/>
                <w:sz w:val="16"/>
                <w:szCs w:val="16"/>
                <w:color w:val="auto"/>
              </w:rPr>
              <w:t>Kroger Co.</w:t>
            </w:r>
            <w:r>
              <w:rPr>
                <w:rFonts w:ascii="Times New Roman" w:cs="Times New Roman" w:eastAsia="Times New Roman" w:hAnsi="Times New Roman"/>
                <w:sz w:val="21"/>
                <w:szCs w:val="21"/>
                <w:color w:val="auto"/>
                <w:vertAlign w:val="superscript"/>
              </w:rPr>
              <w:t>(2)</w:t>
            </w:r>
          </w:p>
        </w:tc>
        <w:tc>
          <w:tcPr>
            <w:tcW w:w="13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c>
          <w:tcPr>
            <w:tcW w:w="204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6.0%</w:t>
            </w:r>
          </w:p>
        </w:tc>
        <w:tc>
          <w:tcPr>
            <w:tcW w:w="204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2.6%</w:t>
            </w:r>
          </w:p>
        </w:tc>
      </w:tr>
    </w:tbl>
    <w:p>
      <w:pPr>
        <w:spacing w:after="0" w:line="52" w:lineRule="exact"/>
        <w:rPr>
          <w:sz w:val="20"/>
          <w:szCs w:val="20"/>
          <w:color w:val="auto"/>
        </w:rPr>
      </w:pPr>
    </w:p>
    <w:p>
      <w:pPr>
        <w:ind w:left="1340" w:hanging="252"/>
        <w:spacing w:after="0"/>
        <w:tabs>
          <w:tab w:leader="none" w:pos="134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Regency's Pro-rata share of unconsolidated properties and excludes those owned by anchors.</w:t>
      </w:r>
    </w:p>
    <w:p>
      <w:pPr>
        <w:spacing w:after="0" w:line="100" w:lineRule="exact"/>
        <w:rPr>
          <w:rFonts w:ascii="Times New Roman" w:cs="Times New Roman" w:eastAsia="Times New Roman" w:hAnsi="Times New Roman"/>
          <w:sz w:val="22"/>
          <w:szCs w:val="22"/>
          <w:color w:val="auto"/>
          <w:vertAlign w:val="superscript"/>
        </w:rPr>
      </w:pPr>
    </w:p>
    <w:p>
      <w:pPr>
        <w:ind w:left="1340" w:right="60" w:hanging="252"/>
        <w:spacing w:after="0" w:line="255" w:lineRule="auto"/>
        <w:tabs>
          <w:tab w:leader="none" w:pos="134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October 2022, Kroger Co. and Albertsons Companies, Inc. announced a proposed merger, and in September 2023 an agreement for a separate transaction was announced to divest certain assets of each company to a third party, C&amp;S Wholesale Grocers ("C&amp;S"). The transaction with C&amp;S, as later amended in April 2024, calls for the sale of 579 stores to C&amp;S. Lawsuits have been filed by federal and state regulators to enjoin the merger on antitrust grounds. Regency has a combined 104 Kroger and Albertson's stores, and 11 of them are among the 579 locations proposed to be sold to C&amp;S. These 11 locations comprise 0.9% of GLA and 0.5% of Annual Base Rent, including our Pro-rata share of our real estate partnerships . The expected outcome of the lawsuits to enjoin the transactions is uncertain at this time. Based on information currently available to the Company, we do not believe that these transactions (if they are consummated), or the termination of these transactions (if they are legally enjoined or otherwise fail to close), will have a material adverse effect on our results of operations or the financial condition of the Company.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Bankruptcies and Credit Concerns</w:t>
      </w:r>
    </w:p>
    <w:p>
      <w:pPr>
        <w:spacing w:after="0" w:line="17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management team devotes significant time to researching and monitoring consumer preferences and trends, customer shopping behaviors, changes in delivery methods, shifts to e-commerce, and changing demographics in order to anticipate the challenges and opportunities impacting our industry. We seek to mitigate these potential impacts through maintaining a high quality portfolio, diversifying our tenant mix, replacing less successful tenants with stronger operators, anchoring our centers with market leading grocers that drive customer traffic, and investing in suburban trade areas with compelling demographic populations benefiting from high levels of disposal income. The potential for a recession and the severity and duration of any economic downturn could negatively impact our existing tenants and their ability to continue to meet their lease obligations.</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base rent is derived from long-term lease contracts, tenants that file for bankruptcy generally have the legal right to reject any or all of their leases and close related stores. Any unsecured claim we hold against a bankrupt tenant for unpaid rent might be paid only to the extent that funds are available and only in the same percentage as is paid to all other holders of unsecured claims. As a result, in a tenant bankruptcy situation it is likely that we would recover substantially less than the full value of any unsecured claims we hold. Additionally, we may incur significant expense to adjudicate our claim and significant downtime to re-lease the vacated space. In the event that a tenant with a significant number of leases in our shopping centers files for bankruptcy and rejects its leases, we could experience a significant reduction in our revenues. At June 30, 2024, tenants currently in bankruptcy and which continue to occupy space in our shopping centers represent an aggregate of 0.5% of our Pro-rata annual base rent, which is primarily related to the Rite Aid bankruptcy, which was filed in October 2023.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from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June 30, 2024 and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changed as summarized in the following table:</w:t>
      </w:r>
    </w:p>
    <w:p>
      <w:pPr>
        <w:spacing w:after="0" w:line="200" w:lineRule="exact"/>
        <w:rPr>
          <w:sz w:val="20"/>
          <w:szCs w:val="20"/>
          <w:color w:val="auto"/>
        </w:rPr>
      </w:pP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3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9"/>
                <w:szCs w:val="19"/>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0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income</w:t>
            </w: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Base rent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245,476</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213,977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31,499</w:t>
            </w:r>
          </w:p>
        </w:tc>
        <w:tc>
          <w:tcPr>
            <w:tcW w:w="0" w:type="dxa"/>
            <w:vAlign w:val="bottom"/>
          </w:tcPr>
          <w:p>
            <w:pPr>
              <w:spacing w:after="0"/>
              <w:rPr>
                <w:sz w:val="1"/>
                <w:szCs w:val="1"/>
                <w:color w:val="auto"/>
              </w:rPr>
            </w:pPr>
          </w:p>
        </w:tc>
      </w:tr>
      <w:tr>
        <w:trPr>
          <w:trHeight w:val="239"/>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Recoveries from tenants</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84,805</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74,748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10,057</w:t>
            </w:r>
          </w:p>
        </w:tc>
        <w:tc>
          <w:tcPr>
            <w:tcW w:w="0" w:type="dxa"/>
            <w:vAlign w:val="bottom"/>
          </w:tcPr>
          <w:p>
            <w:pPr>
              <w:spacing w:after="0"/>
              <w:rPr>
                <w:sz w:val="1"/>
                <w:szCs w:val="1"/>
                <w:color w:val="auto"/>
              </w:rPr>
            </w:pPr>
          </w:p>
        </w:tc>
      </w:tr>
      <w:tr>
        <w:trPr>
          <w:trHeight w:val="220"/>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Percentage rent</w:t>
            </w:r>
          </w:p>
        </w:tc>
        <w:tc>
          <w:tcPr>
            <w:tcW w:w="2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1,996</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1,380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39"/>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Uncollectible lease income</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(1,858 )</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(343 )</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(1,515 )</w:t>
            </w:r>
          </w:p>
        </w:tc>
        <w:tc>
          <w:tcPr>
            <w:tcW w:w="0" w:type="dxa"/>
            <w:vAlign w:val="bottom"/>
          </w:tcPr>
          <w:p>
            <w:pPr>
              <w:spacing w:after="0"/>
              <w:rPr>
                <w:sz w:val="1"/>
                <w:szCs w:val="1"/>
                <w:color w:val="auto"/>
              </w:rPr>
            </w:pPr>
          </w:p>
        </w:tc>
      </w:tr>
      <w:tr>
        <w:trPr>
          <w:trHeight w:val="220"/>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lease income</w:t>
            </w:r>
          </w:p>
        </w:tc>
        <w:tc>
          <w:tcPr>
            <w:tcW w:w="2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5,865</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3,066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0" w:type="dxa"/>
            <w:vAlign w:val="bottom"/>
          </w:tcPr>
          <w:p>
            <w:pPr>
              <w:spacing w:after="0"/>
              <w:rPr>
                <w:sz w:val="1"/>
                <w:szCs w:val="1"/>
                <w:color w:val="auto"/>
              </w:rPr>
            </w:pPr>
          </w:p>
        </w:tc>
      </w:tr>
      <w:tr>
        <w:trPr>
          <w:trHeight w:val="239"/>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Straight-line rent</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4,120</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2,879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202"/>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Above/below market rent and tenant rent</w:t>
            </w:r>
          </w:p>
        </w:tc>
        <w:tc>
          <w:tcPr>
            <w:tcW w:w="220" w:type="dxa"/>
            <w:vAlign w:val="bottom"/>
          </w:tcPr>
          <w:p>
            <w:pPr>
              <w:spacing w:after="0"/>
              <w:rPr>
                <w:sz w:val="17"/>
                <w:szCs w:val="17"/>
                <w:color w:val="auto"/>
              </w:rPr>
            </w:pPr>
          </w:p>
        </w:tc>
        <w:tc>
          <w:tcPr>
            <w:tcW w:w="11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7,441</w:t>
            </w:r>
          </w:p>
        </w:tc>
        <w:tc>
          <w:tcPr>
            <w:tcW w:w="140" w:type="dxa"/>
            <w:vAlign w:val="bottom"/>
            <w:vMerge w:val="restart"/>
          </w:tcPr>
          <w:p>
            <w:pPr>
              <w:spacing w:after="0"/>
              <w:rPr>
                <w:sz w:val="17"/>
                <w:szCs w:val="17"/>
                <w:color w:val="auto"/>
              </w:rPr>
            </w:pPr>
          </w:p>
        </w:tc>
        <w:tc>
          <w:tcPr>
            <w:tcW w:w="13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8,751</w:t>
            </w:r>
          </w:p>
        </w:tc>
        <w:tc>
          <w:tcPr>
            <w:tcW w:w="12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(1,310 )</w:t>
            </w:r>
          </w:p>
        </w:tc>
        <w:tc>
          <w:tcPr>
            <w:tcW w:w="0" w:type="dxa"/>
            <w:vAlign w:val="bottom"/>
          </w:tcPr>
          <w:p>
            <w:pPr>
              <w:spacing w:after="0"/>
              <w:rPr>
                <w:sz w:val="1"/>
                <w:szCs w:val="1"/>
                <w:color w:val="auto"/>
              </w:rPr>
            </w:pPr>
          </w:p>
        </w:tc>
      </w:tr>
      <w:tr>
        <w:trPr>
          <w:trHeight w:val="213"/>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inducement amortization, net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lease income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347,845</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304,458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43,387</w:t>
            </w:r>
          </w:p>
        </w:tc>
        <w:tc>
          <w:tcPr>
            <w:tcW w:w="0" w:type="dxa"/>
            <w:vAlign w:val="bottom"/>
          </w:tcPr>
          <w:p>
            <w:pPr>
              <w:spacing w:after="0"/>
              <w:rPr>
                <w:sz w:val="1"/>
                <w:szCs w:val="1"/>
                <w:color w:val="auto"/>
              </w:rPr>
            </w:pPr>
          </w:p>
        </w:tc>
      </w:tr>
      <w:tr>
        <w:trPr>
          <w:trHeight w:val="220"/>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Other property income</w:t>
            </w:r>
          </w:p>
        </w:tc>
        <w:tc>
          <w:tcPr>
            <w:tcW w:w="2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2,670</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2,683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33"/>
        </w:trPr>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2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6,735</w:t>
            </w:r>
          </w:p>
        </w:tc>
        <w:tc>
          <w:tcPr>
            <w:tcW w:w="1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7,106</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(371 )</w:t>
            </w:r>
          </w:p>
        </w:tc>
        <w:tc>
          <w:tcPr>
            <w:tcW w:w="0" w:type="dxa"/>
            <w:vAlign w:val="bottom"/>
          </w:tcPr>
          <w:p>
            <w:pPr>
              <w:spacing w:after="0"/>
              <w:rPr>
                <w:sz w:val="1"/>
                <w:szCs w:val="1"/>
                <w:color w:val="auto"/>
              </w:rPr>
            </w:pPr>
          </w:p>
        </w:tc>
      </w:tr>
      <w:tr>
        <w:trPr>
          <w:trHeight w:val="223"/>
        </w:trPr>
        <w:tc>
          <w:tcPr>
            <w:tcW w:w="3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357,250</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314,247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43,003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-179070</wp:posOffset>
            </wp:positionV>
            <wp:extent cx="857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-179070</wp:posOffset>
            </wp:positionV>
            <wp:extent cx="774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4"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18"/>
          <w:szCs w:val="18"/>
          <w:color w:val="auto"/>
        </w:rPr>
        <w:t>Total lease income increased $43.4 million primarily driven by the following contractually billable components of rent to the tenants per the lease agreements:</w:t>
      </w:r>
    </w:p>
    <w:p>
      <w:pPr>
        <w:spacing w:after="0" w:line="1" w:lineRule="exact"/>
        <w:rPr>
          <w:sz w:val="20"/>
          <w:szCs w:val="20"/>
          <w:color w:val="auto"/>
        </w:rPr>
      </w:pPr>
    </w:p>
    <w:p>
      <w:pPr>
        <w:ind w:left="1140" w:right="5120" w:hanging="758"/>
        <w:spacing w:after="0" w:line="313" w:lineRule="auto"/>
        <w:tabs>
          <w:tab w:leader="none" w:pos="7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$31.5 million increase from billable Base rent, mainly from the following: o $24.8 million increase from the acquisition of UBP;</w:t>
      </w: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$5.5 million net increase from same properties, including:</w:t>
      </w:r>
    </w:p>
    <w:p>
      <w:pPr>
        <w:spacing w:after="0" w:line="63" w:lineRule="exact"/>
        <w:rPr>
          <w:rFonts w:ascii="Times New Roman" w:cs="Times New Roman" w:eastAsia="Times New Roman" w:hAnsi="Times New Roman"/>
          <w:sz w:val="18"/>
          <w:szCs w:val="18"/>
          <w:color w:val="auto"/>
        </w:rPr>
      </w:pPr>
    </w:p>
    <w:p>
      <w:pPr>
        <w:ind w:left="2260" w:right="180" w:hanging="380"/>
        <w:spacing w:after="0" w:line="281" w:lineRule="auto"/>
        <w:tabs>
          <w:tab w:leader="none" w:pos="2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net increase due to increases from occupancy, rent steps in existing leases, and positive rental spreads on new and renewal leases; and</w:t>
      </w:r>
    </w:p>
    <w:p>
      <w:pPr>
        <w:spacing w:after="0" w:line="1"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increase due to redevelopment projects becoming operational;</w:t>
      </w:r>
    </w:p>
    <w:p>
      <w:pPr>
        <w:spacing w:after="0" w:line="63" w:lineRule="exact"/>
        <w:rPr>
          <w:sz w:val="20"/>
          <w:szCs w:val="20"/>
          <w:color w:val="auto"/>
        </w:rPr>
      </w:pPr>
    </w:p>
    <w:p>
      <w:pPr>
        <w:ind w:left="1500" w:hanging="369"/>
        <w:spacing w:after="0"/>
        <w:tabs>
          <w:tab w:leader="none" w:pos="15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increase from acquisitions of other operating properties; and</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decrease from disposition of properties.</w:t>
      </w:r>
    </w:p>
    <w:p>
      <w:pPr>
        <w:spacing w:after="0" w:line="63"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million increase from contractual Recoveries from tenants, which represents the tenants' proportionate share of the operating, maintenance, insurance, and real estate tax expenses that we incur to operate our shopping centers. Recoveries from tenants increased, mainly from the following:</w:t>
      </w:r>
    </w:p>
    <w:p>
      <w:pPr>
        <w:spacing w:after="0" w:line="1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million increase from the acquisition of UBP; and</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net increase from same properties primarily due to higher expense recovery rates in the current year.</w:t>
      </w:r>
    </w:p>
    <w:p>
      <w:pPr>
        <w:spacing w:after="0" w:line="63" w:lineRule="exact"/>
        <w:rPr>
          <w:rFonts w:ascii="Times New Roman" w:cs="Times New Roman" w:eastAsia="Times New Roman" w:hAnsi="Times New Roman"/>
          <w:sz w:val="18"/>
          <w:szCs w:val="18"/>
          <w:color w:val="auto"/>
        </w:rPr>
      </w:pPr>
    </w:p>
    <w:p>
      <w:pPr>
        <w:ind w:left="760" w:right="40" w:hanging="378"/>
        <w:spacing w:after="0" w:line="28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change in Uncollectible lease income primarily driven by elevated collections in 2023 of previously reserved amounts, reducing our expense in the comparative period.</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increase in Other lease income primarily due to:</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increase driven by the acquisition of UBP; and</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increase in lease termination fee income.</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increase in Straight-line rent mainly due to $1.3 million increase driven by the acquisition of UBP.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Other property income and Management, transaction, and other fees.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Changes in our operating expenses are summarized in the following table:</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3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100,968</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83,161</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17,807</w:t>
            </w:r>
          </w:p>
        </w:tc>
      </w:tr>
      <w:tr>
        <w:trPr>
          <w:trHeight w:val="220"/>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Property operating expense</w:t>
            </w:r>
          </w:p>
        </w:tc>
        <w:tc>
          <w:tcPr>
            <w:tcW w:w="2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59,491</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54,394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5,097</w:t>
            </w:r>
          </w:p>
        </w:tc>
      </w:tr>
      <w:tr>
        <w:trPr>
          <w:trHeight w:val="23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 estate taxes</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45,478</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38,509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6,969</w:t>
            </w:r>
          </w:p>
        </w:tc>
      </w:tr>
      <w:tr>
        <w:trPr>
          <w:trHeight w:val="220"/>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24,238</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25,065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(827 )</w:t>
            </w:r>
          </w:p>
        </w:tc>
      </w:tr>
      <w:tr>
        <w:trPr>
          <w:trHeight w:val="233"/>
        </w:trPr>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operating expenses</w:t>
            </w:r>
          </w:p>
        </w:tc>
        <w:tc>
          <w:tcPr>
            <w:tcW w:w="2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3,066</w:t>
            </w:r>
          </w:p>
        </w:tc>
        <w:tc>
          <w:tcPr>
            <w:tcW w:w="1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1,682</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1,384</w:t>
            </w:r>
          </w:p>
        </w:tc>
      </w:tr>
      <w:tr>
        <w:trPr>
          <w:trHeight w:val="223"/>
        </w:trPr>
        <w:tc>
          <w:tcPr>
            <w:tcW w:w="3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233,241</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202,811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30,430</w:t>
            </w:r>
          </w:p>
        </w:tc>
      </w:tr>
      <w:tr>
        <w:trPr>
          <w:trHeight w:val="20"/>
        </w:trPr>
        <w:tc>
          <w:tcPr>
            <w:tcW w:w="3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-179070</wp:posOffset>
            </wp:positionV>
            <wp:extent cx="857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-179070</wp:posOffset>
            </wp:positionV>
            <wp:extent cx="774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costs increased $17.8 million, mainly due to the following:</w:t>
      </w:r>
    </w:p>
    <w:p>
      <w:pPr>
        <w:spacing w:after="0" w:line="63"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 million increase from the acquisition of UBP;</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increase from acquisitions of operating properties; and</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increase from redevelopment projects becoming operational.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operating expense increased $5.1 million, mainly due to the acquisition of UBP.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taxes increased $7.0 million, mainly due to the acquisition of UBP.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General and administrative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increased $1.4 million, mainly due to the acquisition of UBP.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other expense, net:</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3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9"/>
                <w:szCs w:val="19"/>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0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r>
      <w:tr>
        <w:trPr>
          <w:trHeight w:val="220"/>
        </w:trPr>
        <w:tc>
          <w:tcPr>
            <w:tcW w:w="3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on notes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46,864</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37,177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9,687</w:t>
            </w:r>
          </w:p>
        </w:tc>
      </w:tr>
      <w:tr>
        <w:trPr>
          <w:trHeight w:val="239"/>
        </w:trPr>
        <w:tc>
          <w:tcPr>
            <w:tcW w:w="3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Interest on unsecured credit facilities</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1,704</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1,342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20"/>
        </w:trPr>
        <w:tc>
          <w:tcPr>
            <w:tcW w:w="3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Capitalized interest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(1,284 )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(236 )</w:t>
            </w:r>
          </w:p>
        </w:tc>
      </w:tr>
      <w:tr>
        <w:trPr>
          <w:trHeight w:val="239"/>
        </w:trPr>
        <w:tc>
          <w:tcPr>
            <w:tcW w:w="3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Hedge expense</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148</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23"/>
        </w:trPr>
        <w:tc>
          <w:tcPr>
            <w:tcW w:w="3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(4,018 )</w:t>
            </w: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(388 )</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(3,630 )</w:t>
            </w:r>
          </w:p>
        </w:tc>
      </w:tr>
      <w:tr>
        <w:trPr>
          <w:trHeight w:val="230"/>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43,178</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36,956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6,222</w:t>
            </w:r>
          </w:p>
        </w:tc>
      </w:tr>
      <w:tr>
        <w:trPr>
          <w:trHeight w:val="220"/>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(11,081 )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(11,000 )</w:t>
            </w:r>
          </w:p>
        </w:tc>
      </w:tr>
      <w:tr>
        <w:trPr>
          <w:trHeight w:val="233"/>
        </w:trPr>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investment income</w:t>
            </w:r>
          </w:p>
        </w:tc>
        <w:tc>
          <w:tcPr>
            <w:tcW w:w="2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(703 )</w:t>
            </w:r>
          </w:p>
        </w:tc>
        <w:tc>
          <w:tcPr>
            <w:tcW w:w="1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(1,742 )</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w:t>
            </w:r>
          </w:p>
        </w:tc>
      </w:tr>
      <w:tr>
        <w:trPr>
          <w:trHeight w:val="223"/>
        </w:trPr>
        <w:tc>
          <w:tcPr>
            <w:tcW w:w="3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expense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31,394</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35,133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(3,739 )</w:t>
            </w:r>
          </w:p>
        </w:tc>
      </w:tr>
      <w:tr>
        <w:trPr>
          <w:trHeight w:val="20"/>
        </w:trPr>
        <w:tc>
          <w:tcPr>
            <w:tcW w:w="3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-179705</wp:posOffset>
            </wp:positionV>
            <wp:extent cx="8572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-179705</wp:posOffset>
            </wp:positionV>
            <wp:extent cx="774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increased $6.2 million primarily due to the following:</w:t>
      </w:r>
    </w:p>
    <w:p>
      <w:pPr>
        <w:spacing w:after="0" w:line="63"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million increase related to increased outstanding balance of Notes Payable mainly due to the issued public debt in January 2024;</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million increase primarily related to loans assumed with the UBP acquisition; partially offset by</w:t>
      </w:r>
    </w:p>
    <w:p>
      <w:pPr>
        <w:spacing w:after="0" w:line="6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increase in interest income due to the short term investments of excess cash into commercial deposits and U.S. treasury mutual funds.</w:t>
      </w:r>
    </w:p>
    <w:p>
      <w:pPr>
        <w:spacing w:after="0" w:line="10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we recognized gains on sale of $11.1 million mainly from the sale of two operating properties and recognition of one sales type lease.</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investment income decreased $1.0 million primarily driven by lower gains on investments held in the non-qualified deferred compensation plan and our captive insurance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Equity in income of investments in real estate partnerships.</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4"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 following represents the remaining components that comprise Net income attributable to common shareholders and unit holders: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9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Borders>
              <w:top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104,929</w:t>
            </w:r>
          </w:p>
        </w:tc>
        <w:tc>
          <w:tcPr>
            <w:tcW w:w="200" w:type="dxa"/>
            <w:vAlign w:val="bottom"/>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88,172</w:t>
            </w:r>
          </w:p>
        </w:tc>
        <w:tc>
          <w:tcPr>
            <w:tcW w:w="20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16,757</w:t>
            </w: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Income attributable to noncontrolling interests</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(2,261 )</w:t>
            </w:r>
          </w:p>
        </w:tc>
        <w:tc>
          <w:tcPr>
            <w:tcW w:w="2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(1,390 )</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(871 )</w:t>
            </w:r>
          </w:p>
        </w:tc>
      </w:tr>
      <w:tr>
        <w:trPr>
          <w:trHeight w:val="223"/>
        </w:trPr>
        <w:tc>
          <w:tcPr>
            <w:tcW w:w="4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10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102,668</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86,782</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15,886</w:t>
            </w: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(3,413 )</w:t>
            </w:r>
          </w:p>
        </w:tc>
        <w:tc>
          <w:tcPr>
            <w:tcW w:w="2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(3,413 )</w:t>
            </w:r>
          </w:p>
        </w:tc>
      </w:tr>
      <w:tr>
        <w:trPr>
          <w:trHeight w:val="263"/>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99,255</w:t>
            </w:r>
          </w:p>
        </w:tc>
        <w:tc>
          <w:tcPr>
            <w:tcW w:w="1240" w:type="dxa"/>
            <w:vAlign w:val="bottom"/>
            <w:gridSpan w:val="2"/>
            <w:shd w:val="clear" w:color="auto" w:fill="CFF0FC"/>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86,782</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12,473</w:t>
            </w:r>
          </w:p>
        </w:tc>
      </w:tr>
      <w:tr>
        <w:trPr>
          <w:trHeight w:val="210"/>
        </w:trPr>
        <w:tc>
          <w:tcPr>
            <w:tcW w:w="4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income attributable to exchangeable operating partnership units</w:t>
            </w:r>
          </w:p>
        </w:tc>
        <w:tc>
          <w:tcPr>
            <w:tcW w:w="10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(601 )</w:t>
            </w:r>
          </w:p>
        </w:tc>
        <w:tc>
          <w:tcPr>
            <w:tcW w:w="20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63"/>
        </w:trPr>
        <w:tc>
          <w:tcPr>
            <w:tcW w:w="4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income attributable to common unit holders</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99,856</w:t>
            </w:r>
          </w:p>
        </w:tc>
        <w:tc>
          <w:tcPr>
            <w:tcW w:w="2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87,332</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-659765</wp:posOffset>
            </wp:positionV>
            <wp:extent cx="12890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-659765</wp:posOffset>
            </wp:positionV>
            <wp:extent cx="12827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-350520</wp:posOffset>
            </wp:positionV>
            <wp:extent cx="12890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-334010</wp:posOffset>
            </wp:positionV>
            <wp:extent cx="12890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-350520</wp:posOffset>
            </wp:positionV>
            <wp:extent cx="1282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-334010</wp:posOffset>
            </wp:positionV>
            <wp:extent cx="1282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-25400</wp:posOffset>
            </wp:positionV>
            <wp:extent cx="12890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12890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12827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1282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attributable to noncontrolling interests increased $0.9 million, mainly due to the acquisition of UBP.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$3.4 million increase in Preferred stock dividends is related to the preferred stock issued in connection with UBP acquisition.</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from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2024 and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changed as summarized in the following table:</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3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9"/>
                <w:szCs w:val="19"/>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6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income</w:t>
            </w: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Base rent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489,611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426,907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62,704</w:t>
            </w:r>
          </w:p>
        </w:tc>
        <w:tc>
          <w:tcPr>
            <w:tcW w:w="0" w:type="dxa"/>
            <w:vAlign w:val="bottom"/>
          </w:tcPr>
          <w:p>
            <w:pPr>
              <w:spacing w:after="0"/>
              <w:rPr>
                <w:sz w:val="1"/>
                <w:szCs w:val="1"/>
                <w:color w:val="auto"/>
              </w:rPr>
            </w:pPr>
          </w:p>
        </w:tc>
      </w:tr>
      <w:tr>
        <w:trPr>
          <w:trHeight w:val="239"/>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Recoveries from tenants</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169,828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145,974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23,854</w:t>
            </w:r>
          </w:p>
        </w:tc>
        <w:tc>
          <w:tcPr>
            <w:tcW w:w="0" w:type="dxa"/>
            <w:vAlign w:val="bottom"/>
          </w:tcPr>
          <w:p>
            <w:pPr>
              <w:spacing w:after="0"/>
              <w:rPr>
                <w:sz w:val="1"/>
                <w:szCs w:val="1"/>
                <w:color w:val="auto"/>
              </w:rPr>
            </w:pPr>
          </w:p>
        </w:tc>
      </w:tr>
      <w:tr>
        <w:trPr>
          <w:trHeight w:val="220"/>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Percentage rent</w:t>
            </w:r>
          </w:p>
        </w:tc>
        <w:tc>
          <w:tcPr>
            <w:tcW w:w="2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9,803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8,410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0" w:type="dxa"/>
            <w:vAlign w:val="bottom"/>
          </w:tcPr>
          <w:p>
            <w:pPr>
              <w:spacing w:after="0"/>
              <w:rPr>
                <w:sz w:val="1"/>
                <w:szCs w:val="1"/>
                <w:color w:val="auto"/>
              </w:rPr>
            </w:pPr>
          </w:p>
        </w:tc>
      </w:tr>
      <w:tr>
        <w:trPr>
          <w:trHeight w:val="239"/>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Uncollectible lease income</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(3,091 )</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(4,685 )</w:t>
            </w:r>
          </w:p>
        </w:tc>
        <w:tc>
          <w:tcPr>
            <w:tcW w:w="0" w:type="dxa"/>
            <w:vAlign w:val="bottom"/>
          </w:tcPr>
          <w:p>
            <w:pPr>
              <w:spacing w:after="0"/>
              <w:rPr>
                <w:sz w:val="1"/>
                <w:szCs w:val="1"/>
                <w:color w:val="auto"/>
              </w:rPr>
            </w:pPr>
          </w:p>
        </w:tc>
      </w:tr>
      <w:tr>
        <w:trPr>
          <w:trHeight w:val="220"/>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lease income</w:t>
            </w:r>
          </w:p>
        </w:tc>
        <w:tc>
          <w:tcPr>
            <w:tcW w:w="2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11,822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10,282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239"/>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Straight-line rent</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9,714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0" w:type="dxa"/>
            <w:vAlign w:val="bottom"/>
          </w:tcPr>
          <w:p>
            <w:pPr>
              <w:spacing w:after="0"/>
              <w:rPr>
                <w:sz w:val="1"/>
                <w:szCs w:val="1"/>
                <w:color w:val="auto"/>
              </w:rPr>
            </w:pPr>
          </w:p>
        </w:tc>
      </w:tr>
      <w:tr>
        <w:trPr>
          <w:trHeight w:val="202"/>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Above / below market rent and tenant rent</w:t>
            </w:r>
          </w:p>
        </w:tc>
        <w:tc>
          <w:tcPr>
            <w:tcW w:w="260" w:type="dxa"/>
            <w:vAlign w:val="bottom"/>
          </w:tcPr>
          <w:p>
            <w:pPr>
              <w:spacing w:after="0"/>
              <w:rPr>
                <w:sz w:val="17"/>
                <w:szCs w:val="17"/>
                <w:color w:val="auto"/>
              </w:rPr>
            </w:pPr>
          </w:p>
        </w:tc>
        <w:tc>
          <w:tcPr>
            <w:tcW w:w="11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13,264</w:t>
            </w:r>
          </w:p>
        </w:tc>
        <w:tc>
          <w:tcPr>
            <w:tcW w:w="12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14,616</w:t>
            </w:r>
          </w:p>
        </w:tc>
        <w:tc>
          <w:tcPr>
            <w:tcW w:w="100" w:type="dxa"/>
            <w:vAlign w:val="bottom"/>
            <w:vMerge w:val="restart"/>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(1,352 )</w:t>
            </w:r>
          </w:p>
        </w:tc>
        <w:tc>
          <w:tcPr>
            <w:tcW w:w="0" w:type="dxa"/>
            <w:vAlign w:val="bottom"/>
          </w:tcPr>
          <w:p>
            <w:pPr>
              <w:spacing w:after="0"/>
              <w:rPr>
                <w:sz w:val="1"/>
                <w:szCs w:val="1"/>
                <w:color w:val="auto"/>
              </w:rPr>
            </w:pPr>
          </w:p>
        </w:tc>
      </w:tr>
      <w:tr>
        <w:trPr>
          <w:trHeight w:val="213"/>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inducement amortization, net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lease income</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700,951</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613,259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87,692</w:t>
            </w:r>
          </w:p>
        </w:tc>
        <w:tc>
          <w:tcPr>
            <w:tcW w:w="0" w:type="dxa"/>
            <w:vAlign w:val="bottom"/>
          </w:tcPr>
          <w:p>
            <w:pPr>
              <w:spacing w:after="0"/>
              <w:rPr>
                <w:sz w:val="1"/>
                <w:szCs w:val="1"/>
                <w:color w:val="auto"/>
              </w:rPr>
            </w:pPr>
          </w:p>
        </w:tc>
      </w:tr>
      <w:tr>
        <w:trPr>
          <w:trHeight w:val="22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Other property income</w:t>
            </w:r>
          </w:p>
        </w:tc>
        <w:tc>
          <w:tcPr>
            <w:tcW w:w="2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5,821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0" w:type="dxa"/>
            <w:vAlign w:val="bottom"/>
          </w:tcPr>
          <w:p>
            <w:pPr>
              <w:spacing w:after="0"/>
              <w:rPr>
                <w:sz w:val="1"/>
                <w:szCs w:val="1"/>
                <w:color w:val="auto"/>
              </w:rPr>
            </w:pPr>
          </w:p>
        </w:tc>
      </w:tr>
      <w:tr>
        <w:trPr>
          <w:trHeight w:val="233"/>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2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13,131</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13,144</w:t>
            </w:r>
          </w:p>
        </w:tc>
        <w:tc>
          <w:tcPr>
            <w:tcW w:w="1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23"/>
        </w:trPr>
        <w:tc>
          <w:tcPr>
            <w:tcW w:w="3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721,102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632,224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88,878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-179070</wp:posOffset>
            </wp:positionV>
            <wp:extent cx="768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-179070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Total lease income increased $87.7 million primarily driven by the following contractually billable components of rent to the tenants per the lease agreements:</w:t>
      </w:r>
    </w:p>
    <w:p>
      <w:pPr>
        <w:spacing w:after="0" w:line="1" w:lineRule="exact"/>
        <w:rPr>
          <w:sz w:val="20"/>
          <w:szCs w:val="20"/>
          <w:color w:val="auto"/>
        </w:rPr>
      </w:pPr>
    </w:p>
    <w:p>
      <w:pPr>
        <w:ind w:left="1140" w:right="5360" w:hanging="1132"/>
        <w:spacing w:after="0" w:line="331" w:lineRule="auto"/>
        <w:tabs>
          <w:tab w:leader="none" w:pos="391"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$62.7 million increase from billable Base rent, mainly from the following: o $49.6 million increase from the acquisition of UBP;</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   $11.0 million net increase from same properties, including:</w:t>
      </w:r>
    </w:p>
    <w:p>
      <w:pPr>
        <w:spacing w:after="0" w:line="63" w:lineRule="exact"/>
        <w:rPr>
          <w:rFonts w:ascii="Times New Roman" w:cs="Times New Roman" w:eastAsia="Times New Roman" w:hAnsi="Times New Roman"/>
          <w:sz w:val="17"/>
          <w:szCs w:val="17"/>
          <w:color w:val="auto"/>
        </w:rPr>
      </w:pPr>
    </w:p>
    <w:p>
      <w:pPr>
        <w:ind w:left="2260" w:right="40" w:hanging="380"/>
        <w:spacing w:after="0" w:line="281" w:lineRule="auto"/>
        <w:tabs>
          <w:tab w:leader="none" w:pos="22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million net increase due to increases from occupancy, rent steps in existing leases, and positive rental spreads on new and renewal leases; and</w:t>
      </w:r>
    </w:p>
    <w:p>
      <w:pPr>
        <w:spacing w:after="0" w:line="1"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increase due to redevelopment projects that commenced operations; and</w:t>
      </w:r>
    </w:p>
    <w:p>
      <w:pPr>
        <w:spacing w:after="0" w:line="63" w:lineRule="exact"/>
        <w:rPr>
          <w:sz w:val="20"/>
          <w:szCs w:val="20"/>
          <w:color w:val="auto"/>
        </w:rPr>
      </w:pPr>
    </w:p>
    <w:p>
      <w:pPr>
        <w:ind w:left="1500" w:right="220" w:hanging="369"/>
        <w:spacing w:after="0" w:line="281"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increase from acquisitions of other operating properties; partially offset by $1.4 million from disposition of operating properties.</w:t>
      </w:r>
    </w:p>
    <w:p>
      <w:pPr>
        <w:spacing w:after="0" w:line="1"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 million increase from contractual Recoveries from tenants, which represents the tenants' proportionate share of the operating, maintenance, insurance, and real estate tax expenses that we incur to operate our shopping centers. Recoveries from tenants increased, mainly from the following:</w:t>
      </w:r>
    </w:p>
    <w:p>
      <w:pPr>
        <w:spacing w:after="0" w:line="1"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million increase from the acquisition of UBP; mainly</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million increase primarily due to higher operating costs in the current year coupled with higher expense recovery rates.</w:t>
      </w:r>
    </w:p>
    <w:p>
      <w:pPr>
        <w:spacing w:after="0" w:line="63" w:lineRule="exact"/>
        <w:rPr>
          <w:rFonts w:ascii="Times New Roman" w:cs="Times New Roman" w:eastAsia="Times New Roman" w:hAnsi="Times New Roman"/>
          <w:sz w:val="18"/>
          <w:szCs w:val="18"/>
          <w:color w:val="auto"/>
        </w:rPr>
      </w:pPr>
    </w:p>
    <w:p>
      <w:pPr>
        <w:ind w:left="380" w:right="260" w:hanging="372"/>
        <w:spacing w:after="0" w:line="281"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million change in Uncollectible lease income primarily driven by elevated collections in 2023 of previously reserved amounts, reducing our expense in the comparative period.</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increase in Other lease income primarily due to:</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4" w:right="499" w:bottom="1440" w:gutter="0" w:footer="0" w:header="0"/>
        </w:sectPr>
      </w:pPr>
    </w:p>
    <w:bookmarkStart w:id="39" w:name="page40"/>
    <w:bookmarkEnd w:id="39"/>
    <w:p>
      <w:pPr>
        <w:ind w:left="1500" w:hanging="369"/>
        <w:spacing w:after="0"/>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increase driven by acquisition of UBP; partially offset by $2.1 million decrease in lease termination fee income.</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increase in Straight-line rent mainly due to:</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increase driven by acquisition of UBP;</w:t>
      </w:r>
    </w:p>
    <w:p>
      <w:pPr>
        <w:spacing w:after="0" w:line="63" w:lineRule="exact"/>
        <w:rPr>
          <w:rFonts w:ascii="Times New Roman" w:cs="Times New Roman" w:eastAsia="Times New Roman" w:hAnsi="Times New Roman"/>
          <w:sz w:val="18"/>
          <w:szCs w:val="18"/>
          <w:color w:val="auto"/>
        </w:rPr>
      </w:pPr>
    </w:p>
    <w:p>
      <w:pPr>
        <w:ind w:left="1500" w:right="40" w:hanging="369"/>
        <w:spacing w:after="0" w:line="281" w:lineRule="auto"/>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increase related to development properties that commenced operations; partially offset by $0.7 million decrease in same properties.</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decrease in Above and below market rent primarily due to:</w:t>
      </w:r>
    </w:p>
    <w:p>
      <w:pPr>
        <w:spacing w:after="0" w:line="63"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decrease from same properties driven by an early tenant move-out in 2023; partially offset by $2.0 million increase from the acquisition of UBP and other operating properties.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property income increased $1.2 million primarily due to an increase in settlements in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Management, transaction, and other fees.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operating expenses are summarized in the following table:</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3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198,553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165,868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32,685</w:t>
            </w:r>
          </w:p>
        </w:tc>
      </w:tr>
      <w:tr>
        <w:trPr>
          <w:trHeight w:val="22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Property operating expense</w:t>
            </w:r>
          </w:p>
        </w:tc>
        <w:tc>
          <w:tcPr>
            <w:tcW w:w="2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122,765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105,416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17,349</w:t>
            </w:r>
          </w:p>
        </w:tc>
      </w:tr>
      <w:tr>
        <w:trPr>
          <w:trHeight w:val="23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 estate taxes</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89,785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76,986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12,799</w:t>
            </w:r>
          </w:p>
        </w:tc>
      </w:tr>
      <w:tr>
        <w:trPr>
          <w:trHeight w:val="22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50,370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50,345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3"/>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operating expenses</w:t>
            </w:r>
          </w:p>
        </w:tc>
        <w:tc>
          <w:tcPr>
            <w:tcW w:w="2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5,709</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4,524</w:t>
            </w:r>
          </w:p>
        </w:tc>
      </w:tr>
      <w:tr>
        <w:trPr>
          <w:trHeight w:val="223"/>
        </w:trPr>
        <w:tc>
          <w:tcPr>
            <w:tcW w:w="3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467,182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399,800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67,382</w:t>
            </w:r>
          </w:p>
        </w:tc>
      </w:tr>
      <w:tr>
        <w:trPr>
          <w:trHeight w:val="20"/>
        </w:trPr>
        <w:tc>
          <w:tcPr>
            <w:tcW w:w="3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-179705</wp:posOffset>
            </wp:positionV>
            <wp:extent cx="768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-179705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costs increased $32.7 million, mainly due to the following:</w:t>
      </w:r>
    </w:p>
    <w:p>
      <w:pPr>
        <w:spacing w:after="0" w:line="63"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 million increase from the acquisition of UBP; and</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increase from acquisitions of operating properties.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operating expense increased $17.3 million, mainly due to the following:</w:t>
      </w:r>
    </w:p>
    <w:p>
      <w:pPr>
        <w:spacing w:after="0" w:line="63"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 million increase from the acquisition of UBP;</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million increase from same properties primarily attributable to increase in recoverable common area maintenance and tenant related costs.</w:t>
      </w:r>
    </w:p>
    <w:p>
      <w:pPr>
        <w:spacing w:after="0" w:line="171" w:lineRule="exact"/>
        <w:rPr>
          <w:sz w:val="20"/>
          <w:szCs w:val="20"/>
          <w:color w:val="auto"/>
        </w:rPr>
      </w:pPr>
    </w:p>
    <w:p>
      <w:pPr>
        <w:ind w:right="5360"/>
        <w:spacing w:after="0" w:line="419" w:lineRule="auto"/>
        <w:rPr>
          <w:sz w:val="20"/>
          <w:szCs w:val="20"/>
          <w:color w:val="auto"/>
        </w:rPr>
      </w:pPr>
      <w:r>
        <w:rPr>
          <w:rFonts w:ascii="Times New Roman" w:cs="Times New Roman" w:eastAsia="Times New Roman" w:hAnsi="Times New Roman"/>
          <w:sz w:val="17"/>
          <w:szCs w:val="17"/>
          <w:color w:val="auto"/>
        </w:rPr>
        <w:t>Real estate taxes increased $12.8 million, mainly due to the acquisition of UBP. There were no significant changes in General and administrative expenses. Other operating expenses increased $4.5 million, mainly due to the following:</w:t>
      </w:r>
    </w:p>
    <w:p>
      <w:pPr>
        <w:spacing w:after="0" w:line="2"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increase from the acquisition of UBP; and</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increase driven by fee income received in 2023 for the cancelation of a land contract related to a development pursuit.</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66"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other expense, net:</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3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0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r>
      <w:tr>
        <w:trPr>
          <w:trHeight w:val="220"/>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on notes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92,465</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74,087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18,378</w:t>
            </w:r>
          </w:p>
        </w:tc>
      </w:tr>
      <w:tr>
        <w:trPr>
          <w:trHeight w:val="239"/>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 on unsecured credit facilities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3,143</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2,329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w:t>
            </w:r>
          </w:p>
        </w:tc>
      </w:tr>
      <w:tr>
        <w:trPr>
          <w:trHeight w:val="220"/>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Capitalized interest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(2,534 )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(642 )</w:t>
            </w:r>
          </w:p>
        </w:tc>
      </w:tr>
      <w:tr>
        <w:trPr>
          <w:trHeight w:val="239"/>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Hedge expense</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258</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23"/>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(6,644 )</w:t>
            </w: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(752 )</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(5,892 )</w:t>
            </w:r>
          </w:p>
        </w:tc>
      </w:tr>
      <w:tr>
        <w:trPr>
          <w:trHeight w:val="229"/>
        </w:trPr>
        <w:tc>
          <w:tcPr>
            <w:tcW w:w="3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86,046</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73,349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12,697</w:t>
            </w:r>
          </w:p>
        </w:tc>
      </w:tr>
      <w:tr>
        <w:trPr>
          <w:trHeight w:val="220"/>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(22,484 )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(22,153 )</w:t>
            </w:r>
          </w:p>
        </w:tc>
      </w:tr>
      <w:tr>
        <w:trPr>
          <w:trHeight w:val="23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180</w:t>
            </w: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income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(3,134 )</w:t>
            </w: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(3,469 )</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63"/>
        </w:trPr>
        <w:tc>
          <w:tcPr>
            <w:tcW w:w="368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Total other expense, net</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60,608</w:t>
            </w:r>
          </w:p>
        </w:tc>
        <w:tc>
          <w:tcPr>
            <w:tcW w:w="14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69,549</w:t>
            </w: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-24765</wp:posOffset>
            </wp:positionV>
            <wp:extent cx="857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857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7747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774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increased $12.7 million primarily due to the following:</w:t>
      </w:r>
    </w:p>
    <w:p>
      <w:pPr>
        <w:spacing w:after="0" w:line="63"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million increase related to increased outstanding balance of Notes Payable mainly due to the issued public debt in January 2024;</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million increase primarily related to loans assumed with the UBP acquisition; partially offset by</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million increase in interest income due to the short term investments of excess cash.</w:t>
      </w:r>
    </w:p>
    <w:p>
      <w:pPr>
        <w:spacing w:after="0" w:line="17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recognized gains on sale of $22.5 million mainly from the sale of three operating properties and recognition of two sales type leases.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Equity in income of investments in real estate partnerships.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remaining components that comprise Net income attributable to common shareholders and unit holders: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700" w:type="dxa"/>
            <w:vAlign w:val="bottom"/>
          </w:tcPr>
          <w:p>
            <w:pPr>
              <w:spacing w:after="0"/>
              <w:rPr>
                <w:sz w:val="19"/>
                <w:szCs w:val="19"/>
                <w:color w:val="auto"/>
              </w:rPr>
            </w:pPr>
          </w:p>
        </w:tc>
        <w:tc>
          <w:tcPr>
            <w:tcW w:w="29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top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217,587</w:t>
            </w:r>
          </w:p>
        </w:tc>
        <w:tc>
          <w:tcPr>
            <w:tcW w:w="200" w:type="dxa"/>
            <w:vAlign w:val="bottom"/>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186,660</w:t>
            </w:r>
          </w:p>
        </w:tc>
        <w:tc>
          <w:tcPr>
            <w:tcW w:w="18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30,927</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Income attributable to noncontrolling interests</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(5,145 )</w:t>
            </w:r>
          </w:p>
        </w:tc>
        <w:tc>
          <w:tcPr>
            <w:tcW w:w="2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(2,597 )</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(2,548 )</w:t>
            </w:r>
          </w:p>
        </w:tc>
      </w:tr>
      <w:tr>
        <w:trPr>
          <w:trHeight w:val="223"/>
        </w:trPr>
        <w:tc>
          <w:tcPr>
            <w:tcW w:w="47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10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212,442</w:t>
            </w:r>
          </w:p>
        </w:tc>
        <w:tc>
          <w:tcPr>
            <w:tcW w:w="2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184,063</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28,379</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(6,826 )</w:t>
            </w:r>
          </w:p>
        </w:tc>
        <w:tc>
          <w:tcPr>
            <w:tcW w:w="2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(6,826 )</w:t>
            </w:r>
          </w:p>
        </w:tc>
      </w:tr>
      <w:tr>
        <w:trPr>
          <w:trHeight w:val="263"/>
        </w:trPr>
        <w:tc>
          <w:tcPr>
            <w:tcW w:w="4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104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205,616</w:t>
            </w:r>
          </w:p>
        </w:tc>
        <w:tc>
          <w:tcPr>
            <w:tcW w:w="122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184,063</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21,553</w:t>
            </w:r>
          </w:p>
        </w:tc>
      </w:tr>
      <w:tr>
        <w:trPr>
          <w:trHeight w:val="210"/>
        </w:trPr>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income attributable to exchangeable operating partnership units</w:t>
            </w:r>
          </w:p>
        </w:tc>
        <w:tc>
          <w:tcPr>
            <w:tcW w:w="10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(1,243 )</w:t>
            </w:r>
          </w:p>
        </w:tc>
        <w:tc>
          <w:tcPr>
            <w:tcW w:w="20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(970 )</w:t>
            </w:r>
          </w:p>
        </w:tc>
        <w:tc>
          <w:tcPr>
            <w:tcW w:w="18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(273 )</w:t>
            </w:r>
          </w:p>
        </w:tc>
      </w:tr>
      <w:tr>
        <w:trPr>
          <w:trHeight w:val="263"/>
        </w:trPr>
        <w:tc>
          <w:tcPr>
            <w:tcW w:w="4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income attributable to common unit holders</w:t>
            </w:r>
          </w:p>
        </w:tc>
        <w:tc>
          <w:tcPr>
            <w:tcW w:w="1040" w:type="dxa"/>
            <w:vAlign w:val="bottom"/>
            <w:tcBorders>
              <w:bottom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206,859</w:t>
            </w:r>
          </w:p>
        </w:tc>
        <w:tc>
          <w:tcPr>
            <w:tcW w:w="2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185,033</w:t>
            </w:r>
          </w:p>
        </w:tc>
        <w:tc>
          <w:tcPr>
            <w:tcW w:w="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21,826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-659765</wp:posOffset>
            </wp:positionV>
            <wp:extent cx="12001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-659765</wp:posOffset>
            </wp:positionV>
            <wp:extent cx="12001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-350520</wp:posOffset>
            </wp:positionV>
            <wp:extent cx="12001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-334010</wp:posOffset>
            </wp:positionV>
            <wp:extent cx="12001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-350520</wp:posOffset>
            </wp:positionV>
            <wp:extent cx="12001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-334010</wp:posOffset>
            </wp:positionV>
            <wp:extent cx="12001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12001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12001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12001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1200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attributable to noncontrolling interests increased $2.5 million, mainly due to the acquisition of UBP.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$6.8 million increase in Preferred stock dividends is related to the preferred stock issued in connection with UBP acquisition.</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Earnings Information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certain non-GAAP measures, in addition to certain performance metrics determined under GAAP, as we believe these measures improve the understanding of the operating results. We believe these non-GAAP measures provide useful information to our Board of Directors, management and investors regarding certain trends relating to our financial condition and results of operations. Our management uses these non-GAAP measures to compare our performance to that of prior periods for trend analyses, purposes of determining management incentive compensation and budgeting, forecasting and planning purposes. We provide Pro-rata financial information because we believe it assists investors and analysts in estimating our economic interest in our consolidated and unconsolidated real estate partnerships, when read in conjunction with our reported results under GAAP. We believe presenting our Pro-rata share of operating results, along with other non-GAAP measures, may assist in comparing our operating results to other REITs. We continually evaluate the usefulness, relevance, limitations, and calculation of our reported non-GAAP measures to determine how best to provide relevant information to the public, and thus such reported non-GAAP measures could change. See "Non-GAAP Measures" at the beginning of this Management's Discussion and Analysis.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Pro-rata Same Property NOI:</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Pro-rata same property NOI, excluding termination fees/expenses, changed from the following major components: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Base rent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242,916</w:t>
            </w:r>
          </w:p>
        </w:tc>
        <w:tc>
          <w:tcPr>
            <w:tcW w:w="1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236,506</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6,410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484,674</w:t>
            </w:r>
          </w:p>
        </w:tc>
        <w:tc>
          <w:tcPr>
            <w:tcW w:w="1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471,981</w:t>
            </w:r>
          </w:p>
        </w:tc>
        <w:tc>
          <w:tcPr>
            <w:tcW w:w="11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Recoveries from tenants</w:t>
            </w:r>
          </w:p>
        </w:tc>
        <w:tc>
          <w:tcPr>
            <w:tcW w:w="18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84,453</w:t>
            </w: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82,706</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167,423</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161,583</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5,840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Percentage rent</w:t>
            </w: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2,302</w:t>
            </w:r>
          </w:p>
        </w:tc>
        <w:tc>
          <w:tcPr>
            <w:tcW w:w="1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1,759</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543</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10,189</w:t>
            </w:r>
          </w:p>
        </w:tc>
        <w:tc>
          <w:tcPr>
            <w:tcW w:w="1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9,346</w:t>
            </w:r>
          </w:p>
        </w:tc>
        <w:tc>
          <w:tcPr>
            <w:tcW w:w="11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Termination fees</w:t>
            </w:r>
          </w:p>
        </w:tc>
        <w:tc>
          <w:tcPr>
            <w:tcW w:w="18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1,121</w:t>
            </w: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686</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435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2,562</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5,403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(2,841 )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Uncollectible lease income</w:t>
            </w: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(2,204 )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(1,815 )</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(3,270 )</w:t>
            </w:r>
          </w:p>
        </w:tc>
        <w:tc>
          <w:tcPr>
            <w:tcW w:w="1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1,494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(4,764 )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lease income</w:t>
            </w:r>
          </w:p>
        </w:tc>
        <w:tc>
          <w:tcPr>
            <w:tcW w:w="18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3,409</w:t>
            </w: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2,946</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463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6,537</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5,811</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property income</w:t>
            </w:r>
          </w:p>
        </w:tc>
        <w:tc>
          <w:tcPr>
            <w:tcW w:w="1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2,000</w:t>
            </w:r>
          </w:p>
        </w:tc>
        <w:tc>
          <w:tcPr>
            <w:tcW w:w="1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2,117</w:t>
            </w:r>
          </w:p>
        </w:tc>
        <w:tc>
          <w:tcPr>
            <w:tcW w:w="1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4,562</w:t>
            </w:r>
          </w:p>
        </w:tc>
        <w:tc>
          <w:tcPr>
            <w:tcW w:w="1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4,779</w:t>
            </w:r>
          </w:p>
        </w:tc>
        <w:tc>
          <w:tcPr>
            <w:tcW w:w="1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real estate revenue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333,997</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326,331</w:t>
            </w: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7,666</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672,677</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660,397</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12,280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55,464</w:t>
            </w:r>
          </w:p>
        </w:tc>
        <w:tc>
          <w:tcPr>
            <w:tcW w:w="1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55,626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112,013</w:t>
            </w:r>
          </w:p>
        </w:tc>
        <w:tc>
          <w:tcPr>
            <w:tcW w:w="1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108,239</w:t>
            </w:r>
          </w:p>
        </w:tc>
        <w:tc>
          <w:tcPr>
            <w:tcW w:w="11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Termination expense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Real estate taxes</w:t>
            </w: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43,379</w:t>
            </w:r>
          </w:p>
        </w:tc>
        <w:tc>
          <w:tcPr>
            <w:tcW w:w="1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42,248</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1,131</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86,044</w:t>
            </w:r>
          </w:p>
        </w:tc>
        <w:tc>
          <w:tcPr>
            <w:tcW w:w="1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84,736</w:t>
            </w:r>
          </w:p>
        </w:tc>
        <w:tc>
          <w:tcPr>
            <w:tcW w:w="11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Ground rent</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3,301</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3,201</w:t>
            </w: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7,250</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6,637</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real estate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102,079</w:t>
            </w:r>
          </w:p>
        </w:tc>
        <w:tc>
          <w:tcPr>
            <w:tcW w:w="1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101,075</w:t>
            </w:r>
          </w:p>
        </w:tc>
        <w:tc>
          <w:tcPr>
            <w:tcW w:w="1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1,004</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205,312</w:t>
            </w: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199,612</w:t>
            </w:r>
          </w:p>
        </w:tc>
        <w:tc>
          <w:tcPr>
            <w:tcW w:w="1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Pro-rata same property NOI</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231,918</w:t>
            </w: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225,256</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6,662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467,365</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460,785</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6,580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Termination fees</w:t>
            </w:r>
          </w:p>
        </w:tc>
        <w:tc>
          <w:tcPr>
            <w:tcW w:w="1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1,186</w:t>
            </w:r>
          </w:p>
        </w:tc>
        <w:tc>
          <w:tcPr>
            <w:tcW w:w="1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686</w:t>
            </w:r>
          </w:p>
        </w:tc>
        <w:tc>
          <w:tcPr>
            <w:tcW w:w="1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2,557</w:t>
            </w:r>
          </w:p>
        </w:tc>
        <w:tc>
          <w:tcPr>
            <w:tcW w:w="1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5,403</w:t>
            </w:r>
          </w:p>
        </w:tc>
        <w:tc>
          <w:tcPr>
            <w:tcW w:w="1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(2,846 )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Pro-rata same property NOI, excluding</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230,732</w:t>
            </w:r>
          </w:p>
        </w:tc>
        <w:tc>
          <w:tcPr>
            <w:tcW w:w="13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224,570</w:t>
            </w:r>
          </w:p>
        </w:tc>
        <w:tc>
          <w:tcPr>
            <w:tcW w:w="12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6,162</w:t>
            </w:r>
          </w:p>
        </w:tc>
        <w:tc>
          <w:tcPr>
            <w:tcW w:w="14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464,808</w:t>
            </w:r>
          </w:p>
        </w:tc>
        <w:tc>
          <w:tcPr>
            <w:tcW w:w="12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455,382</w:t>
            </w:r>
          </w:p>
        </w:tc>
        <w:tc>
          <w:tcPr>
            <w:tcW w:w="11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9,426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termination fees</w:t>
            </w:r>
          </w:p>
        </w:tc>
        <w:tc>
          <w:tcPr>
            <w:tcW w:w="1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Pro-rata same property NOI growth, excluding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2.7 %</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189"/>
        </w:trPr>
        <w:tc>
          <w:tcPr>
            <w:tcW w:w="3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termination fees</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-1757045</wp:posOffset>
            </wp:positionV>
            <wp:extent cx="9461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-1757045</wp:posOffset>
            </wp:positionV>
            <wp:extent cx="939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-1757045</wp:posOffset>
            </wp:positionV>
            <wp:extent cx="8572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-1757045</wp:posOffset>
            </wp:positionV>
            <wp:extent cx="8572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-1757045</wp:posOffset>
            </wp:positionV>
            <wp:extent cx="8572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-856615</wp:posOffset>
            </wp:positionV>
            <wp:extent cx="9461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-856615</wp:posOffset>
            </wp:positionV>
            <wp:extent cx="939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-856615</wp:posOffset>
            </wp:positionV>
            <wp:extent cx="8572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-856615</wp:posOffset>
            </wp:positionV>
            <wp:extent cx="8572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-856615</wp:posOffset>
            </wp:positionV>
            <wp:extent cx="8572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-556895</wp:posOffset>
            </wp:positionV>
            <wp:extent cx="9461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-556895</wp:posOffset>
            </wp:positionV>
            <wp:extent cx="939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-556895</wp:posOffset>
            </wp:positionV>
            <wp:extent cx="857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-556895</wp:posOffset>
            </wp:positionV>
            <wp:extent cx="857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-556895</wp:posOffset>
            </wp:positionV>
            <wp:extent cx="857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Real estate revenue increased $7.7 million and $12.3 million, on a net basis, during the three and six months ended June 30, 2024 and 2023, respectively, as follows:</w:t>
      </w:r>
    </w:p>
    <w:p>
      <w:pPr>
        <w:spacing w:after="0" w:line="1" w:lineRule="exact"/>
        <w:rPr>
          <w:sz w:val="20"/>
          <w:szCs w:val="20"/>
          <w:color w:val="auto"/>
        </w:rPr>
      </w:pPr>
    </w:p>
    <w:p>
      <w:pPr>
        <w:ind w:left="1020" w:right="20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rent increased $6.4 million and $12.7 million during the three and six months ended June 30, 2024 and 2023, respectively, due to rent steps in existing leases, positive rental spreads on new and renewal leases, and increases in occupancy, as well as redevelopment projects completing and operating.</w:t>
      </w:r>
    </w:p>
    <w:p>
      <w:pPr>
        <w:spacing w:after="0" w:line="13" w:lineRule="exact"/>
        <w:rPr>
          <w:rFonts w:ascii="Times New Roman" w:cs="Times New Roman" w:eastAsia="Times New Roman" w:hAnsi="Times New Roman"/>
          <w:sz w:val="18"/>
          <w:szCs w:val="18"/>
          <w:color w:val="auto"/>
        </w:rPr>
      </w:pPr>
    </w:p>
    <w:p>
      <w:pPr>
        <w:ind w:left="1020" w:right="980" w:hanging="503"/>
        <w:spacing w:after="0" w:line="28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Recoveries from tenants increased $1.7 million and $5.8 million during the three and six months ended June 30, 2024 and 2023, respectively, due to increases in recoverable expenses and expense recovery rates.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fees decreased $2.8 million during the six months ended June 30, 2024 driven by terminations that were recognized in 2023.</w:t>
      </w:r>
    </w:p>
    <w:p>
      <w:pPr>
        <w:spacing w:after="0" w:line="63" w:lineRule="exact"/>
        <w:rPr>
          <w:rFonts w:ascii="Times New Roman" w:cs="Times New Roman" w:eastAsia="Times New Roman" w:hAnsi="Times New Roman"/>
          <w:sz w:val="18"/>
          <w:szCs w:val="18"/>
          <w:color w:val="auto"/>
        </w:rPr>
      </w:pPr>
    </w:p>
    <w:p>
      <w:pPr>
        <w:jc w:val="both"/>
        <w:ind w:left="1020" w:right="58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Uncollectible lease income changed by $1.8 million and $4.8 million during the three and six months ended June 30, 2024 and 2023, respectively, primarily driven by elevated collections in 2023 of previously reserved amounts, reducing our expense in the comparable period.</w:t>
      </w:r>
    </w:p>
    <w:p>
      <w:pPr>
        <w:spacing w:after="0" w:line="12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Total real estate operating expense increased $1.0 million and $5.7 million, on a net basis, during the three and six months ended June 30, 2024 and 2023, respectively, as follows:</w:t>
      </w:r>
    </w:p>
    <w:p>
      <w:pPr>
        <w:spacing w:after="0" w:line="1" w:lineRule="exact"/>
        <w:rPr>
          <w:sz w:val="20"/>
          <w:szCs w:val="20"/>
          <w:color w:val="auto"/>
        </w:rPr>
      </w:pPr>
    </w:p>
    <w:p>
      <w:pPr>
        <w:ind w:left="1020" w:right="200" w:hanging="503"/>
        <w:spacing w:after="0" w:line="28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maintenance decreased $3.8 million during six months ended June 30, 2024 and 2023, primarily due to increases in common area maintenance and other tenant-recoverable costs.</w:t>
      </w:r>
    </w:p>
    <w:p>
      <w:pPr>
        <w:spacing w:after="0" w:line="1"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taxes increased $1.1 million and $1.3 million during the three and six months ended June 30, 2024 and 2023, respectively, due to an increase in real estate assessments across the portfolio.</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70"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Same Property NOI to Most Directly Comparable GAAP Measure: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reconciliation of Net income attributable to common shareholders to Same Property NOI, on a Pro-rata basis,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99,255</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86,782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205,616</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184,063</w:t>
            </w:r>
          </w:p>
        </w:tc>
      </w:tr>
      <w:tr>
        <w:trPr>
          <w:trHeight w:val="220"/>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9"/>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6,735</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7,106</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13,131</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13,144</w:t>
            </w:r>
          </w:p>
        </w:tc>
      </w:tr>
      <w:tr>
        <w:trPr>
          <w:trHeight w:val="229"/>
        </w:trPr>
        <w:tc>
          <w:tcPr>
            <w:tcW w:w="5360" w:type="dxa"/>
            <w:vAlign w:val="bottom"/>
          </w:tcPr>
          <w:p>
            <w:pPr>
              <w:ind w:left="200"/>
              <w:spacing w:after="0" w:line="230"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12,726</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12,799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25,313</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22,301</w:t>
            </w:r>
          </w:p>
        </w:tc>
      </w:tr>
      <w:tr>
        <w:trPr>
          <w:trHeight w:val="22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20"/>
        </w:trPr>
        <w:tc>
          <w:tcPr>
            <w:tcW w:w="5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100,968</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83,161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198,553</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165,868</w:t>
            </w:r>
          </w:p>
        </w:tc>
      </w:tr>
      <w:tr>
        <w:trPr>
          <w:trHeight w:val="239"/>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24,238</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25,065</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50,370</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50,345</w:t>
            </w:r>
          </w:p>
        </w:tc>
      </w:tr>
      <w:tr>
        <w:trPr>
          <w:trHeight w:val="220"/>
        </w:trPr>
        <w:tc>
          <w:tcPr>
            <w:tcW w:w="5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operating expense</w:t>
            </w:r>
          </w:p>
        </w:tc>
        <w:tc>
          <w:tcPr>
            <w:tcW w:w="2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3,066</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1,682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5,709</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1,185</w:t>
            </w:r>
          </w:p>
        </w:tc>
      </w:tr>
      <w:tr>
        <w:trPr>
          <w:trHeight w:val="239"/>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expense, net</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31,394</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35,133</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60,608</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69,549</w:t>
            </w:r>
          </w:p>
        </w:tc>
      </w:tr>
      <w:tr>
        <w:trPr>
          <w:trHeight w:val="229"/>
        </w:trPr>
        <w:tc>
          <w:tcPr>
            <w:tcW w:w="5360" w:type="dxa"/>
            <w:vAlign w:val="bottom"/>
          </w:tcPr>
          <w:p>
            <w:pPr>
              <w:ind w:left="200"/>
              <w:spacing w:after="0" w:line="230" w:lineRule="exact"/>
              <w:rPr>
                <w:sz w:val="20"/>
                <w:szCs w:val="20"/>
                <w:color w:val="auto"/>
              </w:rPr>
            </w:pPr>
            <w:r>
              <w:rPr>
                <w:rFonts w:ascii="Times New Roman" w:cs="Times New Roman" w:eastAsia="Times New Roman" w:hAnsi="Times New Roman"/>
                <w:sz w:val="16"/>
                <w:szCs w:val="16"/>
                <w:color w:val="auto"/>
              </w:rPr>
              <w:t xml:space="preserve">Equity in income of investments in real estate excluded from NOI </w:t>
            </w:r>
            <w:r>
              <w:rPr>
                <w:rFonts w:ascii="Times New Roman" w:cs="Times New Roman" w:eastAsia="Times New Roman" w:hAnsi="Times New Roman"/>
                <w:sz w:val="21"/>
                <w:szCs w:val="21"/>
                <w:color w:val="auto"/>
                <w:vertAlign w:val="superscript"/>
              </w:rPr>
              <w:t>(2)</w:t>
            </w:r>
          </w:p>
        </w:tc>
        <w:tc>
          <w:tcPr>
            <w:tcW w:w="2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13,258</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11,813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26,947</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23,598</w:t>
            </w:r>
          </w:p>
        </w:tc>
      </w:tr>
      <w:tr>
        <w:trPr>
          <w:trHeight w:val="230"/>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2,261</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1,390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5,145</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2,597</w:t>
            </w:r>
          </w:p>
        </w:tc>
      </w:tr>
      <w:tr>
        <w:trPr>
          <w:trHeight w:val="223"/>
        </w:trPr>
        <w:tc>
          <w:tcPr>
            <w:tcW w:w="5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dividends and issuance costs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3,413</w:t>
            </w:r>
          </w:p>
        </w:tc>
        <w:tc>
          <w:tcPr>
            <w:tcW w:w="140" w:type="dxa"/>
            <w:vAlign w:val="bottom"/>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6,826</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Pro-rata NOI</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258,392</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225,121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521,330</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461,760</w:t>
            </w:r>
          </w:p>
        </w:tc>
      </w:tr>
      <w:tr>
        <w:trPr>
          <w:trHeight w:val="223"/>
        </w:trPr>
        <w:tc>
          <w:tcPr>
            <w:tcW w:w="5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non-same property NOI</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26,474</w:t>
            </w:r>
          </w:p>
        </w:tc>
        <w:tc>
          <w:tcPr>
            <w:tcW w:w="14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53,965</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975</w:t>
            </w:r>
          </w:p>
        </w:tc>
      </w:tr>
      <w:tr>
        <w:trPr>
          <w:trHeight w:val="263"/>
        </w:trPr>
        <w:tc>
          <w:tcPr>
            <w:tcW w:w="5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Pro-rata same property NOI</w:t>
            </w: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231,918</w:t>
            </w:r>
          </w:p>
        </w:tc>
        <w:tc>
          <w:tcPr>
            <w:tcW w:w="14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225,256</w:t>
            </w: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467,365</w:t>
            </w:r>
          </w:p>
        </w:tc>
        <w:tc>
          <w:tcPr>
            <w:tcW w:w="12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460,785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-2403475</wp:posOffset>
            </wp:positionV>
            <wp:extent cx="111125" cy="1879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11125" cy="187960"/>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-2403475</wp:posOffset>
            </wp:positionV>
            <wp:extent cx="145415" cy="1879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45415" cy="18796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857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857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12001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12001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774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774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540" w:hanging="235"/>
        <w:spacing w:after="0" w:line="237" w:lineRule="auto"/>
        <w:tabs>
          <w:tab w:leader="none" w:pos="54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straight-line rental income and expense, net of reserves, above and below market rent amortization, other fees, and noncontrolling interests.</w:t>
      </w:r>
    </w:p>
    <w:p>
      <w:pPr>
        <w:spacing w:after="0" w:line="64" w:lineRule="exact"/>
        <w:rPr>
          <w:rFonts w:ascii="Times New Roman" w:cs="Times New Roman" w:eastAsia="Times New Roman" w:hAnsi="Times New Roman"/>
          <w:sz w:val="22"/>
          <w:szCs w:val="22"/>
          <w:color w:val="auto"/>
          <w:vertAlign w:val="superscript"/>
        </w:rPr>
      </w:pPr>
    </w:p>
    <w:p>
      <w:pPr>
        <w:ind w:left="540" w:right="1200" w:hanging="235"/>
        <w:spacing w:after="0" w:line="216" w:lineRule="auto"/>
        <w:tabs>
          <w:tab w:leader="none" w:pos="54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non-NOI income earned and expenses incurred at our unconsolidated real estate partnerships, including those separated out above for our consolidated properties.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Nareit FFO, Core Operating Earnings and AFFO: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reconciliation of net income attributable to common shareholders to Nareit FFO, to Core Operating Earnings, and to AFFO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share information)</w:t>
            </w:r>
          </w:p>
        </w:tc>
        <w:tc>
          <w:tcPr>
            <w:tcW w:w="220" w:type="dxa"/>
            <w:vAlign w:val="bottom"/>
          </w:tcPr>
          <w:p>
            <w:pPr>
              <w:spacing w:after="0"/>
              <w:rPr>
                <w:sz w:val="19"/>
                <w:szCs w:val="19"/>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4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8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4"/>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Net income attributable to common shareholders to</w:t>
            </w:r>
          </w:p>
        </w:tc>
        <w:tc>
          <w:tcPr>
            <w:tcW w:w="22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r>
      <w:tr>
        <w:trPr>
          <w:trHeight w:val="232"/>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Nareit FFO</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r>
      <w:tr>
        <w:trPr>
          <w:trHeight w:val="220"/>
        </w:trPr>
        <w:tc>
          <w:tcPr>
            <w:tcW w:w="5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99,255</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86,782</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205,616</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184,063</w:t>
            </w:r>
          </w:p>
        </w:tc>
      </w:tr>
      <w:tr>
        <w:trPr>
          <w:trHeight w:val="239"/>
        </w:trPr>
        <w:tc>
          <w:tcPr>
            <w:tcW w:w="5360" w:type="dxa"/>
            <w:vAlign w:val="bottom"/>
            <w:shd w:val="clear" w:color="auto" w:fill="CFF0FC"/>
          </w:tcPr>
          <w:p>
            <w:pPr>
              <w:ind w:left="200"/>
              <w:spacing w:after="0" w:line="239" w:lineRule="exact"/>
              <w:rPr>
                <w:sz w:val="20"/>
                <w:szCs w:val="20"/>
                <w:color w:val="auto"/>
              </w:rPr>
            </w:pPr>
            <w:r>
              <w:rPr>
                <w:rFonts w:ascii="Times New Roman" w:cs="Times New Roman" w:eastAsia="Times New Roman" w:hAnsi="Times New Roman"/>
                <w:sz w:val="16"/>
                <w:szCs w:val="16"/>
                <w:color w:val="auto"/>
              </w:rPr>
              <w:t xml:space="preserve">Adjustments to reconcile to Nareit FFO: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r>
      <w:tr>
        <w:trPr>
          <w:trHeight w:val="220"/>
        </w:trPr>
        <w:tc>
          <w:tcPr>
            <w:tcW w:w="5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 (excluding FF&amp;E)</w:t>
            </w:r>
          </w:p>
        </w:tc>
        <w:tc>
          <w:tcPr>
            <w:tcW w:w="2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107,592</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89,505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211,964</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178,540</w:t>
            </w:r>
          </w:p>
        </w:tc>
      </w:tr>
      <w:tr>
        <w:trPr>
          <w:trHeight w:val="239"/>
        </w:trPr>
        <w:tc>
          <w:tcPr>
            <w:tcW w:w="5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(11,080 )</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(22,488 )</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(305 )</w:t>
            </w:r>
          </w:p>
        </w:tc>
      </w:tr>
      <w:tr>
        <w:trPr>
          <w:trHeight w:val="223"/>
        </w:trPr>
        <w:tc>
          <w:tcPr>
            <w:tcW w:w="5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Exchangeable operating partnership units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601</w:t>
            </w:r>
          </w:p>
        </w:tc>
        <w:tc>
          <w:tcPr>
            <w:tcW w:w="140" w:type="dxa"/>
            <w:vAlign w:val="bottom"/>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550</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1,243</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970</w:t>
            </w:r>
          </w:p>
        </w:tc>
      </w:tr>
      <w:tr>
        <w:trPr>
          <w:trHeight w:val="26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Nareit FFO attributable to common stock and unit holders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196,368</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176,773</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396,335</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363,268</w:t>
            </w:r>
          </w:p>
        </w:tc>
      </w:tr>
      <w:tr>
        <w:trPr>
          <w:trHeight w:val="208"/>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Nareit FFO to Core Operating Earnings</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38"/>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Nareit Funds From Operations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196,368</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176,773</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396,335</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363,268</w:t>
            </w:r>
          </w:p>
        </w:tc>
      </w:tr>
      <w:tr>
        <w:trPr>
          <w:trHeight w:val="230"/>
        </w:trPr>
        <w:tc>
          <w:tcPr>
            <w:tcW w:w="5360" w:type="dxa"/>
            <w:vAlign w:val="bottom"/>
          </w:tcPr>
          <w:p>
            <w:pPr>
              <w:ind w:left="200"/>
              <w:spacing w:after="0" w:line="230" w:lineRule="exact"/>
              <w:rPr>
                <w:sz w:val="20"/>
                <w:szCs w:val="20"/>
                <w:color w:val="auto"/>
              </w:rPr>
            </w:pPr>
            <w:r>
              <w:rPr>
                <w:rFonts w:ascii="Times New Roman" w:cs="Times New Roman" w:eastAsia="Times New Roman" w:hAnsi="Times New Roman"/>
                <w:sz w:val="16"/>
                <w:szCs w:val="16"/>
                <w:color w:val="auto"/>
              </w:rPr>
              <w:t xml:space="preserve">Adjustments to reconcile to Core Operating Earnings: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Not Comparable Items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20"/>
        </w:trPr>
        <w:tc>
          <w:tcPr>
            <w:tcW w:w="5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Merger transition costs</w:t>
            </w:r>
          </w:p>
        </w:tc>
        <w:tc>
          <w:tcPr>
            <w:tcW w:w="2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2,133</w:t>
            </w:r>
          </w:p>
        </w:tc>
        <w:tc>
          <w:tcPr>
            <w:tcW w:w="1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4,694</w:t>
            </w:r>
          </w:p>
        </w:tc>
        <w:tc>
          <w:tcPr>
            <w:tcW w:w="12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Certain Non Cash Items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9"/>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Straight-line rent</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(5,283 )</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(1,784 )</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(11,021 )</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(4,173 )</w:t>
            </w:r>
          </w:p>
        </w:tc>
      </w:tr>
      <w:tr>
        <w:trPr>
          <w:trHeight w:val="220"/>
        </w:trPr>
        <w:tc>
          <w:tcPr>
            <w:tcW w:w="5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Uncollectible straight-line rent</w:t>
            </w:r>
          </w:p>
        </w:tc>
        <w:tc>
          <w:tcPr>
            <w:tcW w:w="2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1,377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(1,755 )</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(2,390 )</w:t>
            </w:r>
          </w:p>
        </w:tc>
      </w:tr>
      <w:tr>
        <w:trPr>
          <w:trHeight w:val="239"/>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Above/below market rent amortization, net</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(7,073 )</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(8,554 )</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(12,540 )</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(14,219 )</w:t>
            </w:r>
          </w:p>
        </w:tc>
      </w:tr>
      <w:tr>
        <w:trPr>
          <w:trHeight w:val="223"/>
        </w:trPr>
        <w:tc>
          <w:tcPr>
            <w:tcW w:w="5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Debt and derivative mark-to-market amortization</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1,731</w:t>
            </w:r>
          </w:p>
        </w:tc>
        <w:tc>
          <w:tcPr>
            <w:tcW w:w="140" w:type="dxa"/>
            <w:vAlign w:val="bottom"/>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2,640</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Core Operating Earnings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189,253</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164,688</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382,321</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342,486</w:t>
            </w:r>
          </w:p>
        </w:tc>
      </w:tr>
      <w:tr>
        <w:trPr>
          <w:trHeight w:val="208"/>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Core Operating Earnings to AFFO:</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38"/>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Core Operating Earnings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189,253</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164,688</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382,321</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342,486</w:t>
            </w:r>
          </w:p>
        </w:tc>
      </w:tr>
      <w:tr>
        <w:trPr>
          <w:trHeight w:val="284"/>
        </w:trPr>
        <w:tc>
          <w:tcPr>
            <w:tcW w:w="5360" w:type="dxa"/>
            <w:vAlign w:val="bottom"/>
          </w:tcPr>
          <w:p>
            <w:pPr>
              <w:ind w:left="200"/>
              <w:spacing w:after="0" w:line="283" w:lineRule="exact"/>
              <w:rPr>
                <w:sz w:val="20"/>
                <w:szCs w:val="20"/>
                <w:color w:val="auto"/>
              </w:rPr>
            </w:pPr>
            <w:r>
              <w:rPr>
                <w:rFonts w:ascii="Times New Roman" w:cs="Times New Roman" w:eastAsia="Times New Roman" w:hAnsi="Times New Roman"/>
                <w:sz w:val="16"/>
                <w:szCs w:val="16"/>
                <w:color w:val="auto"/>
              </w:rPr>
              <w:t xml:space="preserve">Adjustments to reconcile to AFFO </w:t>
            </w:r>
            <w:r>
              <w:rPr>
                <w:rFonts w:ascii="Arial" w:cs="Arial" w:eastAsia="Arial" w:hAnsi="Arial"/>
                <w:sz w:val="25"/>
                <w:szCs w:val="25"/>
                <w:color w:val="auto"/>
                <w:vertAlign w:val="superscript"/>
              </w:rPr>
              <w:t>(1)</w:t>
            </w:r>
            <w:r>
              <w:rPr>
                <w:rFonts w:ascii="Arial" w:cs="Arial" w:eastAsia="Arial" w:hAnsi="Arial"/>
                <w:sz w:val="19"/>
                <w:szCs w:val="19"/>
                <w:color w:val="auto"/>
              </w:rPr>
              <w:t>:</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5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Operating capital expenditures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(33,886 )</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(21,086 )</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(54,738 )</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(38,545 )</w:t>
            </w:r>
          </w:p>
        </w:tc>
      </w:tr>
      <w:tr>
        <w:trPr>
          <w:trHeight w:val="220"/>
        </w:trPr>
        <w:tc>
          <w:tcPr>
            <w:tcW w:w="5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Debt cost and derivative adjustments</w:t>
            </w:r>
          </w:p>
        </w:tc>
        <w:tc>
          <w:tcPr>
            <w:tcW w:w="2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1,686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4,162</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1,686</w:t>
            </w:r>
          </w:p>
        </w:tc>
      </w:tr>
      <w:tr>
        <w:trPr>
          <w:trHeight w:val="233"/>
        </w:trPr>
        <w:tc>
          <w:tcPr>
            <w:tcW w:w="53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4,662</w:t>
            </w:r>
          </w:p>
        </w:tc>
        <w:tc>
          <w:tcPr>
            <w:tcW w:w="14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4,105</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9,302</w:t>
            </w:r>
          </w:p>
        </w:tc>
        <w:tc>
          <w:tcPr>
            <w:tcW w:w="1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4,105</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AFFO</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162,051</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149,393</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341,047</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309,732</w:t>
            </w:r>
          </w:p>
        </w:tc>
      </w:tr>
      <w:tr>
        <w:trPr>
          <w:trHeight w:val="20"/>
        </w:trPr>
        <w:tc>
          <w:tcPr>
            <w:tcW w:w="5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-2896870</wp:posOffset>
            </wp:positionV>
            <wp:extent cx="8572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-2879725</wp:posOffset>
            </wp:positionV>
            <wp:extent cx="857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-2896870</wp:posOffset>
            </wp:positionV>
            <wp:extent cx="12001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-2879725</wp:posOffset>
            </wp:positionV>
            <wp:extent cx="1200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-2896870</wp:posOffset>
            </wp:positionV>
            <wp:extent cx="7747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-2879725</wp:posOffset>
            </wp:positionV>
            <wp:extent cx="7747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-1113790</wp:posOffset>
            </wp:positionV>
            <wp:extent cx="8572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-1096645</wp:posOffset>
            </wp:positionV>
            <wp:extent cx="8572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-1113790</wp:posOffset>
            </wp:positionV>
            <wp:extent cx="12001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-1096645</wp:posOffset>
            </wp:positionV>
            <wp:extent cx="12001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-1113790</wp:posOffset>
            </wp:positionV>
            <wp:extent cx="7747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-1096645</wp:posOffset>
            </wp:positionV>
            <wp:extent cx="774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-179070</wp:posOffset>
            </wp:positionV>
            <wp:extent cx="857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-179070</wp:posOffset>
            </wp:positionV>
            <wp:extent cx="12001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-179070</wp:posOffset>
            </wp:positionV>
            <wp:extent cx="774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540" w:hanging="235"/>
        <w:spacing w:after="0" w:line="237" w:lineRule="auto"/>
        <w:tabs>
          <w:tab w:leader="none" w:pos="54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Regency's Pro-rata share of unconsolidated investment partnerships, net of Pro-rata share attributable to noncontrolling interests.</w:t>
      </w:r>
    </w:p>
    <w:p>
      <w:pPr>
        <w:spacing w:after="0" w:line="204"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149"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use cash flows generated from operating, investing, and financing activities to strengthen our balance sheet, finance our development and redevelopment projects, fund our investment activities, and maintain financial flexibility. A significant portion of our cash from operations is distributed to our common shareholders in the form of dividends in order to maintain our status as a REIT.</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Except for $200 million of private placement debt, our Parent Company has no capital commitments other than its guarantees of the commitments of our Operating Partnership. All remaining debt is held by our Operating Partnership, its subsidiaries, or by our real estate partnerships. The Operating Partnership is a co-issuer and a guarantor of the $200 million of outstanding debt of our Parent Company. The Parent Company will from time to time access the capital markets for the purpose of issuing new equity, and will simultaneously contribute all of the offering proceeds to the Operating Partnership in exchange for additional partnership units.</w:t>
      </w:r>
    </w:p>
    <w:p>
      <w:pPr>
        <w:spacing w:after="0" w:line="1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continually assess our available liquidity and our expected cash requirements, including monitoring our tenant rent collections. We have access to and draw on multiple financing sources to fund our operations and our long-term capital needs, including the requirements of our in process and planned developments, redevelopments, other capital expenditures, and the repayment of debt. We expect to meet these needs by using a combination of the following: cash flow from operations after funding our common stock and preferred stock dividends, borrowings from our Line, proceeds from the sale of real estate, mortgage loan and unsecured bank financing, distributions received from our real estate partnerships, and when the capital markets are favorable, proceeds from the sale of equity securities or the issuance of new unsecured debt. We continually evaluate alternative financing options, and we believe we can obtain new financing on reasonable terms, although likely at higher interest rates than that of our debt currently outstanding, due to the current interest rate environment.</w:t>
      </w:r>
    </w:p>
    <w:p>
      <w:pPr>
        <w:spacing w:after="0" w:line="13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January 8, 2024, Regency priced a public offering of $400 million of senior unsecured notes due in 2034 (the “2024 Notes”) under our existing shelf registration filed with the SEC. The Notes were issued at 99.617% of par value with a coupon of 5.25%, and mature on January 15, 2034. We paid off $250 million of senior unsecured notes that matured in June 2024, and our next maturity of senior unsecured notes occurs in November 2025. We have $230.7 million of secured loan maturities during the next 12 months, including maturities within our unconsolidated real estate partnerships, which we intend to refinance or pay-off as they mature. Based upon our available cash balance, sources of capital, our current credit ratings, and the number of high quality, unencumbered properties we own, we believe our available capital resources are sufficient to meet our expected capital needs for the next year, although, in the longer term, we can provide no assurances.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our $73.8 million of unrestricted cash, we have the following additional sources of capital available:</w:t>
      </w:r>
    </w:p>
    <w:p>
      <w:pPr>
        <w:spacing w:after="0" w:line="228" w:lineRule="exact"/>
        <w:rPr>
          <w:sz w:val="20"/>
          <w:szCs w:val="20"/>
          <w:color w:val="auto"/>
        </w:rPr>
      </w:pPr>
    </w:p>
    <w:tbl>
      <w:tblPr>
        <w:tblLayout w:type="fixed"/>
        <w:tblInd w:w="2260" w:type="dxa"/>
        <w:tblCellMar>
          <w:top w:w="0" w:type="dxa"/>
          <w:left w:w="0" w:type="dxa"/>
          <w:bottom w:w="0" w:type="dxa"/>
          <w:right w:w="0" w:type="dxa"/>
        </w:tblCellMar>
      </w:tblPr>
      <w:tr>
        <w:trPr>
          <w:trHeight w:val="232"/>
        </w:trPr>
        <w:tc>
          <w:tcPr>
            <w:tcW w:w="4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69"/>
        </w:trPr>
        <w:tc>
          <w:tcPr>
            <w:tcW w:w="426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ATM program</w:t>
            </w:r>
          </w:p>
        </w:tc>
        <w:tc>
          <w:tcPr>
            <w:tcW w:w="420" w:type="dxa"/>
            <w:vAlign w:val="bottom"/>
            <w:shd w:val="clear" w:color="auto" w:fill="CFF0FC"/>
          </w:tcPr>
          <w:p>
            <w:pPr>
              <w:spacing w:after="0"/>
              <w:rPr>
                <w:sz w:val="14"/>
                <w:szCs w:val="14"/>
                <w:color w:val="auto"/>
              </w:rPr>
            </w:pPr>
          </w:p>
        </w:tc>
        <w:tc>
          <w:tcPr>
            <w:tcW w:w="2060" w:type="dxa"/>
            <w:vAlign w:val="bottom"/>
            <w:shd w:val="clear" w:color="auto" w:fill="CFF0FC"/>
          </w:tcPr>
          <w:p>
            <w:pPr>
              <w:spacing w:after="0"/>
              <w:rPr>
                <w:sz w:val="14"/>
                <w:szCs w:val="14"/>
                <w:color w:val="auto"/>
              </w:rPr>
            </w:pPr>
          </w:p>
        </w:tc>
      </w:tr>
      <w:tr>
        <w:trPr>
          <w:trHeight w:val="34"/>
        </w:trPr>
        <w:tc>
          <w:tcPr>
            <w:tcW w:w="940" w:type="dxa"/>
            <w:vAlign w:val="bottom"/>
            <w:tcBorders>
              <w:top w:val="single" w:sz="8" w:color="auto"/>
            </w:tcBorders>
            <w:shd w:val="clear" w:color="auto" w:fill="CFF0FC"/>
          </w:tcPr>
          <w:p>
            <w:pPr>
              <w:spacing w:after="0"/>
              <w:rPr>
                <w:sz w:val="2"/>
                <w:szCs w:val="2"/>
                <w:color w:val="auto"/>
              </w:rPr>
            </w:pPr>
          </w:p>
        </w:tc>
        <w:tc>
          <w:tcPr>
            <w:tcW w:w="80" w:type="dxa"/>
            <w:vAlign w:val="bottom"/>
            <w:tcBorders>
              <w:top w:val="single" w:sz="8" w:color="auto"/>
            </w:tcBorders>
            <w:shd w:val="clear" w:color="auto" w:fill="CFF0FC"/>
          </w:tcPr>
          <w:p>
            <w:pPr>
              <w:spacing w:after="0"/>
              <w:rPr>
                <w:sz w:val="2"/>
                <w:szCs w:val="2"/>
                <w:color w:val="auto"/>
              </w:rPr>
            </w:pPr>
          </w:p>
        </w:tc>
        <w:tc>
          <w:tcPr>
            <w:tcW w:w="32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2060" w:type="dxa"/>
            <w:vAlign w:val="bottom"/>
            <w:tcBorders>
              <w:top w:val="single" w:sz="8" w:color="CFF0FC"/>
            </w:tcBorders>
            <w:shd w:val="clear" w:color="auto" w:fill="CFF0FC"/>
          </w:tcPr>
          <w:p>
            <w:pPr>
              <w:spacing w:after="0"/>
              <w:rPr>
                <w:sz w:val="2"/>
                <w:szCs w:val="2"/>
                <w:color w:val="auto"/>
              </w:rPr>
            </w:pPr>
          </w:p>
        </w:tc>
      </w:tr>
      <w:tr>
        <w:trPr>
          <w:trHeight w:val="220"/>
        </w:trPr>
        <w:tc>
          <w:tcPr>
            <w:tcW w:w="4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Original offering amount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39"/>
        </w:trPr>
        <w:tc>
          <w:tcPr>
            <w:tcW w:w="4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Available capacity</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175"/>
        </w:trPr>
        <w:tc>
          <w:tcPr>
            <w:tcW w:w="42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Line of credit</w:t>
            </w:r>
          </w:p>
        </w:tc>
        <w:tc>
          <w:tcPr>
            <w:tcW w:w="4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4"/>
        </w:trPr>
        <w:tc>
          <w:tcPr>
            <w:tcW w:w="9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0"/>
        </w:trPr>
        <w:tc>
          <w:tcPr>
            <w:tcW w:w="4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commitment amount</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1,500,000</w:t>
            </w:r>
          </w:p>
        </w:tc>
      </w:tr>
      <w:tr>
        <w:trPr>
          <w:trHeight w:val="230"/>
        </w:trPr>
        <w:tc>
          <w:tcPr>
            <w:tcW w:w="4260" w:type="dxa"/>
            <w:vAlign w:val="bottom"/>
            <w:gridSpan w:val="3"/>
          </w:tcPr>
          <w:p>
            <w:pPr>
              <w:spacing w:after="0" w:line="230" w:lineRule="exact"/>
              <w:rPr>
                <w:sz w:val="20"/>
                <w:szCs w:val="20"/>
                <w:color w:val="auto"/>
              </w:rPr>
            </w:pPr>
            <w:r>
              <w:rPr>
                <w:rFonts w:ascii="Times New Roman" w:cs="Times New Roman" w:eastAsia="Times New Roman" w:hAnsi="Times New Roman"/>
                <w:sz w:val="16"/>
                <w:szCs w:val="16"/>
                <w:color w:val="auto"/>
              </w:rPr>
              <w:t xml:space="preserve">Available capacity </w:t>
            </w:r>
            <w:r>
              <w:rPr>
                <w:rFonts w:ascii="Times New Roman" w:cs="Times New Roman" w:eastAsia="Times New Roman" w:hAnsi="Times New Roman"/>
                <w:sz w:val="21"/>
                <w:szCs w:val="21"/>
                <w:color w:val="auto"/>
                <w:vertAlign w:val="superscript"/>
              </w:rPr>
              <w:t>(1)</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1,179,885</w:t>
            </w:r>
          </w:p>
        </w:tc>
      </w:tr>
      <w:tr>
        <w:trPr>
          <w:trHeight w:val="229"/>
        </w:trPr>
        <w:tc>
          <w:tcPr>
            <w:tcW w:w="4260" w:type="dxa"/>
            <w:vAlign w:val="bottom"/>
            <w:gridSpan w:val="3"/>
            <w:shd w:val="clear" w:color="auto" w:fill="CFF0FC"/>
          </w:tcPr>
          <w:p>
            <w:pPr>
              <w:spacing w:after="0" w:line="230" w:lineRule="exact"/>
              <w:rPr>
                <w:sz w:val="20"/>
                <w:szCs w:val="20"/>
                <w:color w:val="auto"/>
              </w:rPr>
            </w:pPr>
            <w:r>
              <w:rPr>
                <w:rFonts w:ascii="Times New Roman" w:cs="Times New Roman" w:eastAsia="Times New Roman" w:hAnsi="Times New Roman"/>
                <w:sz w:val="16"/>
                <w:szCs w:val="16"/>
                <w:color w:val="auto"/>
              </w:rPr>
              <w:t xml:space="preserve">Maturity </w:t>
            </w:r>
            <w:r>
              <w:rPr>
                <w:rFonts w:ascii="Times New Roman" w:cs="Times New Roman" w:eastAsia="Times New Roman" w:hAnsi="Times New Roman"/>
                <w:sz w:val="21"/>
                <w:szCs w:val="21"/>
                <w:color w:val="auto"/>
                <w:vertAlign w:val="superscript"/>
              </w:rPr>
              <w:t>(2)</w:t>
            </w:r>
          </w:p>
        </w:tc>
        <w:tc>
          <w:tcPr>
            <w:tcW w:w="42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March 23, 2028</w:t>
            </w:r>
          </w:p>
        </w:tc>
      </w:tr>
    </w:tbl>
    <w:p>
      <w:pPr>
        <w:ind w:left="2420" w:hanging="198"/>
        <w:spacing w:after="0" w:line="237" w:lineRule="auto"/>
        <w:tabs>
          <w:tab w:leader="none" w:pos="242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Net of letters of credit issued against our Line.</w:t>
      </w:r>
    </w:p>
    <w:p>
      <w:pPr>
        <w:spacing w:after="0" w:line="64" w:lineRule="exact"/>
        <w:rPr>
          <w:rFonts w:ascii="Times New Roman" w:cs="Times New Roman" w:eastAsia="Times New Roman" w:hAnsi="Times New Roman"/>
          <w:sz w:val="22"/>
          <w:szCs w:val="22"/>
          <w:color w:val="auto"/>
          <w:vertAlign w:val="superscript"/>
        </w:rPr>
      </w:pPr>
    </w:p>
    <w:p>
      <w:pPr>
        <w:ind w:left="2420" w:hanging="198"/>
        <w:spacing w:after="0" w:line="182" w:lineRule="auto"/>
        <w:tabs>
          <w:tab w:leader="none" w:pos="242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 has the option to extend the maturity for two additional six-month periods.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declaration of dividends is determined quarterly by, and in the discretion of, our Board of Directors. On July 31, 2024, our Board of Directors:</w:t>
      </w:r>
    </w:p>
    <w:p>
      <w:pPr>
        <w:spacing w:after="0" w:line="63"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 common stock dividend of $0.67 per share, payable on October 3, 2024, to shareholders of record as of September 12, 2024;</w:t>
      </w:r>
    </w:p>
    <w:p>
      <w:pPr>
        <w:spacing w:after="0" w:line="63" w:lineRule="exact"/>
        <w:rPr>
          <w:rFonts w:ascii="Times New Roman" w:cs="Times New Roman" w:eastAsia="Times New Roman" w:hAnsi="Times New Roman"/>
          <w:sz w:val="18"/>
          <w:szCs w:val="18"/>
          <w:color w:val="auto"/>
        </w:rPr>
      </w:pPr>
    </w:p>
    <w:p>
      <w:pPr>
        <w:ind w:left="1020" w:right="100" w:hanging="503"/>
        <w:spacing w:after="0" w:line="28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 dividend on the Series A Preferred Stock, which will be paid at a rate of $0.390625 per share on October 31, 2024. The dividend will be payable to holders of record of the Series A Preferred Stock as of the close of business on October 16, 2024; and</w:t>
      </w:r>
    </w:p>
    <w:p>
      <w:pPr>
        <w:spacing w:after="0" w:line="1"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 dividend on the Series B Preferred Stock, which will be paid at a rate of $0.367200 per share on October 31, 2024. The dividend will be payable to holders of record of the Series B Preferred Stock as of the close of business on October 16, 2024.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4" w:name="page45"/>
    <w:bookmarkEnd w:id="44"/>
    <w:p>
      <w:pPr>
        <w:spacing w:after="0" w:line="258" w:lineRule="auto"/>
        <w:rPr>
          <w:sz w:val="20"/>
          <w:szCs w:val="20"/>
          <w:color w:val="auto"/>
        </w:rPr>
      </w:pPr>
      <w:r>
        <w:rPr>
          <w:rFonts w:ascii="Times New Roman" w:cs="Times New Roman" w:eastAsia="Times New Roman" w:hAnsi="Times New Roman"/>
          <w:sz w:val="18"/>
          <w:szCs w:val="18"/>
          <w:color w:val="auto"/>
        </w:rPr>
        <w:t>While future dividends will be determined at the discretion of our Board of Directors, we plan to continue paying an aggregate amount of distributions to our stock and unit holders that, at a minimum, meet the requirements to continue qualifying as a REIT for federal income tax purposes. We have historically generated sufficient cash flow from operations to fund our dividend distributions. During the six months ended June 30, 2024 and 2023, we generated cash flow from operations of $371.2 million and $334.7 million, respectively, and paid $255.4 million in dividends to our common and preferred stock and unit holders, and $223.2 million in dividends to our common stock and unit holders, in the same respective periods.</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currently have development and redevelopment projects in various stages of planning, design and construction, along with a pipeline of potential projects for future development or redevelopment. After funding our common and preferred stock dividend payments in July of 2024, we estimate that we will require capital during the next 12 months of approximately $530.6 million related to leasing commissions, tenant improvements, in-process developments and redevelopments, capital contributions to our real estate partnerships, and repaying maturing debt. These capital requirements are being impacted by inflation resulting in increased costs of construction materials, labor, and services from third party contractors and suppliers. In response, we have implemented mitigation strategies such as entering into fixed cost construction contracts, pre-ordering materials, and other planning efforts. Further, continued challenges from permitting delays and labor shortages may extend the time to completion of these projects.</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we start new developments or redevelopments, commit to property acquisitions, repay debt prior to maturity, declare future dividends, or repurchase shares of our common stock, our cash requirements will increase. If we refinance maturing debt, our cash requirements will decrease.</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endeavor to maintain a high percentage of unencumbered assets. As of June 30, 2024, 88.1% of our wholly-owned real estate assets were unencumbered. Our low level of encumbered assets allows us to more readily access the secured and unsecured debt markets and to maintain borrowing capacity on the Line.</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Line and unsecured debt require that we remain in compliance with various customary financial covenants, which are described in the Notes to Consolidated Financial Statements included in our 2023 Form 10-K. We were in compliance with these covenants at June 30, 2024, and expect to remain in compliance.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Cash Flow Activity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cash flows related to operating, investing, and financing activities of the Company:</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4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4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371,214</w:t>
            </w:r>
          </w:p>
        </w:tc>
        <w:tc>
          <w:tcPr>
            <w:tcW w:w="240" w:type="dxa"/>
            <w:vAlign w:val="bottom"/>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334,677</w:t>
            </w:r>
          </w:p>
        </w:tc>
        <w:tc>
          <w:tcPr>
            <w:tcW w:w="240" w:type="dxa"/>
            <w:vAlign w:val="bottom"/>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36,537</w:t>
            </w:r>
          </w:p>
        </w:tc>
        <w:tc>
          <w:tcPr>
            <w:tcW w:w="80" w:type="dxa"/>
            <w:vAlign w:val="bottom"/>
            <w:shd w:val="clear" w:color="auto" w:fill="CFF0FC"/>
          </w:tcPr>
          <w:p>
            <w:pPr>
              <w:spacing w:after="0"/>
              <w:rPr>
                <w:sz w:val="19"/>
                <w:szCs w:val="19"/>
                <w:color w:val="auto"/>
              </w:rPr>
            </w:pPr>
          </w:p>
        </w:tc>
      </w:t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(114,143 )</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(91,411 )</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(22,732 )</w:t>
            </w:r>
          </w:p>
        </w:tc>
      </w:tr>
      <w:tr>
        <w:trPr>
          <w:trHeight w:val="22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(268,502 )</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(268,934 )</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80" w:type="dxa"/>
            <w:vAlign w:val="bottom"/>
            <w:shd w:val="clear" w:color="auto" w:fill="CFF0FC"/>
          </w:tcPr>
          <w:p>
            <w:pPr>
              <w:spacing w:after="0"/>
              <w:rPr>
                <w:sz w:val="19"/>
                <w:szCs w:val="19"/>
                <w:color w:val="auto"/>
              </w:rPr>
            </w:pPr>
          </w:p>
        </w:tc>
      </w:tr>
      <w:tr>
        <w:trPr>
          <w:trHeight w:val="23"/>
        </w:trPr>
        <w:tc>
          <w:tcPr>
            <w:tcW w:w="46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(11,431 )</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(25,668 )</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14,237</w:t>
            </w:r>
          </w:p>
        </w:tc>
        <w:tc>
          <w:tcPr>
            <w:tcW w:w="8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6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79,923</w:t>
            </w:r>
          </w:p>
        </w:tc>
        <w:tc>
          <w:tcPr>
            <w:tcW w:w="2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43,108</w:t>
            </w:r>
          </w:p>
        </w:tc>
        <w:tc>
          <w:tcPr>
            <w:tcW w:w="2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36,815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-350520</wp:posOffset>
            </wp:positionV>
            <wp:extent cx="6032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-350520</wp:posOffset>
            </wp:positionV>
            <wp:extent cx="603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-350520</wp:posOffset>
            </wp:positionV>
            <wp:extent cx="514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6032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03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032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03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cash provided by operating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increased $36.5 million due to:</w:t>
      </w:r>
    </w:p>
    <w:p>
      <w:pPr>
        <w:spacing w:after="0" w:line="63"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 million increase in cash from operations due to the acquisition of UBP, and timing of receipts and payments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increase in operating cash flow distributions from Investments in real estate partnerships.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cash used in investing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changed by $22.7 million as follows: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5880" w:type="dxa"/>
            <w:vAlign w:val="bottom"/>
          </w:tcPr>
          <w:p>
            <w:pPr>
              <w:spacing w:after="0"/>
              <w:rPr>
                <w:sz w:val="19"/>
                <w:szCs w:val="19"/>
                <w:color w:val="auto"/>
              </w:rPr>
            </w:pPr>
          </w:p>
        </w:tc>
        <w:tc>
          <w:tcPr>
            <w:tcW w:w="21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of operating real estate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(45,208 )</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(45,208 )</w:t>
            </w: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Real estate development and capital improvements</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(141,775 )</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(100,114 )</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(41,661 )</w:t>
            </w: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real estate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92,159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88,414</w:t>
            </w:r>
          </w:p>
        </w:tc>
        <w:tc>
          <w:tcPr>
            <w:tcW w:w="80" w:type="dxa"/>
            <w:vAlign w:val="bottom"/>
          </w:tcPr>
          <w:p>
            <w:pPr>
              <w:spacing w:after="0"/>
              <w:rPr>
                <w:sz w:val="19"/>
                <w:szCs w:val="19"/>
                <w:color w:val="auto"/>
              </w:rPr>
            </w:pP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property insurance casualty claims</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4,638</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4,638</w:t>
            </w:r>
          </w:p>
        </w:tc>
        <w:tc>
          <w:tcPr>
            <w:tcW w:w="80" w:type="dxa"/>
            <w:vAlign w:val="bottom"/>
            <w:shd w:val="clear" w:color="auto" w:fill="CFF0FC"/>
          </w:tcPr>
          <w:p>
            <w:pPr>
              <w:spacing w:after="0"/>
              <w:rPr>
                <w:sz w:val="20"/>
                <w:szCs w:val="20"/>
                <w:color w:val="auto"/>
              </w:rPr>
            </w:pP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notes receivable</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(32,651 )</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(4,000 )</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(28,651 )</w:t>
            </w: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Collection of notes receivable</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80" w:type="dxa"/>
            <w:vAlign w:val="bottom"/>
            <w:shd w:val="clear" w:color="auto" w:fill="CFF0FC"/>
          </w:tcPr>
          <w:p>
            <w:pPr>
              <w:spacing w:after="0"/>
              <w:rPr>
                <w:sz w:val="20"/>
                <w:szCs w:val="20"/>
                <w:color w:val="auto"/>
              </w:rPr>
            </w:pP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(8,582 )</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(3,109 )</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(5,473 )</w:t>
            </w: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Return of capital from investments in real estate partnerships</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10,038</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80" w:type="dxa"/>
            <w:vAlign w:val="bottom"/>
            <w:shd w:val="clear" w:color="auto" w:fill="CFF0FC"/>
          </w:tcPr>
          <w:p>
            <w:pPr>
              <w:spacing w:after="0"/>
              <w:rPr>
                <w:sz w:val="20"/>
                <w:szCs w:val="20"/>
                <w:color w:val="auto"/>
              </w:rPr>
            </w:pP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on investment securities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(157 )</w:t>
            </w: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Acquisition of investment securities</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(95,519 )</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(2,748 )</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(92,771 )</w:t>
            </w:r>
          </w:p>
        </w:tc>
      </w:tr>
      <w:tr>
        <w:trPr>
          <w:trHeight w:val="223"/>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investment securities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99,490</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10,751</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88,739</w:t>
            </w:r>
          </w:p>
        </w:tc>
        <w:tc>
          <w:tcPr>
            <w:tcW w:w="80" w:type="dxa"/>
            <w:vAlign w:val="bottom"/>
          </w:tcPr>
          <w:p>
            <w:pPr>
              <w:spacing w:after="0"/>
              <w:rPr>
                <w:sz w:val="19"/>
                <w:szCs w:val="19"/>
                <w:color w:val="auto"/>
              </w:rPr>
            </w:pPr>
          </w:p>
        </w:tc>
      </w:tr>
      <w:tr>
        <w:trPr>
          <w:trHeight w:val="243"/>
        </w:trPr>
        <w:tc>
          <w:tcPr>
            <w:tcW w:w="5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(114,143 )</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(91,411 )</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(22,732 )</w:t>
            </w:r>
          </w:p>
        </w:tc>
      </w:tr>
      <w:tr>
        <w:trPr>
          <w:trHeight w:val="20"/>
        </w:trPr>
        <w:tc>
          <w:tcPr>
            <w:tcW w:w="58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-25400</wp:posOffset>
            </wp:positionV>
            <wp:extent cx="603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032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514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5143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investing activities include:</w:t>
      </w:r>
    </w:p>
    <w:p>
      <w:pPr>
        <w:spacing w:after="0" w:line="63"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$45.2 million in 2024 to purchase one operating property.</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invested $41.7 million more on real estate development, redevelopment, and capital improvements, as further detailed in a table below.</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sold three operating properties in 2024 for proceeds of $92.2 million compared to one land parcel in 2023 for proceeds of $3.7 million.</w:t>
      </w:r>
    </w:p>
    <w:p>
      <w:pPr>
        <w:spacing w:after="0" w:line="63" w:lineRule="exact"/>
        <w:rPr>
          <w:rFonts w:ascii="Times New Roman" w:cs="Times New Roman" w:eastAsia="Times New Roman" w:hAnsi="Times New Roman"/>
          <w:sz w:val="18"/>
          <w:szCs w:val="18"/>
          <w:color w:val="auto"/>
        </w:rPr>
      </w:pPr>
    </w:p>
    <w:p>
      <w:pPr>
        <w:ind w:left="760" w:right="540" w:hanging="378"/>
        <w:spacing w:after="0" w:line="281"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additional property insurance claim proceeds of $4.6 million in 2024 attributable to a single property that was impacted by a weather event in 2019.</w:t>
      </w:r>
    </w:p>
    <w:p>
      <w:pPr>
        <w:spacing w:after="0" w:line="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in connection with a secured lending transaction entered into by the Company, we issued a note receivable in the amount of $29.8 million at an interest rate of 6.9% maturing in January 2027, secured by a grocery-anchored shopping center. In addition, we issued $2.9 million short-term notes receivable to real estate partners in 2024, as compared to the issuance of a $4.0 million in 2023.</w:t>
      </w:r>
    </w:p>
    <w:p>
      <w:pPr>
        <w:spacing w:after="0" w:line="1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collected $3.0 million in short-term note receivables from real estate partners in 2024.</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real estate partnerships:</w:t>
      </w:r>
    </w:p>
    <w:p>
      <w:pPr>
        <w:spacing w:after="0" w:line="63" w:lineRule="exact"/>
        <w:rPr>
          <w:sz w:val="20"/>
          <w:szCs w:val="20"/>
          <w:color w:val="auto"/>
        </w:rPr>
      </w:pPr>
    </w:p>
    <w:p>
      <w:pPr>
        <w:ind w:left="1500" w:hanging="369"/>
        <w:spacing w:after="0"/>
        <w:tabs>
          <w:tab w:leader="none" w:pos="15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invested $8.6 million to fund our share of development and redevelopment activities,</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invested $3.1 million to fund our share of development and redevelopment activities.</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of capital from our unconsolidated investments in real estate partnerships includes sales or financing proceeds.</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June 30, 2024 we received $10.0 million from our share of proceeds from debt financing activities.</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same period in 2023, we received $3.6 million from our share of proceeds from debt financing activities.</w:t>
      </w:r>
    </w:p>
    <w:p>
      <w:pPr>
        <w:spacing w:after="0" w:line="63" w:lineRule="exact"/>
        <w:rPr>
          <w:rFonts w:ascii="Times New Roman" w:cs="Times New Roman" w:eastAsia="Times New Roman" w:hAnsi="Times New Roman"/>
          <w:sz w:val="18"/>
          <w:szCs w:val="18"/>
          <w:color w:val="auto"/>
        </w:rPr>
      </w:pPr>
    </w:p>
    <w:p>
      <w:pPr>
        <w:ind w:left="760" w:right="120" w:hanging="378"/>
        <w:spacing w:after="0" w:line="261"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securities and proceeds from sale of securities pertain to investment activities held in our captive insurance company and our deferred compensation plan. Additionally, we invested approximately $90 million in commercial deposits from the proceeds received from the January 2024 public offering of senior unsecured notes. The commercial deposits were subsequently settled at maturity during the second quarter of 2024.</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2" w:right="399" w:bottom="1440" w:gutter="0" w:footer="0" w:header="0"/>
        </w:sectPr>
      </w:pPr>
    </w:p>
    <w:bookmarkStart w:id="46" w:name="page47"/>
    <w:bookmarkEnd w:id="46"/>
    <w:p>
      <w:pPr>
        <w:ind w:right="300"/>
        <w:spacing w:after="0" w:line="282" w:lineRule="auto"/>
        <w:rPr>
          <w:sz w:val="20"/>
          <w:szCs w:val="20"/>
          <w:color w:val="auto"/>
        </w:rPr>
      </w:pPr>
      <w:r>
        <w:rPr>
          <w:rFonts w:ascii="Times New Roman" w:cs="Times New Roman" w:eastAsia="Times New Roman" w:hAnsi="Times New Roman"/>
          <w:sz w:val="18"/>
          <w:szCs w:val="18"/>
          <w:color w:val="auto"/>
        </w:rPr>
        <w:t>We plan to continue developing and redeveloping shopping centers for long-term investment. During the six months ended June 30, 2024, we deployed capital of $141.8 million for the development, redevelopment, and improvement of our real estate properties, comprised of the following:</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4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9"/>
                <w:szCs w:val="19"/>
                <w:color w:val="auto"/>
              </w:rPr>
            </w:pPr>
          </w:p>
        </w:tc>
        <w:tc>
          <w:tcPr>
            <w:tcW w:w="10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4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9"/>
                <w:szCs w:val="19"/>
                <w:color w:val="auto"/>
              </w:rPr>
            </w:pPr>
          </w:p>
        </w:tc>
        <w:tc>
          <w:tcPr>
            <w:tcW w:w="13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r>
      <w:tr>
        <w:trPr>
          <w:trHeight w:val="220"/>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Land acquisitions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11,650</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2,580</w:t>
            </w:r>
          </w:p>
        </w:tc>
        <w:tc>
          <w:tcPr>
            <w:tcW w:w="14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9,070</w:t>
            </w:r>
          </w:p>
        </w:tc>
      </w:tr>
      <w:tr>
        <w:trPr>
          <w:trHeight w:val="239"/>
        </w:trPr>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Building and tenant improvements</w:t>
            </w: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43,918</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30,963</w:t>
            </w:r>
          </w:p>
        </w:tc>
        <w:tc>
          <w:tcPr>
            <w:tcW w:w="14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12,955</w:t>
            </w:r>
          </w:p>
        </w:tc>
      </w:tr>
      <w:tr>
        <w:trPr>
          <w:trHeight w:val="220"/>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Redevelopment costs</w:t>
            </w:r>
          </w:p>
        </w:tc>
        <w:tc>
          <w:tcPr>
            <w:tcW w:w="2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48,364</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42,745</w:t>
            </w:r>
          </w:p>
        </w:tc>
        <w:tc>
          <w:tcPr>
            <w:tcW w:w="14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5,619</w:t>
            </w:r>
          </w:p>
        </w:tc>
      </w:tr>
      <w:tr>
        <w:trPr>
          <w:trHeight w:val="239"/>
        </w:trPr>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Development costs</w:t>
            </w: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27,584</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17,705</w:t>
            </w:r>
          </w:p>
        </w:tc>
        <w:tc>
          <w:tcPr>
            <w:tcW w:w="14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9,879</w:t>
            </w:r>
          </w:p>
        </w:tc>
      </w:tr>
      <w:tr>
        <w:trPr>
          <w:trHeight w:val="220"/>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Capitalized interest</w:t>
            </w:r>
          </w:p>
        </w:tc>
        <w:tc>
          <w:tcPr>
            <w:tcW w:w="2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3,107</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2,476</w:t>
            </w:r>
          </w:p>
        </w:tc>
        <w:tc>
          <w:tcPr>
            <w:tcW w:w="14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631</w:t>
            </w:r>
          </w:p>
        </w:tc>
      </w:tr>
      <w:tr>
        <w:trPr>
          <w:trHeight w:val="233"/>
        </w:trPr>
        <w:tc>
          <w:tcPr>
            <w:tcW w:w="4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Capitalized direct compensation</w:t>
            </w:r>
          </w:p>
        </w:tc>
        <w:tc>
          <w:tcPr>
            <w:tcW w:w="2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7,152</w:t>
            </w:r>
          </w:p>
        </w:tc>
        <w:tc>
          <w:tcPr>
            <w:tcW w:w="16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3,645</w:t>
            </w:r>
          </w:p>
        </w:tc>
        <w:tc>
          <w:tcPr>
            <w:tcW w:w="1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3,507</w:t>
            </w: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Real estate development and capital improvements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141,775</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100,114</w:t>
            </w:r>
          </w:p>
        </w:tc>
        <w:tc>
          <w:tcPr>
            <w:tcW w:w="14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41,661</w:t>
            </w:r>
          </w:p>
        </w:tc>
      </w:tr>
      <w:tr>
        <w:trPr>
          <w:trHeight w:val="20"/>
        </w:trPr>
        <w:tc>
          <w:tcPr>
            <w:tcW w:w="4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-179070</wp:posOffset>
            </wp:positionV>
            <wp:extent cx="9461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-179070</wp:posOffset>
            </wp:positionV>
            <wp:extent cx="9461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6" w:lineRule="exact"/>
        <w:rPr>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one land parcel for development, and two outparcels in 2024, and one land parcel for development in 2023.</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tenant improvements increased $13.0 million in 2024, primarily related to the timing and volume of capital projects.</w:t>
      </w:r>
    </w:p>
    <w:p>
      <w:pPr>
        <w:spacing w:after="0" w:line="63" w:lineRule="exact"/>
        <w:rPr>
          <w:rFonts w:ascii="Times New Roman" w:cs="Times New Roman" w:eastAsia="Times New Roman" w:hAnsi="Times New Roman"/>
          <w:sz w:val="18"/>
          <w:szCs w:val="18"/>
          <w:color w:val="auto"/>
        </w:rPr>
      </w:pPr>
    </w:p>
    <w:p>
      <w:pPr>
        <w:ind w:left="760" w:right="200" w:hanging="378"/>
        <w:spacing w:after="0" w:line="258"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Redevelopment costs are higher than prior year. We intend to continuously improve our portfolio of shopping centers through redevelopment which can include adjacent land acquisition, existing building expansion, facade renovation, new out-parcel building construction, and redevelopment related tenant improvement costs. The size and magnitude of each redevelopment project varies with each redevelopment plan. The timing and duration of these projects could also result in volatility in NOI. See the tables below for more details about our redevelopment projects.</w:t>
      </w:r>
    </w:p>
    <w:p>
      <w:pPr>
        <w:spacing w:after="0" w:line="21" w:lineRule="exact"/>
        <w:rPr>
          <w:rFonts w:ascii="Times New Roman" w:cs="Times New Roman" w:eastAsia="Times New Roman" w:hAnsi="Times New Roman"/>
          <w:sz w:val="18"/>
          <w:szCs w:val="18"/>
          <w:color w:val="auto"/>
        </w:rPr>
      </w:pPr>
    </w:p>
    <w:p>
      <w:pPr>
        <w:ind w:left="760" w:right="200" w:hanging="378"/>
        <w:spacing w:after="0" w:line="281"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costs are higher in 2024 due to the progress towards completion of our development projects in process. See the tables below for more details about our development projects.</w:t>
      </w:r>
    </w:p>
    <w:p>
      <w:pPr>
        <w:spacing w:after="0" w:line="1" w:lineRule="exact"/>
        <w:rPr>
          <w:rFonts w:ascii="Times New Roman" w:cs="Times New Roman" w:eastAsia="Times New Roman" w:hAnsi="Times New Roman"/>
          <w:sz w:val="18"/>
          <w:szCs w:val="18"/>
          <w:color w:val="auto"/>
        </w:rPr>
      </w:pPr>
    </w:p>
    <w:p>
      <w:pPr>
        <w:ind w:left="760" w:right="60" w:hanging="378"/>
        <w:spacing w:after="0" w:line="261"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capitalized on our development and redevelopment projects and is based on cumulative actual costs expended. We cease interest capitalization when the property is no longer being developed or is available for occupancy upon substantial completion of tenant improvements, but in no event would we capitalize interest on the project beyond 12 months after the anchor tenant opens for business. If we reduce our development and redevelopment activity, the amount of interest that we capitalize may be lower than historical averages.</w:t>
      </w:r>
    </w:p>
    <w:p>
      <w:pPr>
        <w:spacing w:after="0" w:line="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staff of employees who directly support our development program, which includes redevelopment of our existing properties. Internal compensation costs directly attributable to these activities are capitalized as part of each project.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development projects in-process and completed: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 except cost PSF)</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11"/>
                <w:szCs w:val="11"/>
                <w:color w:val="auto"/>
              </w:rPr>
            </w:pPr>
          </w:p>
        </w:tc>
        <w:tc>
          <w:tcPr>
            <w:tcW w:w="960" w:type="dxa"/>
            <w:vAlign w:val="bottom"/>
          </w:tcPr>
          <w:p>
            <w:pPr>
              <w:jc w:val="center"/>
              <w:ind w:right="151"/>
              <w:spacing w:after="0" w:line="131" w:lineRule="exact"/>
              <w:rPr>
                <w:sz w:val="20"/>
                <w:szCs w:val="20"/>
                <w:color w:val="auto"/>
              </w:rPr>
            </w:pPr>
            <w:r>
              <w:rPr>
                <w:rFonts w:ascii="Times New Roman" w:cs="Times New Roman" w:eastAsia="Times New Roman" w:hAnsi="Times New Roman"/>
                <w:sz w:val="14"/>
                <w:szCs w:val="14"/>
                <w:b w:val="1"/>
                <w:bCs w:val="1"/>
                <w:color w:val="auto"/>
              </w:rPr>
              <w:t>Estimated /</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Start</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31"/>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Actual Net</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Cost PSF</w:t>
            </w:r>
          </w:p>
        </w:tc>
        <w:tc>
          <w:tcPr>
            <w:tcW w:w="14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 Costs</w:t>
            </w:r>
          </w:p>
        </w:tc>
        <w:tc>
          <w:tcPr>
            <w:tcW w:w="0" w:type="dxa"/>
            <w:vAlign w:val="bottom"/>
          </w:tcPr>
          <w:p>
            <w:pPr>
              <w:spacing w:after="0"/>
              <w:rPr>
                <w:sz w:val="1"/>
                <w:szCs w:val="1"/>
                <w:color w:val="auto"/>
              </w:rPr>
            </w:pPr>
          </w:p>
        </w:tc>
      </w:tr>
      <w:tr>
        <w:trPr>
          <w:trHeight w:val="146"/>
        </w:trPr>
        <w:tc>
          <w:tcPr>
            <w:tcW w:w="21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1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20" w:type="dxa"/>
            <w:vAlign w:val="bottom"/>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Ownership </w:t>
            </w:r>
            <w:r>
              <w:rPr>
                <w:rFonts w:ascii="Times New Roman" w:cs="Times New Roman" w:eastAsia="Times New Roman" w:hAnsi="Times New Roman"/>
                <w:sz w:val="19"/>
                <w:szCs w:val="19"/>
                <w:b w:val="1"/>
                <w:bCs w:val="1"/>
                <w:color w:val="auto"/>
                <w:vertAlign w:val="superscript"/>
              </w:rPr>
              <w:t>(3)</w:t>
            </w: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Stabilization</w:t>
            </w:r>
          </w:p>
        </w:tc>
        <w:tc>
          <w:tcPr>
            <w:tcW w:w="1040" w:type="dxa"/>
            <w:vAlign w:val="bottom"/>
            <w:gridSpan w:val="2"/>
          </w:tcPr>
          <w:p>
            <w:pPr>
              <w:jc w:val="center"/>
              <w:ind w:right="51"/>
              <w:spacing w:after="0" w:line="146"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2"/>
                <w:szCs w:val="12"/>
                <w:color w:val="auto"/>
              </w:rPr>
            </w:pP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xml:space="preserve">GLA </w:t>
            </w:r>
            <w:r>
              <w:rPr>
                <w:rFonts w:ascii="Times New Roman" w:cs="Times New Roman" w:eastAsia="Times New Roman" w:hAnsi="Times New Roman"/>
                <w:sz w:val="19"/>
                <w:szCs w:val="19"/>
                <w:b w:val="1"/>
                <w:bCs w:val="1"/>
                <w:color w:val="auto"/>
                <w:vertAlign w:val="superscript"/>
              </w:rPr>
              <w:t>(3)</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6"/>
                <w:szCs w:val="16"/>
                <w:color w:val="auto"/>
              </w:rPr>
            </w:pPr>
          </w:p>
        </w:tc>
        <w:tc>
          <w:tcPr>
            <w:tcW w:w="114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4"/>
                <w:szCs w:val="14"/>
                <w:b w:val="1"/>
                <w:bCs w:val="1"/>
                <w:color w:val="auto"/>
                <w:w w:val="91"/>
              </w:rPr>
              <w:t xml:space="preserve">Year </w:t>
            </w:r>
            <w:r>
              <w:rPr>
                <w:rFonts w:ascii="Times New Roman" w:cs="Times New Roman" w:eastAsia="Times New Roman" w:hAnsi="Times New Roman"/>
                <w:sz w:val="19"/>
                <w:szCs w:val="19"/>
                <w:b w:val="1"/>
                <w:bCs w:val="1"/>
                <w:color w:val="auto"/>
                <w:w w:val="91"/>
                <w:vertAlign w:val="superscript"/>
              </w:rPr>
              <w:t>(1)</w:t>
            </w:r>
          </w:p>
        </w:tc>
        <w:tc>
          <w:tcPr>
            <w:tcW w:w="80" w:type="dxa"/>
            <w:vAlign w:val="bottom"/>
          </w:tcPr>
          <w:p>
            <w:pPr>
              <w:spacing w:after="0"/>
              <w:rPr>
                <w:sz w:val="16"/>
                <w:szCs w:val="16"/>
                <w:color w:val="auto"/>
              </w:rPr>
            </w:pPr>
          </w:p>
        </w:tc>
        <w:tc>
          <w:tcPr>
            <w:tcW w:w="960" w:type="dxa"/>
            <w:vAlign w:val="bottom"/>
          </w:tcPr>
          <w:p>
            <w:pPr>
              <w:jc w:val="center"/>
              <w:ind w:right="151"/>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Costs</w:t>
            </w:r>
            <w:r>
              <w:rPr>
                <w:rFonts w:ascii="Times New Roman" w:cs="Times New Roman" w:eastAsia="Times New Roman" w:hAnsi="Times New Roman"/>
                <w:sz w:val="8"/>
                <w:szCs w:val="8"/>
                <w:b w:val="1"/>
                <w:bCs w:val="1"/>
                <w:color w:val="auto"/>
              </w:rPr>
              <w:t xml:space="preserve"> (2) (3)</w:t>
            </w: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18"/>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of GLA</w:t>
            </w:r>
            <w:r>
              <w:rPr>
                <w:rFonts w:ascii="Times New Roman" w:cs="Times New Roman" w:eastAsia="Times New Roman" w:hAnsi="Times New Roman"/>
                <w:sz w:val="8"/>
                <w:szCs w:val="8"/>
                <w:b w:val="1"/>
                <w:bCs w:val="1"/>
                <w:color w:val="auto"/>
              </w:rPr>
              <w:t xml:space="preserve"> (2) (3)</w:t>
            </w:r>
          </w:p>
        </w:tc>
        <w:tc>
          <w:tcPr>
            <w:tcW w:w="14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0" w:type="dxa"/>
            <w:vAlign w:val="bottom"/>
          </w:tcPr>
          <w:p>
            <w:pPr>
              <w:spacing w:after="0"/>
              <w:rPr>
                <w:sz w:val="1"/>
                <w:szCs w:val="1"/>
                <w:color w:val="auto"/>
              </w:rPr>
            </w:pPr>
          </w:p>
        </w:tc>
      </w:tr>
      <w:tr>
        <w:trPr>
          <w:trHeight w:val="345"/>
        </w:trPr>
        <w:tc>
          <w:tcPr>
            <w:tcW w:w="2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Developments In-Process</w:t>
            </w:r>
          </w:p>
        </w:tc>
        <w:tc>
          <w:tcPr>
            <w:tcW w:w="1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Glenwood Green</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Metro NYC</w:t>
            </w:r>
          </w:p>
        </w:tc>
        <w:tc>
          <w:tcPr>
            <w:tcW w:w="12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70%</w:t>
            </w: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Q1-22</w:t>
            </w:r>
          </w:p>
        </w:tc>
        <w:tc>
          <w:tcPr>
            <w:tcW w:w="112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2025</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46,172</w:t>
            </w:r>
          </w:p>
        </w:tc>
        <w:tc>
          <w:tcPr>
            <w:tcW w:w="9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247</w:t>
            </w:r>
          </w:p>
        </w:tc>
        <w:tc>
          <w:tcPr>
            <w:tcW w:w="112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4"/>
                <w:szCs w:val="14"/>
                <w:color w:val="auto"/>
              </w:rPr>
              <w:t>187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Baybrook East - Phase 1B</w:t>
            </w:r>
          </w:p>
        </w:tc>
        <w:tc>
          <w:tcPr>
            <w:tcW w:w="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Houston, TX</w:t>
            </w:r>
          </w:p>
        </w:tc>
        <w:tc>
          <w:tcPr>
            <w:tcW w:w="12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Q2-22</w:t>
            </w:r>
          </w:p>
        </w:tc>
        <w:tc>
          <w:tcPr>
            <w:tcW w:w="11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2026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9,792</w:t>
            </w: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77</w:t>
            </w:r>
          </w:p>
        </w:tc>
        <w:tc>
          <w:tcPr>
            <w:tcW w:w="1120" w:type="dxa"/>
            <w:vAlign w:val="bottom"/>
            <w:gridSpan w:val="2"/>
          </w:tcPr>
          <w:p>
            <w:pPr>
              <w:jc w:val="right"/>
              <w:ind w:right="58"/>
              <w:spacing w:after="0"/>
              <w:rPr>
                <w:sz w:val="20"/>
                <w:szCs w:val="20"/>
                <w:color w:val="auto"/>
              </w:rPr>
            </w:pPr>
            <w:r>
              <w:rPr>
                <w:rFonts w:ascii="Times New Roman" w:cs="Times New Roman" w:eastAsia="Times New Roman" w:hAnsi="Times New Roman"/>
                <w:sz w:val="14"/>
                <w:szCs w:val="14"/>
                <w:color w:val="auto"/>
              </w:rPr>
              <w:t>127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Sienna - Phase 1</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Houston, TX</w:t>
            </w:r>
          </w:p>
        </w:tc>
        <w:tc>
          <w:tcPr>
            <w:tcW w:w="12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75%</w:t>
            </w: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Q2-23</w:t>
            </w:r>
          </w:p>
        </w:tc>
        <w:tc>
          <w:tcPr>
            <w:tcW w:w="112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2027</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9,409</w:t>
            </w:r>
          </w:p>
        </w:tc>
        <w:tc>
          <w:tcPr>
            <w:tcW w:w="9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12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4"/>
                <w:szCs w:val="14"/>
                <w:color w:val="auto"/>
              </w:rPr>
              <w:t>409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Shops at SunVet</w:t>
            </w:r>
          </w:p>
        </w:tc>
        <w:tc>
          <w:tcPr>
            <w:tcW w:w="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Long Island, NY</w:t>
            </w:r>
          </w:p>
        </w:tc>
        <w:tc>
          <w:tcPr>
            <w:tcW w:w="12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Q2-23</w:t>
            </w:r>
          </w:p>
        </w:tc>
        <w:tc>
          <w:tcPr>
            <w:tcW w:w="11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2027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86,872</w:t>
            </w: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170</w:t>
            </w:r>
          </w:p>
        </w:tc>
        <w:tc>
          <w:tcPr>
            <w:tcW w:w="1120" w:type="dxa"/>
            <w:vAlign w:val="bottom"/>
            <w:gridSpan w:val="2"/>
          </w:tcPr>
          <w:p>
            <w:pPr>
              <w:jc w:val="right"/>
              <w:ind w:right="58"/>
              <w:spacing w:after="0"/>
              <w:rPr>
                <w:sz w:val="20"/>
                <w:szCs w:val="20"/>
                <w:color w:val="auto"/>
              </w:rPr>
            </w:pPr>
            <w:r>
              <w:rPr>
                <w:rFonts w:ascii="Times New Roman" w:cs="Times New Roman" w:eastAsia="Times New Roman" w:hAnsi="Times New Roman"/>
                <w:sz w:val="14"/>
                <w:szCs w:val="14"/>
                <w:color w:val="auto"/>
              </w:rPr>
              <w:t>511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The Shops at Stone Bridge</w:t>
            </w:r>
          </w:p>
        </w:tc>
        <w:tc>
          <w:tcPr>
            <w:tcW w:w="12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Cheshire, CT</w:t>
            </w:r>
          </w:p>
        </w:tc>
        <w:tc>
          <w:tcPr>
            <w:tcW w:w="126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Q1-24</w:t>
            </w:r>
          </w:p>
        </w:tc>
        <w:tc>
          <w:tcPr>
            <w:tcW w:w="1120" w:type="dxa"/>
            <w:vAlign w:val="bottom"/>
            <w:tcBorders>
              <w:bottom w:val="single" w:sz="8" w:color="CFF0FC"/>
            </w:tcBorders>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2027</w:t>
            </w:r>
          </w:p>
        </w:tc>
        <w:tc>
          <w:tcPr>
            <w:tcW w:w="1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68,277</w:t>
            </w:r>
          </w:p>
        </w:tc>
        <w:tc>
          <w:tcPr>
            <w:tcW w:w="1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155</w:t>
            </w: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4"/>
                <w:szCs w:val="14"/>
                <w:color w:val="auto"/>
              </w:rPr>
              <w:t>440</w:t>
            </w:r>
          </w:p>
        </w:tc>
        <w:tc>
          <w:tcPr>
            <w:tcW w:w="14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6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Total Developments In-Process</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1"/>
              <w:spacing w:after="0" w:line="155" w:lineRule="exact"/>
              <w:rPr>
                <w:sz w:val="20"/>
                <w:szCs w:val="20"/>
                <w:color w:val="auto"/>
              </w:rPr>
            </w:pPr>
            <w:r>
              <w:rPr>
                <w:rFonts w:ascii="Times New Roman" w:cs="Times New Roman" w:eastAsia="Times New Roman" w:hAnsi="Times New Roman"/>
                <w:sz w:val="14"/>
                <w:szCs w:val="14"/>
                <w:color w:val="auto"/>
              </w:rPr>
              <w:t>220,522</w:t>
            </w:r>
          </w:p>
        </w:tc>
        <w:tc>
          <w:tcPr>
            <w:tcW w:w="94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672</w:t>
            </w:r>
          </w:p>
        </w:tc>
        <w:tc>
          <w:tcPr>
            <w:tcW w:w="1120" w:type="dxa"/>
            <w:vAlign w:val="bottom"/>
            <w:gridSpan w:val="2"/>
          </w:tcPr>
          <w:p>
            <w:pPr>
              <w:jc w:val="right"/>
              <w:ind w:right="58"/>
              <w:spacing w:after="0" w:line="155" w:lineRule="exact"/>
              <w:rPr>
                <w:sz w:val="20"/>
                <w:szCs w:val="20"/>
                <w:color w:val="auto"/>
              </w:rPr>
            </w:pPr>
            <w:r>
              <w:rPr>
                <w:rFonts w:ascii="Times New Roman" w:cs="Times New Roman" w:eastAsia="Times New Roman" w:hAnsi="Times New Roman"/>
                <w:sz w:val="14"/>
                <w:szCs w:val="14"/>
                <w:color w:val="auto"/>
              </w:rPr>
              <w:t>328</w:t>
            </w:r>
          </w:p>
        </w:tc>
        <w:tc>
          <w:tcPr>
            <w:tcW w:w="11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49 %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-145415</wp:posOffset>
            </wp:positionV>
            <wp:extent cx="857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-145415</wp:posOffset>
            </wp:positionV>
            <wp:extent cx="857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-145415</wp:posOffset>
            </wp:positionV>
            <wp:extent cx="8572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2" w:lineRule="exact"/>
        <w:rPr>
          <w:sz w:val="20"/>
          <w:szCs w:val="20"/>
          <w:color w:val="auto"/>
        </w:rPr>
      </w:pPr>
    </w:p>
    <w:p>
      <w:pPr>
        <w:ind w:left="260" w:hanging="252"/>
        <w:spacing w:after="0"/>
        <w:tabs>
          <w:tab w:leader="none" w:pos="260" w:val="left"/>
        </w:tabs>
        <w:numPr>
          <w:ilvl w:val="0"/>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Estimated Stabilization Year represents the estimated first full calendar year that the project will reach our expected stabilized yield.</w:t>
      </w:r>
    </w:p>
    <w:p>
      <w:pPr>
        <w:spacing w:after="0" w:line="64" w:lineRule="exact"/>
        <w:rPr>
          <w:rFonts w:ascii="Times New Roman" w:cs="Times New Roman" w:eastAsia="Times New Roman" w:hAnsi="Times New Roman"/>
          <w:sz w:val="22"/>
          <w:szCs w:val="22"/>
          <w:color w:val="auto"/>
          <w:vertAlign w:val="superscript"/>
        </w:rPr>
      </w:pPr>
    </w:p>
    <w:p>
      <w:pPr>
        <w:ind w:left="260" w:hanging="252"/>
        <w:spacing w:after="0" w:line="182" w:lineRule="auto"/>
        <w:tabs>
          <w:tab w:leader="none" w:pos="260" w:val="left"/>
        </w:tabs>
        <w:numPr>
          <w:ilvl w:val="0"/>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leasing costs and is net of tenant reimbursements.</w:t>
      </w:r>
    </w:p>
    <w:p>
      <w:pPr>
        <w:spacing w:after="0" w:line="64" w:lineRule="exact"/>
        <w:rPr>
          <w:rFonts w:ascii="Times New Roman" w:cs="Times New Roman" w:eastAsia="Times New Roman" w:hAnsi="Times New Roman"/>
          <w:sz w:val="22"/>
          <w:szCs w:val="22"/>
          <w:color w:val="auto"/>
          <w:vertAlign w:val="superscript"/>
        </w:rPr>
      </w:pPr>
    </w:p>
    <w:p>
      <w:pPr>
        <w:ind w:left="260" w:hanging="252"/>
        <w:spacing w:after="0" w:line="182" w:lineRule="auto"/>
        <w:tabs>
          <w:tab w:leader="none" w:pos="260" w:val="left"/>
        </w:tabs>
        <w:numPr>
          <w:ilvl w:val="0"/>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Estimated Net Development Costs and GLA are reported based on Regency’s ownership interest in the real estate partnership at completion.</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4"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The following table summarizes our redevelopment projects in process and completed: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 except cost PSF)</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Estimated Net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 Costs</w:t>
            </w:r>
          </w:p>
        </w:tc>
        <w:tc>
          <w:tcPr>
            <w:tcW w:w="0" w:type="dxa"/>
            <w:vAlign w:val="bottom"/>
          </w:tcPr>
          <w:p>
            <w:pPr>
              <w:spacing w:after="0"/>
              <w:rPr>
                <w:sz w:val="1"/>
                <w:szCs w:val="1"/>
                <w:color w:val="auto"/>
              </w:rPr>
            </w:pPr>
          </w:p>
        </w:tc>
      </w:tr>
      <w:tr>
        <w:trPr>
          <w:trHeight w:val="146"/>
        </w:trPr>
        <w:tc>
          <w:tcPr>
            <w:tcW w:w="304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1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6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 xml:space="preserve">Ownership </w:t>
            </w:r>
            <w:r>
              <w:rPr>
                <w:rFonts w:ascii="Times New Roman" w:cs="Times New Roman" w:eastAsia="Times New Roman" w:hAnsi="Times New Roman"/>
                <w:sz w:val="19"/>
                <w:szCs w:val="19"/>
                <w:b w:val="1"/>
                <w:bCs w:val="1"/>
                <w:color w:val="auto"/>
                <w:w w:val="99"/>
                <w:vertAlign w:val="superscript"/>
              </w:rPr>
              <w:t>(3)</w:t>
            </w:r>
          </w:p>
        </w:tc>
        <w:tc>
          <w:tcPr>
            <w:tcW w:w="16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Start Date</w:t>
            </w: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Stabilization</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xml:space="preserve">GLA </w:t>
            </w:r>
            <w:r>
              <w:rPr>
                <w:rFonts w:ascii="Times New Roman" w:cs="Times New Roman" w:eastAsia="Times New Roman" w:hAnsi="Times New Roman"/>
                <w:sz w:val="19"/>
                <w:szCs w:val="19"/>
                <w:b w:val="1"/>
                <w:bCs w:val="1"/>
                <w:color w:val="auto"/>
                <w:vertAlign w:val="superscript"/>
              </w:rPr>
              <w:t>(3)</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4"/>
                <w:szCs w:val="14"/>
                <w:b w:val="1"/>
                <w:bCs w:val="1"/>
                <w:color w:val="auto"/>
                <w:w w:val="91"/>
              </w:rPr>
              <w:t xml:space="preserve">Year </w:t>
            </w:r>
            <w:r>
              <w:rPr>
                <w:rFonts w:ascii="Times New Roman" w:cs="Times New Roman" w:eastAsia="Times New Roman" w:hAnsi="Times New Roman"/>
                <w:sz w:val="19"/>
                <w:szCs w:val="19"/>
                <w:b w:val="1"/>
                <w:bCs w:val="1"/>
                <w:color w:val="auto"/>
                <w:w w:val="91"/>
                <w:vertAlign w:val="superscript"/>
              </w:rPr>
              <w:t>(1)</w:t>
            </w:r>
          </w:p>
        </w:tc>
        <w:tc>
          <w:tcPr>
            <w:tcW w:w="126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Project Costs </w:t>
            </w:r>
            <w:r>
              <w:rPr>
                <w:rFonts w:ascii="Times New Roman" w:cs="Times New Roman" w:eastAsia="Times New Roman" w:hAnsi="Times New Roman"/>
                <w:sz w:val="19"/>
                <w:szCs w:val="19"/>
                <w:b w:val="1"/>
                <w:bCs w:val="1"/>
                <w:color w:val="auto"/>
                <w:vertAlign w:val="superscript"/>
              </w:rPr>
              <w:t>(2) (3)</w:t>
            </w: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0" w:type="dxa"/>
            <w:vAlign w:val="bottom"/>
          </w:tcPr>
          <w:p>
            <w:pPr>
              <w:spacing w:after="0"/>
              <w:rPr>
                <w:sz w:val="1"/>
                <w:szCs w:val="1"/>
                <w:color w:val="auto"/>
              </w:rPr>
            </w:pPr>
          </w:p>
        </w:tc>
      </w:tr>
      <w:tr>
        <w:trPr>
          <w:trHeight w:val="345"/>
        </w:trPr>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Redevelopments In-Process</w:t>
            </w:r>
          </w:p>
        </w:tc>
        <w:tc>
          <w:tcPr>
            <w:tcW w:w="16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The Abbot</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Boston, MA</w:t>
            </w:r>
          </w:p>
        </w:tc>
        <w:tc>
          <w:tcPr>
            <w:tcW w:w="108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Q2-19</w:t>
            </w:r>
          </w:p>
        </w:tc>
        <w:tc>
          <w:tcPr>
            <w:tcW w:w="120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w w:val="99"/>
              </w:rPr>
              <w:t>2026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59,854</w:t>
            </w: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Westbard Square Phase I</w:t>
            </w: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Bethesda, MD</w:t>
            </w:r>
          </w:p>
        </w:tc>
        <w:tc>
          <w:tcPr>
            <w:tcW w:w="10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Q2-21</w:t>
            </w:r>
          </w:p>
        </w:tc>
        <w:tc>
          <w:tcPr>
            <w:tcW w:w="120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39,500</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Buckhead Landing</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Atlanta, GA</w:t>
            </w:r>
          </w:p>
        </w:tc>
        <w:tc>
          <w:tcPr>
            <w:tcW w:w="108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Q2-22</w:t>
            </w:r>
          </w:p>
        </w:tc>
        <w:tc>
          <w:tcPr>
            <w:tcW w:w="120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30,859</w:t>
            </w: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Bloom on Third (fka Town and Country Center)</w:t>
            </w: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Los Angeles, CA</w:t>
            </w:r>
          </w:p>
        </w:tc>
        <w:tc>
          <w:tcPr>
            <w:tcW w:w="10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Q4-22</w:t>
            </w:r>
          </w:p>
        </w:tc>
        <w:tc>
          <w:tcPr>
            <w:tcW w:w="120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2027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24,525</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Mandarin Landing</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Jacksonville, FL</w:t>
            </w:r>
          </w:p>
        </w:tc>
        <w:tc>
          <w:tcPr>
            <w:tcW w:w="108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Q2-23</w:t>
            </w:r>
          </w:p>
        </w:tc>
        <w:tc>
          <w:tcPr>
            <w:tcW w:w="120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16,422</w:t>
            </w: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Serramonte Center - Phase 3</w:t>
            </w: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San Francisco, CA</w:t>
            </w:r>
          </w:p>
        </w:tc>
        <w:tc>
          <w:tcPr>
            <w:tcW w:w="10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Q2-23</w:t>
            </w:r>
          </w:p>
        </w:tc>
        <w:tc>
          <w:tcPr>
            <w:tcW w:w="120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36,989</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1,072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Circle Marina Center</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Los Angeles, CA</w:t>
            </w:r>
          </w:p>
        </w:tc>
        <w:tc>
          <w:tcPr>
            <w:tcW w:w="108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Q3-23</w:t>
            </w:r>
          </w:p>
        </w:tc>
        <w:tc>
          <w:tcPr>
            <w:tcW w:w="120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14,986</w:t>
            </w: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Avenida Biscayne</w:t>
            </w: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Miami, FL</w:t>
            </w:r>
          </w:p>
        </w:tc>
        <w:tc>
          <w:tcPr>
            <w:tcW w:w="10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Q4-23</w:t>
            </w:r>
          </w:p>
        </w:tc>
        <w:tc>
          <w:tcPr>
            <w:tcW w:w="120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2026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22,743</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Cambridge Square</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Atlanta, GA</w:t>
            </w:r>
          </w:p>
        </w:tc>
        <w:tc>
          <w:tcPr>
            <w:tcW w:w="108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Q4-23</w:t>
            </w:r>
          </w:p>
        </w:tc>
        <w:tc>
          <w:tcPr>
            <w:tcW w:w="120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w w:val="99"/>
              </w:rPr>
              <w:t>2026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15,002</w:t>
            </w: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Various Redevelopments</w:t>
            </w: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10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83% - 100%</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16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Various</w:t>
            </w:r>
          </w:p>
        </w:tc>
        <w:tc>
          <w:tcPr>
            <w:tcW w:w="1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96,192</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3,097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4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Redevelopments In-Process</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4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357,072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4,919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Redevelopments Completed</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Various Properties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108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4"/>
                <w:szCs w:val="14"/>
                <w:color w:val="auto"/>
                <w:w w:val="99"/>
              </w:rPr>
              <w:t>Various</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14,773</w:t>
            </w: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Redevelopments Completed</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14,773</w:t>
            </w:r>
          </w:p>
        </w:tc>
        <w:tc>
          <w:tcPr>
            <w:tcW w:w="1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-505460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-487680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-625475</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-505460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-487680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-625475</wp:posOffset>
            </wp:positionV>
            <wp:extent cx="685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 w:lineRule="exact"/>
        <w:rPr>
          <w:sz w:val="20"/>
          <w:szCs w:val="20"/>
          <w:color w:val="auto"/>
        </w:rPr>
      </w:pPr>
    </w:p>
    <w:p>
      <w:pPr>
        <w:ind w:left="260" w:hanging="252"/>
        <w:spacing w:after="0"/>
        <w:tabs>
          <w:tab w:leader="none" w:pos="26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Estimated Stabilization Year represents the estimated first full calendar year that the project will reach our expected stabilized yield.</w:t>
      </w:r>
    </w:p>
    <w:p>
      <w:pPr>
        <w:spacing w:after="0" w:line="64" w:lineRule="exact"/>
        <w:rPr>
          <w:rFonts w:ascii="Times New Roman" w:cs="Times New Roman" w:eastAsia="Times New Roman" w:hAnsi="Times New Roman"/>
          <w:sz w:val="22"/>
          <w:szCs w:val="22"/>
          <w:color w:val="auto"/>
          <w:vertAlign w:val="superscript"/>
        </w:rPr>
      </w:pPr>
    </w:p>
    <w:p>
      <w:pPr>
        <w:ind w:left="260" w:hanging="252"/>
        <w:spacing w:after="0" w:line="182" w:lineRule="auto"/>
        <w:tabs>
          <w:tab w:leader="none" w:pos="26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leasing costs and is net of tenant reimbursements.</w:t>
      </w:r>
    </w:p>
    <w:p>
      <w:pPr>
        <w:spacing w:after="0" w:line="64" w:lineRule="exact"/>
        <w:rPr>
          <w:rFonts w:ascii="Times New Roman" w:cs="Times New Roman" w:eastAsia="Times New Roman" w:hAnsi="Times New Roman"/>
          <w:sz w:val="22"/>
          <w:szCs w:val="22"/>
          <w:color w:val="auto"/>
          <w:vertAlign w:val="superscript"/>
        </w:rPr>
      </w:pPr>
    </w:p>
    <w:p>
      <w:pPr>
        <w:ind w:left="260" w:hanging="252"/>
        <w:spacing w:after="0" w:line="182" w:lineRule="auto"/>
        <w:tabs>
          <w:tab w:leader="none" w:pos="26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Estimated Net Development Costs and GLA are reported based on Regency’s ownership interest in the real estate partnership at completion.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cash used in financing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financing activities changed by $0.4 million during 2024, as follows: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5880" w:type="dxa"/>
            <w:vAlign w:val="bottom"/>
          </w:tcPr>
          <w:p>
            <w:pPr>
              <w:spacing w:after="0"/>
              <w:rPr>
                <w:sz w:val="19"/>
                <w:szCs w:val="19"/>
                <w:color w:val="auto"/>
              </w:rPr>
            </w:pPr>
          </w:p>
        </w:tc>
        <w:tc>
          <w:tcPr>
            <w:tcW w:w="204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9"/>
                <w:szCs w:val="19"/>
                <w:color w:val="auto"/>
              </w:rPr>
            </w:pPr>
          </w:p>
        </w:tc>
        <w:tc>
          <w:tcPr>
            <w:tcW w:w="7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proceeds from common stock issuances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Repurchase of common shares in conjunction with equity award plans</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(8,776 )</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(7,621 )</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(1,155 )</w:t>
            </w: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shares repurchased through share repurchase program</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(200,066 )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(20,006 )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(180,060 )</w:t>
            </w: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3,001</w:t>
            </w:r>
          </w:p>
        </w:tc>
        <w:tc>
          <w:tcPr>
            <w:tcW w:w="10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1,225</w:t>
            </w:r>
          </w:p>
        </w:tc>
        <w:tc>
          <w:tcPr>
            <w:tcW w:w="10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1,776</w:t>
            </w: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and redemptions of non-controlling interests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(6,254 )</w:t>
            </w:r>
          </w:p>
        </w:tc>
        <w:tc>
          <w:tcPr>
            <w:tcW w:w="1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(6,254 )</w:t>
            </w: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Dividend payments and operating partnership distributions</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(255,442 )</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(223,239 )</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(32,203 )</w:t>
            </w: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unsecured credit facilities, net</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158,000</w:t>
            </w:r>
          </w:p>
        </w:tc>
        <w:tc>
          <w:tcPr>
            <w:tcW w:w="1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158,000</w:t>
            </w: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issuance of fixed rate unsecured notes, net of debt discount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398,468</w:t>
            </w:r>
          </w:p>
        </w:tc>
        <w:tc>
          <w:tcPr>
            <w:tcW w:w="10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15,500</w:t>
            </w:r>
          </w:p>
        </w:tc>
        <w:tc>
          <w:tcPr>
            <w:tcW w:w="10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382,968</w:t>
            </w: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Debt repayment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(344,190 )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(34,670 )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(309,520 )</w:t>
            </w: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Payment of loan costs</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(13,453 )</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(13,312 )</w:t>
            </w:r>
          </w:p>
        </w:tc>
      </w:tr>
      <w:tr>
        <w:trPr>
          <w:trHeight w:val="223"/>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treasury stock</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182</w:t>
            </w:r>
          </w:p>
        </w:tc>
      </w:tr>
      <w:tr>
        <w:trPr>
          <w:trHeight w:val="263"/>
        </w:trPr>
        <w:tc>
          <w:tcPr>
            <w:tcW w:w="5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(268,502 )</w:t>
            </w:r>
          </w:p>
        </w:tc>
        <w:tc>
          <w:tcPr>
            <w:tcW w:w="1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(268,934 )</w:t>
            </w:r>
          </w:p>
        </w:tc>
        <w:tc>
          <w:tcPr>
            <w:tcW w:w="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6032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032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514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514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financing activities during the six months ended June 30, 2024 and 2023, include the following:</w:t>
      </w:r>
    </w:p>
    <w:p>
      <w:pPr>
        <w:spacing w:after="0" w:line="63" w:lineRule="exact"/>
        <w:rPr>
          <w:sz w:val="20"/>
          <w:szCs w:val="20"/>
          <w:color w:val="auto"/>
        </w:rPr>
      </w:pPr>
    </w:p>
    <w:p>
      <w:pPr>
        <w:ind w:left="760" w:right="720" w:hanging="378"/>
        <w:spacing w:after="0" w:line="281"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a portion of the common stock granted to employees for stock based compensation to satisfy employee tax withholding requirements, which totaled $8.8 million and $7.6 million during 2024 and 2023, respectively.</w:t>
      </w:r>
    </w:p>
    <w:p>
      <w:pPr>
        <w:spacing w:after="0" w:line="1" w:lineRule="exact"/>
        <w:rPr>
          <w:rFonts w:ascii="Times New Roman" w:cs="Times New Roman" w:eastAsia="Times New Roman" w:hAnsi="Times New Roman"/>
          <w:sz w:val="18"/>
          <w:szCs w:val="18"/>
          <w:color w:val="auto"/>
        </w:rPr>
      </w:pPr>
    </w:p>
    <w:p>
      <w:pPr>
        <w:ind w:left="760" w:right="60" w:hanging="378"/>
        <w:spacing w:after="0" w:line="281"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paid $200.0 million to repurchase 3,306,709 shares of our common stock under our Repurchase Program, as compared to $20.0 million to repurchase 349,519 shares of our common stock during 2023.</w:t>
      </w:r>
    </w:p>
    <w:p>
      <w:pPr>
        <w:spacing w:after="0" w:line="1" w:lineRule="exact"/>
        <w:rPr>
          <w:rFonts w:ascii="Times New Roman" w:cs="Times New Roman" w:eastAsia="Times New Roman" w:hAnsi="Times New Roman"/>
          <w:sz w:val="18"/>
          <w:szCs w:val="18"/>
          <w:color w:val="auto"/>
        </w:rPr>
      </w:pPr>
    </w:p>
    <w:p>
      <w:pPr>
        <w:ind w:left="760" w:right="500" w:hanging="378"/>
        <w:spacing w:after="0" w:line="266"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received $3.0 million in contributions for the limited partners' share of development funding. During 2023, received $1.2 million net from limited partners, including $3.1 million of contributions from limited partners for their share of debt repayments and development funding, partially offset by $1.9 million in distributions to limited partners.</w:t>
      </w:r>
    </w:p>
    <w:p>
      <w:pPr>
        <w:spacing w:after="0" w:line="13" w:lineRule="exact"/>
        <w:rPr>
          <w:rFonts w:ascii="Times New Roman" w:cs="Times New Roman" w:eastAsia="Times New Roman" w:hAnsi="Times New Roman"/>
          <w:sz w:val="18"/>
          <w:szCs w:val="18"/>
          <w:color w:val="auto"/>
        </w:rPr>
      </w:pPr>
    </w:p>
    <w:p>
      <w:pPr>
        <w:ind w:left="760" w:right="200" w:hanging="378"/>
        <w:spacing w:after="0" w:line="281"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distributed $6.3 million to limited partners, including proceeds to partially redeem a non-controlling interest in one real estate partnership.</w:t>
      </w:r>
    </w:p>
    <w:p>
      <w:pPr>
        <w:spacing w:after="0" w:line="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$32.2 million more in dividends as a result of an increase in our dividend rate per share and the number of shares of our common stock outstanding, as well as preferred dividends which commenced in late 2023 as a result of the UBP acquisition.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4" w:right="319" w:bottom="1440" w:gutter="0" w:footer="0" w:header="0"/>
        </w:sectPr>
      </w:pPr>
    </w:p>
    <w:bookmarkStart w:id="48" w:name="page49"/>
    <w:bookmarkEnd w:id="48"/>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the following debt related activity during 2024:</w:t>
      </w:r>
    </w:p>
    <w:p>
      <w:pPr>
        <w:spacing w:after="0" w:line="63" w:lineRule="exact"/>
        <w:rPr>
          <w:sz w:val="20"/>
          <w:szCs w:val="20"/>
          <w:color w:val="auto"/>
        </w:rPr>
      </w:pPr>
    </w:p>
    <w:p>
      <w:pPr>
        <w:ind w:left="1500" w:hanging="369"/>
        <w:spacing w:after="0"/>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drew $158.0 million in net proceeds from our Line,</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$398.5 million in proceeds from issuing unsecured public debt,</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$344.2 million for debt repayments, including:</w:t>
      </w:r>
    </w:p>
    <w:p>
      <w:pPr>
        <w:spacing w:after="0" w:line="63"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million in unsecured public debt repayments,</w:t>
      </w:r>
    </w:p>
    <w:p>
      <w:pPr>
        <w:spacing w:after="0" w:line="63"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$88.1 million for repaying three mortgage loans at maturity, and</w:t>
      </w:r>
    </w:p>
    <w:p>
      <w:pPr>
        <w:spacing w:after="0" w:line="63"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million in principal mortgage payments.</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$13.5 million in loan costs relating to the recast of the Line as well as the unsecured public debt offering.</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the following debt related activity during 2023:</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 million in proceeds from a mortgage refinancing,</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$34.7 million for debt repayments, including:</w:t>
      </w:r>
    </w:p>
    <w:p>
      <w:pPr>
        <w:spacing w:after="0" w:line="63"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million in principal mortgage payments, and</w:t>
      </w:r>
    </w:p>
    <w:p>
      <w:pPr>
        <w:spacing w:after="0" w:line="63"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 million to repay four mortgage loans at maturity.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Investments in Real Estate Partnerships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unconsolidated combined assets and liabilities of our real estate partnerships and our Pro-rata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11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3"/>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 xml:space="preserve">Regency's Share </w:t>
            </w:r>
            <w:r>
              <w:rPr>
                <w:rFonts w:ascii="Times New Roman" w:cs="Times New Roman" w:eastAsia="Times New Roman" w:hAnsi="Times New Roman"/>
                <w:sz w:val="21"/>
                <w:szCs w:val="21"/>
                <w:b w:val="1"/>
                <w:bCs w:val="1"/>
                <w:color w:val="auto"/>
                <w:vertAlign w:val="superscript"/>
              </w:rPr>
              <w:t>(1)</w:t>
            </w: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9"/>
                <w:szCs w:val="19"/>
                <w:color w:val="auto"/>
              </w:rPr>
            </w:pPr>
          </w:p>
        </w:tc>
        <w:tc>
          <w:tcPr>
            <w:tcW w:w="170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Number of real estate partnerships</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r>
      <w:tr>
        <w:trPr>
          <w:trHeight w:val="220"/>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Regency's ownership</w:t>
            </w:r>
          </w:p>
        </w:tc>
        <w:tc>
          <w:tcPr>
            <w:tcW w:w="20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 - 83%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 - 67%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9"/>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Number of properties</w:t>
            </w: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r>
      <w:tr>
        <w:trPr>
          <w:trHeight w:val="220"/>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2,722,697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2,689,993</w:t>
            </w:r>
          </w:p>
        </w:tc>
        <w:tc>
          <w:tcPr>
            <w:tcW w:w="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1,007,387</w:t>
            </w:r>
          </w:p>
        </w:tc>
        <w:tc>
          <w:tcPr>
            <w:tcW w:w="1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984,027</w:t>
            </w:r>
          </w:p>
        </w:tc>
      </w:tr>
      <w:tr>
        <w:trPr>
          <w:trHeight w:val="239"/>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1,624,520</w:t>
            </w: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1,595,271</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582,847</w:t>
            </w:r>
          </w:p>
        </w:tc>
        <w:tc>
          <w:tcPr>
            <w:tcW w:w="18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565,822</w:t>
            </w:r>
          </w:p>
        </w:tc>
      </w:tr>
      <w:tr>
        <w:trPr>
          <w:trHeight w:val="220"/>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0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1,098,177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1,094,722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424,540</w:t>
            </w:r>
          </w:p>
        </w:tc>
        <w:tc>
          <w:tcPr>
            <w:tcW w:w="1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418,205</w:t>
            </w:r>
          </w:p>
        </w:tc>
      </w:tr>
      <w:tr>
        <w:trPr>
          <w:trHeight w:val="239"/>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Basis difference</w:t>
            </w: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(46,449 )</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(47,600 )</w:t>
            </w:r>
          </w:p>
        </w:tc>
      </w:tr>
      <w:tr>
        <w:trPr>
          <w:trHeight w:val="216"/>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378,091</w:t>
            </w:r>
          </w:p>
        </w:tc>
        <w:tc>
          <w:tcPr>
            <w:tcW w:w="1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370,605</w:t>
            </w: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260" w:right="160" w:hanging="252"/>
        <w:spacing w:after="0" w:line="237" w:lineRule="auto"/>
        <w:tabs>
          <w:tab w:leader="none" w:pos="260"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Pro-rata financial information is not, and is not intended to be, a presentation in accordance with GAAP. However, management believes that providing such information is useful to investors in assessing the impact of its investments in real estate partnership activities on our operations, which includes such items on a single line presentation under the equity method in our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equity method investments in real estate partnerships consist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Regency's Ownership</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20"/>
                <w:szCs w:val="20"/>
                <w:color w:val="auto"/>
              </w:rPr>
            </w:pPr>
          </w:p>
        </w:tc>
        <w:tc>
          <w:tcPr>
            <w:tcW w:w="2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GRI - Regency, LLC (GRIR)</w:t>
            </w: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5"/>
              </w:rPr>
              <w:t>40%</w:t>
            </w:r>
          </w:p>
        </w:tc>
        <w:tc>
          <w:tcPr>
            <w:tcW w:w="4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141,659</w:t>
            </w:r>
          </w:p>
        </w:tc>
        <w:tc>
          <w:tcPr>
            <w:tcW w:w="2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144,371</w:t>
            </w:r>
          </w:p>
        </w:tc>
      </w:tr>
      <w:tr>
        <w:trPr>
          <w:trHeight w:val="22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Columbia Regency Retail Partners, LLC (Columbia I)</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6,825</w:t>
            </w:r>
          </w:p>
        </w:tc>
        <w:tc>
          <w:tcPr>
            <w:tcW w:w="2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7,045</w:t>
            </w:r>
          </w:p>
        </w:tc>
      </w:tr>
      <w:tr>
        <w:trPr>
          <w:trHeight w:val="23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Columbia Regency Partners II, LLC (Columbia II)</w:t>
            </w: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5"/>
              </w:rPr>
              <w:t>20%</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43,091</w:t>
            </w:r>
          </w:p>
        </w:tc>
        <w:tc>
          <w:tcPr>
            <w:tcW w:w="2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42,994</w:t>
            </w:r>
          </w:p>
        </w:tc>
      </w:tr>
      <w:tr>
        <w:trPr>
          <w:trHeight w:val="22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Columbia Village District, LLC</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6,192</w:t>
            </w:r>
          </w:p>
        </w:tc>
        <w:tc>
          <w:tcPr>
            <w:tcW w:w="2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6,123</w:t>
            </w:r>
          </w:p>
        </w:tc>
      </w:tr>
      <w:tr>
        <w:trPr>
          <w:trHeight w:val="23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Individual Investors</w:t>
            </w:r>
          </w:p>
        </w:tc>
        <w:tc>
          <w:tcPr>
            <w:tcW w:w="2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r>
      <w:tr>
        <w:trPr>
          <w:trHeight w:val="220"/>
        </w:trPr>
        <w:tc>
          <w:tcPr>
            <w:tcW w:w="4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Ballard Blocks</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60,739</w:t>
            </w:r>
          </w:p>
        </w:tc>
        <w:tc>
          <w:tcPr>
            <w:tcW w:w="2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62,140</w:t>
            </w:r>
          </w:p>
        </w:tc>
      </w:tr>
      <w:tr>
        <w:trPr>
          <w:trHeight w:val="239"/>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Bloom on Third</w:t>
            </w: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5"/>
              </w:rPr>
              <w:t>35%</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44,040</w:t>
            </w:r>
          </w:p>
        </w:tc>
        <w:tc>
          <w:tcPr>
            <w:tcW w:w="2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42,074</w:t>
            </w:r>
          </w:p>
        </w:tc>
      </w:tr>
      <w:tr>
        <w:trPr>
          <w:trHeight w:val="226"/>
        </w:trPr>
        <w:tc>
          <w:tcPr>
            <w:tcW w:w="4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Others</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 - 83%</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75,545</w:t>
            </w:r>
          </w:p>
        </w:tc>
        <w:tc>
          <w:tcPr>
            <w:tcW w:w="180" w:type="dxa"/>
            <w:vAlign w:val="bottom"/>
          </w:tcPr>
          <w:p>
            <w:pPr>
              <w:spacing w:after="0"/>
              <w:rPr>
                <w:sz w:val="19"/>
                <w:szCs w:val="19"/>
                <w:color w:val="auto"/>
              </w:rPr>
            </w:pPr>
          </w:p>
        </w:tc>
        <w:tc>
          <w:tcPr>
            <w:tcW w:w="2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65,858</w:t>
            </w:r>
          </w:p>
        </w:tc>
      </w:tr>
      <w:tr>
        <w:trPr>
          <w:trHeight w:val="260"/>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Investment in real estate partnerships</w:t>
            </w:r>
          </w:p>
        </w:tc>
        <w:tc>
          <w:tcPr>
            <w:tcW w:w="20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378,091</w:t>
            </w:r>
          </w:p>
        </w:tc>
        <w:tc>
          <w:tcPr>
            <w:tcW w:w="180" w:type="dxa"/>
            <w:vAlign w:val="bottom"/>
            <w:tcBorders>
              <w:bottom w:val="single" w:sz="8" w:color="CFF0FC"/>
            </w:tcBorders>
            <w:shd w:val="clear" w:color="auto" w:fill="CFF0FC"/>
          </w:tcPr>
          <w:p>
            <w:pPr>
              <w:spacing w:after="0"/>
              <w:rPr>
                <w:sz w:val="22"/>
                <w:szCs w:val="22"/>
                <w:color w:val="auto"/>
              </w:rPr>
            </w:pPr>
          </w:p>
        </w:tc>
        <w:tc>
          <w:tcPr>
            <w:tcW w:w="2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370,605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-24765</wp:posOffset>
            </wp:positionV>
            <wp:extent cx="12001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12001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Notes Payable - Investments in Real Estate Partnerships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principal repayments on notes payable held by our investments in real estate partnerships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94"/>
        </w:trPr>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Scheduled</w:t>
            </w:r>
          </w:p>
        </w:tc>
        <w:tc>
          <w:tcPr>
            <w:tcW w:w="120" w:type="dxa"/>
            <w:vAlign w:val="bottom"/>
          </w:tcPr>
          <w:p>
            <w:pPr>
              <w:spacing w:after="0"/>
              <w:rPr>
                <w:sz w:val="16"/>
                <w:szCs w:val="16"/>
                <w:color w:val="auto"/>
              </w:rPr>
            </w:pPr>
          </w:p>
        </w:tc>
        <w:tc>
          <w:tcPr>
            <w:tcW w:w="12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Regency’s</w:t>
            </w:r>
          </w:p>
        </w:tc>
      </w:tr>
      <w:tr>
        <w:trPr>
          <w:trHeight w:val="203"/>
        </w:trPr>
        <w:tc>
          <w:tcPr>
            <w:tcW w:w="4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20" w:type="dxa"/>
            <w:vAlign w:val="bottom"/>
          </w:tcPr>
          <w:p>
            <w:pPr>
              <w:spacing w:after="0"/>
              <w:rPr>
                <w:sz w:val="17"/>
                <w:szCs w:val="17"/>
                <w:color w:val="auto"/>
              </w:rPr>
            </w:pPr>
          </w:p>
        </w:tc>
        <w:tc>
          <w:tcPr>
            <w:tcW w:w="12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Loan</w:t>
            </w:r>
          </w:p>
        </w:tc>
        <w:tc>
          <w:tcPr>
            <w:tcW w:w="140" w:type="dxa"/>
            <w:vAlign w:val="bottom"/>
          </w:tcPr>
          <w:p>
            <w:pPr>
              <w:spacing w:after="0"/>
              <w:rPr>
                <w:sz w:val="17"/>
                <w:szCs w:val="17"/>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Unsecured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Pro-Rata</w:t>
            </w:r>
          </w:p>
        </w:tc>
      </w:tr>
      <w:tr>
        <w:trPr>
          <w:trHeight w:val="225"/>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Scheduled Principal Payments and Maturities by Year:</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Payments</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Maturities</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Share</w:t>
            </w:r>
          </w:p>
        </w:tc>
      </w:tr>
      <w:tr>
        <w:trPr>
          <w:trHeight w:val="230"/>
        </w:trPr>
        <w:tc>
          <w:tcPr>
            <w:tcW w:w="440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2024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1,872</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7,008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8,880</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4,047</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6,094</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148,461</w:t>
            </w:r>
          </w:p>
        </w:tc>
        <w:tc>
          <w:tcPr>
            <w:tcW w:w="1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154,555</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49,157</w:t>
            </w: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7,393</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255,081</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42,800</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305,274</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101,344</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7,576</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32,800</w:t>
            </w:r>
          </w:p>
        </w:tc>
        <w:tc>
          <w:tcPr>
            <w:tcW w:w="1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40,376</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13,669</w:t>
            </w: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4,267</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246,605</w:t>
            </w: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250,872</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92,027</w:t>
            </w:r>
          </w:p>
        </w:tc>
      </w:tr>
      <w:tr>
        <w:trPr>
          <w:trHeight w:val="22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Beyond 5 Years</w:t>
            </w:r>
          </w:p>
        </w:tc>
        <w:tc>
          <w:tcPr>
            <w:tcW w:w="1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6,688</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771,324</w:t>
            </w:r>
          </w:p>
        </w:tc>
        <w:tc>
          <w:tcPr>
            <w:tcW w:w="1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778,012</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293,128</w:t>
            </w:r>
          </w:p>
        </w:tc>
      </w:tr>
      <w:tr>
        <w:trPr>
          <w:trHeight w:val="236"/>
        </w:trPr>
        <w:tc>
          <w:tcPr>
            <w:tcW w:w="45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unamortized loan costs, debt premium / (discount)</w:t>
            </w: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(9,736 )</w:t>
            </w:r>
          </w:p>
        </w:tc>
        <w:tc>
          <w:tcPr>
            <w:tcW w:w="1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(9,736 )</w:t>
            </w:r>
          </w:p>
        </w:tc>
        <w:tc>
          <w:tcPr>
            <w:tcW w:w="1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(3,564 )</w:t>
            </w:r>
          </w:p>
        </w:tc>
      </w:tr>
      <w:tr>
        <w:trPr>
          <w:trHeight w:val="22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33,890</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1,451,543</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42,800</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1,528,233</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549,808</w:t>
            </w:r>
          </w:p>
        </w:tc>
      </w:tr>
      <w:tr>
        <w:trPr>
          <w:trHeight w:val="20"/>
        </w:trPr>
        <w:tc>
          <w:tcPr>
            <w:tcW w:w="4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-179070</wp:posOffset>
            </wp:positionV>
            <wp:extent cx="768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-179070</wp:posOffset>
            </wp:positionV>
            <wp:extent cx="768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-179070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-179070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60" w:hanging="252"/>
        <w:spacing w:after="0" w:line="237" w:lineRule="auto"/>
        <w:tabs>
          <w:tab w:leader="none" w:pos="260" w:val="left"/>
        </w:tabs>
        <w:numPr>
          <w:ilvl w:val="0"/>
          <w:numId w:val="5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Reflects scheduled principal payments and maturities for the remainder of the year.</w:t>
      </w:r>
    </w:p>
    <w:p>
      <w:pPr>
        <w:spacing w:after="0" w:line="1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June 30, 2024, our investments in real estate partnerships had notes payable of $1.5 billion maturing through 2034, of which 93.8% had a weighted average fixed interest rate of 3.8%. The remaining notes payable float with SOFR and had a weighted average variable interest rate of 7.4%, based on rates as of June 30, 2024. These fixed and variable rate notes payable are all non-recourse, and our Pro-rata share was $549.8 million as of June 30, 2024. As notes payable mature, they are expected to be repaid from proceeds from new borrowings and/or partner capital contributions. Refinancing debt at maturity in the current interest rate environment could result in higher interest expense in future periods if rates remain elevated.</w:t>
      </w:r>
    </w:p>
    <w:p>
      <w:pPr>
        <w:spacing w:after="0" w:line="1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believe that our partners are financially sound and have sufficient capital or access thereto to fund future capital requirements. In the event that a real estate investment partner is unable to fund its share of the capital requirements of the real estate partnership, we would have the right, but not the obligation, to loan the defaulting partner the amount of its capital call which would be secured by the partner's membership interest.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fee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earning our Pro-rata share of net income or loss in each of these real estate partnerships, we receive fees as shown below:</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3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9"/>
                <w:szCs w:val="19"/>
                <w:color w:val="auto"/>
              </w:rPr>
            </w:pPr>
          </w:p>
        </w:tc>
        <w:tc>
          <w:tcPr>
            <w:tcW w:w="12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2"/>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 management, property management, leasing,</w:t>
            </w:r>
          </w:p>
        </w:tc>
        <w:tc>
          <w:tcPr>
            <w:tcW w:w="2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and other transaction fees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6,735</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7,106</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13,130</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13,144</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from the information provided in the "Critical Accounting Estimates" section of "Item 7. Management's Discussion and Analysis of Financial Condition and Results of Operations" in our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two significant components of interest rate risk:</w:t>
      </w:r>
    </w:p>
    <w:p>
      <w:pPr>
        <w:spacing w:after="0" w:line="63" w:lineRule="exact"/>
        <w:rPr>
          <w:sz w:val="20"/>
          <w:szCs w:val="20"/>
          <w:color w:val="auto"/>
        </w:rPr>
      </w:pPr>
    </w:p>
    <w:p>
      <w:pPr>
        <w:ind w:left="760" w:right="500" w:hanging="378"/>
        <w:spacing w:after="0" w:line="266"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Line, we have a variable interest rate that, as of June 30, 2024, was based upon an annual rate of SOFR plus a 0.10% market adjustment ("Adjusted SOFR") plus an applicable margin of 0.715%. SOFR rates charged on our Line change monthly, and the applicable margin on the Line is dependent upon the Company's maintenance of specific credit ratings and leverage parameters.</w:t>
      </w:r>
    </w:p>
    <w:p>
      <w:pPr>
        <w:spacing w:after="0" w:line="13"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also exposed to the impact of interest rate changes on future earnings and cash flows. To mitigate that risk, we generally borrow with fixed rate debt and we may use derivative instruments to fix the interest rate on our variable rate debt.</w:t>
      </w:r>
    </w:p>
    <w:p>
      <w:pPr>
        <w:spacing w:after="0" w:line="10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table below presents the principal cash flows, weighted average interest rates of remaining debt, and the fair value of total debt as of June 30, 2024. For variable rate mortgages and unsecured credit facilities for which we have interest rate swaps in place to fix the interest rate, they are included in the Fixed rate debt section below at their all-in fixed rate. The table is presented by year of expected maturity to evaluate the expected cash flows and sensitivity to interest rate changes. Although the average interest rate for variable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50" w:name="page51"/>
    <w:bookmarkEnd w:id="50"/>
    <w:p>
      <w:pPr>
        <w:ind w:right="100"/>
        <w:spacing w:after="0" w:line="261" w:lineRule="auto"/>
        <w:rPr>
          <w:sz w:val="20"/>
          <w:szCs w:val="20"/>
          <w:color w:val="auto"/>
        </w:rPr>
      </w:pPr>
      <w:r>
        <w:rPr>
          <w:rFonts w:ascii="Times New Roman" w:cs="Times New Roman" w:eastAsia="Times New Roman" w:hAnsi="Times New Roman"/>
          <w:sz w:val="18"/>
          <w:szCs w:val="18"/>
          <w:color w:val="auto"/>
        </w:rPr>
        <w:t>rate debt is included in the table, those rates represent rates that existed as of June 30, 2024, and are subject to change. In addition, we continually assess the market risk for floating rate debt and believe that an increase of 100 basis points in interest rates would decrease future earnings and cash flows by approximately $3.1 million per year based on $313.8 million of floating rate mortgage debt and floating rate line of credit balances outstanding at June 30, 2024.</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 the table below incorporates only those exposures that exist as of June 30, 2024, and does not consider exposures or positions that could arise after that date or obligations repaid before maturity. Since firm commitments are not presented, the table has limited predictive value. As a result, our ultimate realized gain or loss with respect to interest rate fluctuations will depend on the exposures that arise during the period, our hedging strategies at that time, and actual interest rates.</w:t>
      </w:r>
    </w:p>
    <w:p>
      <w:pPr>
        <w:spacing w:after="0" w:line="126"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table below presents the principal cash flow payments associated with our outstanding debt by year, weighted average interest rates on debt outstanding at each year-end, and fair value of total debt as of June 30, 2024.</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9"/>
        </w:trPr>
        <w:tc>
          <w:tcPr>
            <w:tcW w:w="274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Fixed rate debt </w:t>
            </w:r>
            <w:r>
              <w:rPr>
                <w:rFonts w:ascii="Times New Roman" w:cs="Times New Roman" w:eastAsia="Times New Roman" w:hAnsi="Times New Roman"/>
                <w:sz w:val="19"/>
                <w:szCs w:val="19"/>
                <w:color w:val="auto"/>
                <w:vertAlign w:val="superscript"/>
              </w:rPr>
              <w:t>(1)</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58,159</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308,465</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357,770</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754,572</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341,882</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2,264,045</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4,084,893</w:t>
            </w:r>
          </w:p>
        </w:tc>
        <w:tc>
          <w:tcPr>
            <w:tcW w:w="10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3,796,239</w:t>
            </w: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Average interest rate for all fixed rate debt </w:t>
            </w:r>
            <w:r>
              <w:rPr>
                <w:rFonts w:ascii="Times New Roman" w:cs="Times New Roman" w:eastAsia="Times New Roman" w:hAnsi="Times New Roman"/>
                <w:sz w:val="19"/>
                <w:szCs w:val="19"/>
                <w:color w:val="auto"/>
                <w:vertAlign w:val="superscript"/>
              </w:rPr>
              <w:t>(2)</w:t>
            </w:r>
          </w:p>
        </w:tc>
        <w:tc>
          <w:tcPr>
            <w:tcW w:w="1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4.00 %</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4.02 %</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4.03 %</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4.13 %</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4.10 %</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4.36 %</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Variable rate SOFR debt </w:t>
            </w:r>
            <w:r>
              <w:rPr>
                <w:rFonts w:ascii="Times New Roman" w:cs="Times New Roman" w:eastAsia="Times New Roman" w:hAnsi="Times New Roman"/>
                <w:sz w:val="19"/>
                <w:szCs w:val="19"/>
                <w:color w:val="auto"/>
                <w:vertAlign w:val="superscript"/>
              </w:rPr>
              <w:t>(1)</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3,750</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310,000</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313,750</w:t>
            </w:r>
          </w:p>
        </w:tc>
        <w:tc>
          <w:tcPr>
            <w:tcW w:w="10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313,749</w:t>
            </w:r>
          </w:p>
        </w:tc>
        <w:tc>
          <w:tcPr>
            <w:tcW w:w="0" w:type="dxa"/>
            <w:vAlign w:val="bottom"/>
          </w:tcPr>
          <w:p>
            <w:pPr>
              <w:spacing w:after="0"/>
              <w:rPr>
                <w:sz w:val="1"/>
                <w:szCs w:val="1"/>
                <w:color w:val="auto"/>
              </w:rPr>
            </w:pPr>
          </w:p>
        </w:tc>
      </w:tr>
      <w:tr>
        <w:trPr>
          <w:trHeight w:val="135"/>
        </w:trPr>
        <w:tc>
          <w:tcPr>
            <w:tcW w:w="2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Average interest rate for all variable rate</w:t>
            </w:r>
          </w:p>
        </w:tc>
        <w:tc>
          <w:tcPr>
            <w:tcW w:w="180" w:type="dxa"/>
            <w:vAlign w:val="bottom"/>
          </w:tcPr>
          <w:p>
            <w:pPr>
              <w:spacing w:after="0"/>
              <w:rPr>
                <w:sz w:val="11"/>
                <w:szCs w:val="11"/>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6.16 %</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6.16 %</w:t>
            </w: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6.16 %</w:t>
            </w: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6.16 %</w:t>
            </w: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6.16 %</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debt </w:t>
            </w:r>
            <w:r>
              <w:rPr>
                <w:rFonts w:ascii="Times New Roman" w:cs="Times New Roman" w:eastAsia="Times New Roman" w:hAnsi="Times New Roman"/>
                <w:sz w:val="19"/>
                <w:szCs w:val="19"/>
                <w:color w:val="auto"/>
                <w:vertAlign w:val="superscript"/>
              </w:rPr>
              <w:t>(2)</w:t>
            </w:r>
          </w:p>
        </w:tc>
        <w:tc>
          <w:tcPr>
            <w:tcW w:w="18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00" w:hanging="292"/>
        <w:spacing w:after="0"/>
        <w:tabs>
          <w:tab w:leader="none" w:pos="300" w:val="left"/>
        </w:tabs>
        <w:numPr>
          <w:ilvl w:val="0"/>
          <w:numId w:val="6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Reflects amount of debt maturities during each of the years presented as of June 30, 2024.</w:t>
      </w:r>
    </w:p>
    <w:p>
      <w:pPr>
        <w:spacing w:after="0" w:line="30" w:lineRule="exact"/>
        <w:rPr>
          <w:rFonts w:ascii="Times New Roman" w:cs="Times New Roman" w:eastAsia="Times New Roman" w:hAnsi="Times New Roman"/>
          <w:sz w:val="19"/>
          <w:szCs w:val="19"/>
          <w:color w:val="auto"/>
          <w:vertAlign w:val="superscript"/>
        </w:rPr>
      </w:pPr>
    </w:p>
    <w:p>
      <w:pPr>
        <w:ind w:left="300" w:right="80" w:hanging="292"/>
        <w:spacing w:after="0" w:line="202" w:lineRule="auto"/>
        <w:tabs>
          <w:tab w:leader="none" w:pos="300" w:val="left"/>
        </w:tabs>
        <w:numPr>
          <w:ilvl w:val="0"/>
          <w:numId w:val="6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Reflects weighted average interest rates of debt outstanding at the end of each year presented. For variable rate debt, the rate as of June 30, 2024, was used to determine the average interest rate for all future periods.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(Regency Centers Corporation)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the Parent Company's management, including its chief executive officer and chief financial officer, the Parent Company conducted an evaluation of its disclosure controls and procedures, as such term is defined under Rule 13a-15(e) and 15d-15(e) promulgated under the Securities Exchange Act of 1934, as amended (the "Exchange Act"). Based on this evaluation, the Parent Company's chief executive officer and chief financial officer concluded that its disclosure controls and procedures were effective as of the end of the periods covered by this quarterly report on Form 10-Q to ensure information required to be disclosed in the reports filed or submitted under the Exchange Act is recorded, processed, summarized and reported, within the time period specified in the SEC's rules and forms. These disclosure controls and procedures include controls and procedures designed to ensure that information required to be disclosed by the Parent Company in the reports it files or submits is accumulated and communicated to management, including its chief executive officer and chief financial officer, as appropriate, to allow timely decisions regarding required disclosure.</w:t>
      </w:r>
    </w:p>
    <w:p>
      <w:pPr>
        <w:spacing w:after="0" w:line="13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Parent Company's internal controls over financial reporting identified in connection with this evaluation that occurred during the quarter ended June 30, 2024 which have materially affected, or are reasonably likely to materially affect, our internal controls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(Regency Centers, L.P.)</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the Operating Partnership's management, including the chief executive officer and chief financial officer of its general partner, the Operating Partnership conducted an evaluation of its disclosure controls and procedures, as such term is defined under Rule 13a-15(e) and 15d-15(e) promulgated under the Exchange Act. Based on this evaluation, the chief executive officer and chief financial officer of its general partner concluded that its disclosure controls and procedures were effective as of the end of the periods covered by this quarterly report on Form 10-Q to ensure information required to be disclosed in the reports filed or submitted under the Exchange Act is recorded, processed, summarized and reported, within the time period specified in the SEC's rules and forms. These disclosure controls and procedures include controls and procedures designed to ensure that information required to be disclosed by the Operating Partnership in the reports it files or submits is accumulated and communicated to management, including the chief executive officer and chief financial officer of its general partner, as appropriate, to allow timely decisions regarding required disclosure.</w:t>
      </w:r>
    </w:p>
    <w:p>
      <w:pPr>
        <w:spacing w:after="0" w:line="1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Operating Partnership's internal controls over financial reporting identified in connection with this evaluation that occurred during the the quarter ended June 30, 2024 which have materially affected, or are reasonably likely to materially affect, our internal controls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See Note 12 — Commitments and Contingencies in the Notes for discussion regarding material legal proceedings and contingencies. Except as set forth in such discussion, there have been no material developments in legal proceedings as reported in Item 3. “Legal Proceedings” of our 2023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Item 1A. of Part I of our Annual Report on Form 10-K for the year ended December 31, 2023 (“2023 Annual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three months ended June 30, 2024.</w:t>
      </w:r>
    </w:p>
    <w:p>
      <w:pPr>
        <w:spacing w:after="0" w:line="17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information with respect to purchases by the Parent Company of its common stock, by month, during the three months ended June 30, 2024:</w:t>
      </w:r>
    </w:p>
    <w:p>
      <w:pPr>
        <w:sectPr>
          <w:pgSz w:w="11900" w:h="16838" w:orient="portrait"/>
          <w:cols w:equalWidth="0" w:num="1">
            <w:col w:w="11240"/>
          </w:cols>
          <w:pgMar w:left="320" w:top="13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24599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April 1 through April 30, 2024</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May 1 through May 31, 2024</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June 1 through June 30, 2024</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Maximum number or</w:t>
            </w:r>
          </w:p>
        </w:tc>
      </w:tr>
      <w:tr>
        <w:trPr>
          <w:trHeight w:val="203"/>
        </w:trPr>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r>
      <w:tr>
        <w:trPr>
          <w:trHeight w:val="203"/>
        </w:trPr>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value of shares that</w:t>
            </w:r>
          </w:p>
        </w:tc>
      </w:tr>
      <w:tr>
        <w:trPr>
          <w:trHeight w:val="203"/>
        </w:trPr>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60" w:type="dxa"/>
            <w:vAlign w:val="bottom"/>
          </w:tcPr>
          <w:p>
            <w:pPr>
              <w:spacing w:after="0"/>
              <w:rPr>
                <w:sz w:val="17"/>
                <w:szCs w:val="17"/>
                <w:color w:val="auto"/>
              </w:rPr>
            </w:pPr>
          </w:p>
        </w:tc>
        <w:tc>
          <w:tcPr>
            <w:tcW w:w="164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may yet be purchased</w:t>
            </w:r>
          </w:p>
        </w:tc>
      </w:tr>
      <w:tr>
        <w:trPr>
          <w:trHeight w:val="203"/>
        </w:trPr>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purchased as part of</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under the plans or</w:t>
            </w:r>
          </w:p>
        </w:tc>
      </w:tr>
      <w:tr>
        <w:trPr>
          <w:trHeight w:val="175"/>
        </w:trPr>
        <w:tc>
          <w:tcPr>
            <w:tcW w:w="1900" w:type="dxa"/>
            <w:vAlign w:val="bottom"/>
          </w:tcPr>
          <w:p>
            <w:pPr>
              <w:jc w:val="right"/>
              <w:ind w:right="139"/>
              <w:spacing w:after="0" w:line="175" w:lineRule="exact"/>
              <w:rPr>
                <w:sz w:val="20"/>
                <w:szCs w:val="20"/>
                <w:color w:val="auto"/>
              </w:rPr>
            </w:pPr>
            <w:r>
              <w:rPr>
                <w:rFonts w:ascii="Times New Roman" w:cs="Times New Roman" w:eastAsia="Times New Roman" w:hAnsi="Times New Roman"/>
                <w:sz w:val="16"/>
                <w:szCs w:val="16"/>
                <w:b w:val="1"/>
                <w:bCs w:val="1"/>
                <w:color w:val="auto"/>
              </w:rPr>
              <w:t>Total number of shares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Average price</w:t>
            </w:r>
          </w:p>
        </w:tc>
        <w:tc>
          <w:tcPr>
            <w:tcW w:w="160" w:type="dxa"/>
            <w:vAlign w:val="bottom"/>
          </w:tcPr>
          <w:p>
            <w:pPr>
              <w:spacing w:after="0"/>
              <w:rPr>
                <w:sz w:val="15"/>
                <w:szCs w:val="15"/>
                <w:color w:val="auto"/>
              </w:rPr>
            </w:pPr>
          </w:p>
        </w:tc>
        <w:tc>
          <w:tcPr>
            <w:tcW w:w="1760" w:type="dxa"/>
            <w:vAlign w:val="bottom"/>
          </w:tcPr>
          <w:p>
            <w:pPr>
              <w:jc w:val="center"/>
              <w:ind w:right="79"/>
              <w:spacing w:after="0" w:line="175"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ind w:right="159"/>
              <w:spacing w:after="0" w:line="175" w:lineRule="exact"/>
              <w:rPr>
                <w:sz w:val="20"/>
                <w:szCs w:val="20"/>
                <w:color w:val="auto"/>
              </w:rPr>
            </w:pPr>
            <w:r>
              <w:rPr>
                <w:rFonts w:ascii="Times New Roman" w:cs="Times New Roman" w:eastAsia="Times New Roman" w:hAnsi="Times New Roman"/>
                <w:sz w:val="16"/>
                <w:szCs w:val="16"/>
                <w:b w:val="1"/>
                <w:bCs w:val="1"/>
                <w:color w:val="auto"/>
              </w:rPr>
              <w:t>programs (in</w:t>
            </w:r>
          </w:p>
        </w:tc>
      </w:tr>
      <w:tr>
        <w:trPr>
          <w:trHeight w:val="259"/>
        </w:trPr>
        <w:tc>
          <w:tcPr>
            <w:tcW w:w="19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4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60" w:type="dxa"/>
            <w:vAlign w:val="bottom"/>
          </w:tcPr>
          <w:p>
            <w:pPr>
              <w:spacing w:after="0"/>
              <w:rPr>
                <w:sz w:val="22"/>
                <w:szCs w:val="22"/>
                <w:color w:val="auto"/>
              </w:rPr>
            </w:pPr>
          </w:p>
        </w:tc>
        <w:tc>
          <w:tcPr>
            <w:tcW w:w="1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 xml:space="preserve">plans or programs </w:t>
            </w:r>
            <w:r>
              <w:rPr>
                <w:rFonts w:ascii="Times New Roman" w:cs="Times New Roman" w:eastAsia="Times New Roman" w:hAnsi="Times New Roman"/>
                <w:sz w:val="21"/>
                <w:szCs w:val="21"/>
                <w:b w:val="1"/>
                <w:bCs w:val="1"/>
                <w:color w:val="auto"/>
                <w:w w:val="98"/>
                <w:vertAlign w:val="superscript"/>
              </w:rPr>
              <w:t>(2)</w:t>
            </w: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6"/>
              </w:rPr>
              <w:t xml:space="preserve">thousands) </w:t>
            </w:r>
            <w:r>
              <w:rPr>
                <w:rFonts w:ascii="Times New Roman" w:cs="Times New Roman" w:eastAsia="Times New Roman" w:hAnsi="Times New Roman"/>
                <w:sz w:val="21"/>
                <w:szCs w:val="21"/>
                <w:b w:val="1"/>
                <w:bCs w:val="1"/>
                <w:color w:val="auto"/>
                <w:w w:val="96"/>
                <w:vertAlign w:val="superscript"/>
              </w:rPr>
              <w:t>(2)</w:t>
            </w:r>
          </w:p>
        </w:tc>
      </w:tr>
      <w:tr>
        <w:trPr>
          <w:trHeight w:val="204"/>
        </w:trPr>
        <w:tc>
          <w:tcPr>
            <w:tcW w:w="1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664</w:t>
            </w:r>
          </w:p>
        </w:tc>
        <w:tc>
          <w:tcPr>
            <w:tcW w:w="4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93"/>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58.80</w:t>
            </w:r>
          </w:p>
        </w:tc>
        <w:tc>
          <w:tcPr>
            <w:tcW w:w="160" w:type="dxa"/>
            <w:vAlign w:val="bottom"/>
          </w:tcPr>
          <w:p>
            <w:pPr>
              <w:spacing w:after="0"/>
              <w:rPr>
                <w:sz w:val="17"/>
                <w:szCs w:val="17"/>
                <w:color w:val="auto"/>
              </w:rPr>
            </w:pP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230,000</w:t>
            </w:r>
          </w:p>
        </w:tc>
      </w:tr>
      <w:tr>
        <w:trPr>
          <w:trHeight w:val="229"/>
        </w:trPr>
        <w:tc>
          <w:tcPr>
            <w:tcW w:w="1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1,612,989</w:t>
            </w:r>
          </w:p>
        </w:tc>
        <w:tc>
          <w:tcPr>
            <w:tcW w:w="4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59.61</w:t>
            </w:r>
          </w:p>
        </w:tc>
        <w:tc>
          <w:tcPr>
            <w:tcW w:w="19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1,612,873</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133,862</w:t>
            </w:r>
          </w:p>
        </w:tc>
      </w:tr>
      <w:tr>
        <w:trPr>
          <w:trHeight w:val="230"/>
        </w:trPr>
        <w:tc>
          <w:tcPr>
            <w:tcW w:w="1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1,693,836</w:t>
            </w:r>
          </w:p>
        </w:tc>
        <w:tc>
          <w:tcPr>
            <w:tcW w:w="4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61.32</w:t>
            </w:r>
          </w:p>
        </w:tc>
        <w:tc>
          <w:tcPr>
            <w:tcW w:w="19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1,693,836</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-424180</wp:posOffset>
            </wp:positionV>
            <wp:extent cx="7132320" cy="1460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-132715</wp:posOffset>
            </wp:positionV>
            <wp:extent cx="7132320" cy="1460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4" w:lineRule="exact"/>
        <w:rPr>
          <w:sz w:val="20"/>
          <w:szCs w:val="20"/>
          <w:color w:val="auto"/>
        </w:rPr>
      </w:pPr>
    </w:p>
    <w:p>
      <w:pPr>
        <w:sectPr>
          <w:pgSz w:w="11900" w:h="16838" w:orient="portrait"/>
          <w:cols w:equalWidth="0" w:num="2">
            <w:col w:w="3000" w:space="720"/>
            <w:col w:w="7520"/>
          </w:cols>
          <w:pgMar w:left="320" w:top="1386" w:right="339" w:bottom="1440" w:gutter="0" w:footer="0" w:header="0"/>
          <w:type w:val="continuous"/>
        </w:sectPr>
      </w:pPr>
    </w:p>
    <w:p>
      <w:pPr>
        <w:ind w:left="260" w:right="140" w:hanging="252"/>
        <w:spacing w:after="0" w:line="226" w:lineRule="auto"/>
        <w:tabs>
          <w:tab w:leader="none" w:pos="260"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shares repurchased to cover payment of withholding taxes in connection with restricted stock vesting by participants under Regency’s Long-Term Omnibus Plan.</w:t>
      </w:r>
    </w:p>
    <w:p>
      <w:pPr>
        <w:spacing w:after="0" w:line="47" w:lineRule="exact"/>
        <w:rPr>
          <w:rFonts w:ascii="Times New Roman" w:cs="Times New Roman" w:eastAsia="Times New Roman" w:hAnsi="Times New Roman"/>
          <w:sz w:val="22"/>
          <w:szCs w:val="22"/>
          <w:color w:val="auto"/>
          <w:vertAlign w:val="superscript"/>
        </w:rPr>
      </w:pPr>
    </w:p>
    <w:p>
      <w:pPr>
        <w:ind w:left="260" w:right="260" w:hanging="252"/>
        <w:spacing w:after="0" w:line="247" w:lineRule="auto"/>
        <w:tabs>
          <w:tab w:leader="none" w:pos="260"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Our Board has authorized a common stock repurchase program under which we may purchase up to a maximum of $250 million of our outstanding common stock through open market purchases, and/or in privately negotiated transactions. The timing and price of stock repurchases will be dependent upon market conditions and other factors. Any stock repurchased, if not retired, will be treated as treasury stock. This program was to expire on February 7, 2025, unless modified, extended or earlier terminated by the Board in its discretion</w:t>
      </w:r>
      <w:r>
        <w:rPr>
          <w:rFonts w:ascii="Times New Roman" w:cs="Times New Roman" w:eastAsia="Times New Roman" w:hAnsi="Times New Roman"/>
          <w:sz w:val="17"/>
          <w:szCs w:val="17"/>
          <w:color w:val="auto"/>
        </w:rPr>
        <w:t>.</w:t>
      </w:r>
    </w:p>
    <w:p>
      <w:pPr>
        <w:spacing w:after="0" w:line="3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On July 31, 2024, the Board authorized and approved a new common stock repurchase program that replaces and supercedes, in all respects, the current program noted above. Under the new program we may repurchase up to $250 million shares of the Company's outstanding common stock. The Company intends for repurchases, if any, to be through open market purchases in accordance with applicable federal securities laws, including Rule 10b-18 of the Exchange Act. The new program expires on June 30, 2026, unless modified, extended or earlier terminated by the Board at its discretion.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fiscal quarter ended June 30, 2024, none of our directors or officers (as defined in Rule 16a-1 under the Exchange Act) adopted or terminated a “Rule 10b5-1 trading arrangement” or “non-Rule 10b5-1 trading arrangement” (as those terms are defined in Item 408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reviewing any agreements included as exhibits to this Report, please remember they are included to provide you with information regarding their terms and are not intended to provide any other factual or disclosure information about the Company, its subsidiaries or other parties to the agreements. Each agreement contains representations and warranties by each of the parties to the applicable agreement. These representations and warranties have been made solely for the benefit of the other parties to the applicable agreement and:</w:t>
      </w:r>
    </w:p>
    <w:p>
      <w:pPr>
        <w:spacing w:after="0" w:line="18" w:lineRule="exact"/>
        <w:rPr>
          <w:sz w:val="20"/>
          <w:szCs w:val="20"/>
          <w:color w:val="auto"/>
        </w:rPr>
      </w:pPr>
    </w:p>
    <w:p>
      <w:pPr>
        <w:ind w:left="760" w:right="480" w:hanging="378"/>
        <w:spacing w:after="0" w:line="281"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in all instances be treated as categorical statements of fact, but rather as a way of allocating the risk to one of the parties if those statements prove to be inaccurate;</w:t>
      </w:r>
    </w:p>
    <w:p>
      <w:pPr>
        <w:spacing w:after="0" w:line="1" w:lineRule="exact"/>
        <w:rPr>
          <w:rFonts w:ascii="Times New Roman" w:cs="Times New Roman" w:eastAsia="Times New Roman" w:hAnsi="Times New Roman"/>
          <w:sz w:val="18"/>
          <w:szCs w:val="18"/>
          <w:color w:val="auto"/>
        </w:rPr>
      </w:pPr>
    </w:p>
    <w:p>
      <w:pPr>
        <w:ind w:left="760" w:right="500" w:hanging="378"/>
        <w:spacing w:after="0" w:line="281"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qualified by disclosures that were made to the other party in connection with the negotiation of the applicable agreement, which disclosures are not necessarily reflected in the agreement;</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standards of materiality in a way that is different from what may be viewed as material to you or other investors; and</w:t>
      </w:r>
    </w:p>
    <w:p>
      <w:pPr>
        <w:spacing w:after="0" w:line="63"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the applicable agreement or such other date or dates as may be specified in the agreement and are subject to more recent developments.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Accordingly, these representations and warranties may not describe the actual state of affairs as of the date they were made or at any other time. We acknowledge that, notwithstanding the inclusion of the foregoing cautionary statements, we are responsible for considering whether additional specific disclosures of material information regarding material contractual provisions are required to make the statements in this Report not misleading. Additional information about the Company may be found elsewhere in this Report and the Company's other public filings, which are available without charge through the SEC's website at http://www.sec.gov. Unless otherwise indicated below, the Commission file number to the exhibit is No. 001-12298 (Regency Centers Corporation) and 000-24763 (Regency Centers, L.P.).</w:t>
      </w:r>
    </w:p>
    <w:p>
      <w:pPr>
        <w:spacing w:after="0" w:line="129" w:lineRule="exact"/>
        <w:rPr>
          <w:sz w:val="20"/>
          <w:szCs w:val="20"/>
          <w:color w:val="auto"/>
        </w:rPr>
      </w:pPr>
    </w:p>
    <w:p>
      <w:pPr>
        <w:ind w:left="80"/>
        <w:spacing w:after="0"/>
        <w:tabs>
          <w:tab w:leader="none" w:pos="4040" w:val="left"/>
        </w:tabs>
        <w:rPr>
          <w:sz w:val="20"/>
          <w:szCs w:val="20"/>
          <w:color w:val="auto"/>
        </w:rPr>
      </w:pPr>
      <w:r>
        <w:rPr>
          <w:rFonts w:ascii="Times New Roman" w:cs="Times New Roman" w:eastAsia="Times New Roman" w:hAnsi="Times New Roman"/>
          <w:sz w:val="18"/>
          <w:szCs w:val="18"/>
          <w:b w:val="1"/>
          <w:bCs w:val="1"/>
          <w:color w:val="auto"/>
        </w:rPr>
        <w:t>Ex #</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121" w:lineRule="exact"/>
        <w:rPr>
          <w:sz w:val="20"/>
          <w:szCs w:val="20"/>
          <w:color w:val="auto"/>
        </w:rPr>
      </w:pPr>
    </w:p>
    <w:p>
      <w:pPr>
        <w:ind w:left="640" w:hanging="558"/>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13a-14(a)/15d-14(a) Certifications</w:t>
      </w:r>
    </w:p>
    <w:p>
      <w:pPr>
        <w:spacing w:after="0" w:line="77"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Rule 13a-14 Certification of Chief Executive Officer for Regency Centers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-7620</wp:posOffset>
            </wp:positionV>
            <wp:extent cx="399224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992245" cy="8890"/>
                    </a:xfrm>
                    <a:prstGeom prst="rect">
                      <a:avLst/>
                    </a:prstGeom>
                    <a:noFill/>
                  </pic:spPr>
                </pic:pic>
              </a:graphicData>
            </a:graphic>
          </wp:anchor>
        </w:drawing>
      </w:r>
    </w:p>
    <w:p>
      <w:pPr>
        <w:spacing w:after="0" w:line="57"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Rule 13a-14 Certification of Chief Financial Officer for Regency Centers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-7620</wp:posOffset>
            </wp:positionV>
            <wp:extent cx="396049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57"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u w:val="single" w:color="auto"/>
          <w:color w:val="0000FF"/>
        </w:rPr>
        <w:t>Rule 13a-14 Certification of Chief Executive Officer for Regency Centers,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-7620</wp:posOffset>
            </wp:positionV>
            <wp:extent cx="361823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618230" cy="8890"/>
                    </a:xfrm>
                    <a:prstGeom prst="rect">
                      <a:avLst/>
                    </a:prstGeom>
                    <a:noFill/>
                  </pic:spPr>
                </pic:pic>
              </a:graphicData>
            </a:graphic>
          </wp:anchor>
        </w:drawing>
      </w:r>
    </w:p>
    <w:p>
      <w:pPr>
        <w:spacing w:after="0" w:line="57"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7"/>
          <w:szCs w:val="17"/>
          <w:u w:val="single" w:color="auto"/>
          <w:color w:val="0000FF"/>
        </w:rPr>
        <w:t>Rule 13a-14 Certification of Chief Financial Officer for Regency Centers,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-7620</wp:posOffset>
            </wp:positionV>
            <wp:extent cx="35864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586480" cy="8255"/>
                    </a:xfrm>
                    <a:prstGeom prst="rect">
                      <a:avLst/>
                    </a:prstGeom>
                    <a:noFill/>
                  </pic:spPr>
                </pic:pic>
              </a:graphicData>
            </a:graphic>
          </wp:anchor>
        </w:drawing>
      </w:r>
    </w:p>
    <w:p>
      <w:pPr>
        <w:spacing w:after="0" w:line="97" w:lineRule="exact"/>
        <w:rPr>
          <w:sz w:val="20"/>
          <w:szCs w:val="20"/>
          <w:color w:val="auto"/>
        </w:rPr>
      </w:pPr>
    </w:p>
    <w:p>
      <w:pPr>
        <w:ind w:left="640" w:hanging="558"/>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1350 Certifications</w:t>
      </w:r>
    </w:p>
    <w:p>
      <w:pPr>
        <w:spacing w:after="0" w:line="77"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color w:val="auto"/>
        </w:rPr>
        <w:t>32.1 *</w:t>
      </w:r>
      <w:r>
        <w:rPr>
          <w:sz w:val="20"/>
          <w:szCs w:val="20"/>
          <w:color w:val="auto"/>
        </w:rPr>
        <w:tab/>
      </w:r>
      <w:r>
        <w:rPr>
          <w:rFonts w:ascii="Times New Roman" w:cs="Times New Roman" w:eastAsia="Times New Roman" w:hAnsi="Times New Roman"/>
          <w:sz w:val="18"/>
          <w:szCs w:val="18"/>
          <w:u w:val="single" w:color="auto"/>
          <w:color w:val="0000FF"/>
        </w:rPr>
        <w:t>18 U.S.C. § 1350 Certification of Chief Executive Officer for Regency Centers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-7620</wp:posOffset>
            </wp:positionV>
            <wp:extent cx="422402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57"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color w:val="auto"/>
        </w:rPr>
        <w:t>32.2 *</w:t>
      </w:r>
      <w:r>
        <w:rPr>
          <w:sz w:val="20"/>
          <w:szCs w:val="20"/>
          <w:color w:val="auto"/>
        </w:rPr>
        <w:tab/>
      </w:r>
      <w:r>
        <w:rPr>
          <w:rFonts w:ascii="Times New Roman" w:cs="Times New Roman" w:eastAsia="Times New Roman" w:hAnsi="Times New Roman"/>
          <w:sz w:val="17"/>
          <w:szCs w:val="17"/>
          <w:u w:val="single" w:color="auto"/>
          <w:color w:val="0000FF"/>
        </w:rPr>
        <w:t>18 U.S.C. § 1350 Certification of Chief Financial Officer for Regency Centers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-7620</wp:posOffset>
            </wp:positionV>
            <wp:extent cx="419290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192905" cy="8255"/>
                    </a:xfrm>
                    <a:prstGeom prst="rect">
                      <a:avLst/>
                    </a:prstGeom>
                    <a:noFill/>
                  </pic:spPr>
                </pic:pic>
              </a:graphicData>
            </a:graphic>
          </wp:anchor>
        </w:drawing>
      </w:r>
    </w:p>
    <w:p>
      <w:pPr>
        <w:spacing w:after="0" w:line="57"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color w:val="auto"/>
        </w:rPr>
        <w:t>32.3 *</w:t>
      </w:r>
      <w:r>
        <w:rPr>
          <w:sz w:val="20"/>
          <w:szCs w:val="20"/>
          <w:color w:val="auto"/>
        </w:rPr>
        <w:tab/>
      </w:r>
      <w:r>
        <w:rPr>
          <w:rFonts w:ascii="Times New Roman" w:cs="Times New Roman" w:eastAsia="Times New Roman" w:hAnsi="Times New Roman"/>
          <w:sz w:val="17"/>
          <w:szCs w:val="17"/>
          <w:u w:val="single" w:color="auto"/>
          <w:color w:val="0000FF"/>
        </w:rPr>
        <w:t>18 U.S.C. § 1350 Certification of Chief Executive Officer for Regency Centers,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-7620</wp:posOffset>
            </wp:positionV>
            <wp:extent cx="385000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50005" cy="8890"/>
                    </a:xfrm>
                    <a:prstGeom prst="rect">
                      <a:avLst/>
                    </a:prstGeom>
                    <a:noFill/>
                  </pic:spPr>
                </pic:pic>
              </a:graphicData>
            </a:graphic>
          </wp:anchor>
        </w:drawing>
      </w:r>
    </w:p>
    <w:p>
      <w:pPr>
        <w:spacing w:after="0" w:line="57"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color w:val="auto"/>
        </w:rPr>
        <w:t>32.4 *</w:t>
      </w:r>
      <w:r>
        <w:rPr>
          <w:sz w:val="20"/>
          <w:szCs w:val="20"/>
          <w:color w:val="auto"/>
        </w:rPr>
        <w:tab/>
      </w:r>
      <w:r>
        <w:rPr>
          <w:rFonts w:ascii="Times New Roman" w:cs="Times New Roman" w:eastAsia="Times New Roman" w:hAnsi="Times New Roman"/>
          <w:sz w:val="17"/>
          <w:szCs w:val="17"/>
          <w:u w:val="single" w:color="auto"/>
          <w:color w:val="0000FF"/>
        </w:rPr>
        <w:t>18 U.S.C. § 1350 Certification of Chief Financial Officer for Regency Centers,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-7620</wp:posOffset>
            </wp:positionV>
            <wp:extent cx="381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818255" cy="8255"/>
                    </a:xfrm>
                    <a:prstGeom prst="rect">
                      <a:avLst/>
                    </a:prstGeom>
                    <a:noFill/>
                  </pic:spPr>
                </pic:pic>
              </a:graphicData>
            </a:graphic>
          </wp:anchor>
        </w:drawing>
      </w:r>
    </w:p>
    <w:p>
      <w:pPr>
        <w:spacing w:after="0" w:line="97" w:lineRule="exact"/>
        <w:rPr>
          <w:sz w:val="20"/>
          <w:szCs w:val="20"/>
          <w:color w:val="auto"/>
        </w:rPr>
      </w:pPr>
    </w:p>
    <w:p>
      <w:pPr>
        <w:ind w:left="640" w:hanging="558"/>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w:t>
      </w:r>
    </w:p>
    <w:p>
      <w:pPr>
        <w:spacing w:after="0" w:line="77"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w:t>
            </w:r>
          </w:p>
        </w:tc>
      </w:tr>
      <w:tr>
        <w:trPr>
          <w:trHeight w:val="234"/>
        </w:trPr>
        <w:tc>
          <w:tcPr>
            <w:tcW w:w="760" w:type="dxa"/>
            <w:vAlign w:val="bottom"/>
          </w:tcPr>
          <w:p>
            <w:pPr>
              <w:spacing w:after="0"/>
              <w:rPr>
                <w:sz w:val="20"/>
                <w:szCs w:val="20"/>
                <w:color w:val="auto"/>
              </w:rPr>
            </w:pP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r>
    </w:tbl>
    <w:p>
      <w:pPr>
        <w:spacing w:after="0" w:line="49" w:lineRule="exact"/>
        <w:rPr>
          <w:sz w:val="20"/>
          <w:szCs w:val="20"/>
          <w:color w:val="auto"/>
        </w:rPr>
      </w:pPr>
    </w:p>
    <w:p>
      <w:pPr>
        <w:ind w:left="640" w:hanging="558"/>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17"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not filed.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 2024</w:t>
            </w:r>
          </w:p>
        </w:tc>
        <w:tc>
          <w:tcPr>
            <w:tcW w:w="79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tc>
      </w:tr>
      <w:tr>
        <w:trPr>
          <w:trHeight w:val="418"/>
        </w:trPr>
        <w:tc>
          <w:tcPr>
            <w:tcW w:w="3340" w:type="dxa"/>
            <w:vAlign w:val="bottom"/>
          </w:tcPr>
          <w:p>
            <w:pPr>
              <w:spacing w:after="0"/>
              <w:rPr>
                <w:sz w:val="24"/>
                <w:szCs w:val="24"/>
                <w:color w:val="auto"/>
              </w:rPr>
            </w:pPr>
          </w:p>
        </w:tc>
        <w:tc>
          <w:tcPr>
            <w:tcW w:w="342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tc>
      </w:tr>
      <w:tr>
        <w:trPr>
          <w:trHeight w:val="245"/>
        </w:trPr>
        <w:tc>
          <w:tcPr>
            <w:tcW w:w="33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Mas, Executive Vice President and Chief</w:t>
            </w:r>
          </w:p>
        </w:tc>
      </w:tr>
      <w:tr>
        <w:trPr>
          <w:trHeight w:val="234"/>
        </w:trPr>
        <w:tc>
          <w:tcPr>
            <w:tcW w:w="33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 (Principal Financial Officer)</w:t>
            </w:r>
          </w:p>
        </w:tc>
      </w:tr>
      <w:tr>
        <w:trPr>
          <w:trHeight w:val="499"/>
        </w:trPr>
        <w:tc>
          <w:tcPr>
            <w:tcW w:w="3340" w:type="dxa"/>
            <w:vAlign w:val="bottom"/>
          </w:tcPr>
          <w:p>
            <w:pPr>
              <w:spacing w:after="0"/>
              <w:rPr>
                <w:sz w:val="24"/>
                <w:szCs w:val="24"/>
                <w:color w:val="auto"/>
              </w:rPr>
            </w:pPr>
          </w:p>
        </w:tc>
        <w:tc>
          <w:tcPr>
            <w:tcW w:w="342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Terah L. Devereaux</w:t>
            </w:r>
          </w:p>
        </w:tc>
      </w:tr>
      <w:tr>
        <w:trPr>
          <w:trHeight w:val="245"/>
        </w:trPr>
        <w:tc>
          <w:tcPr>
            <w:tcW w:w="33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Terah L. Devereaux, Senior Vice President, Chief Accounting</w:t>
            </w:r>
          </w:p>
        </w:tc>
      </w:tr>
      <w:tr>
        <w:trPr>
          <w:trHeight w:val="234"/>
        </w:trPr>
        <w:tc>
          <w:tcPr>
            <w:tcW w:w="33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(Principal Accounting Officer)</w:t>
            </w:r>
          </w:p>
        </w:tc>
      </w:tr>
      <w:tr>
        <w:trPr>
          <w:trHeight w:val="44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 2024</w:t>
            </w:r>
          </w:p>
        </w:tc>
        <w:tc>
          <w:tcPr>
            <w:tcW w:w="79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REGENCY CENTERS, L.P.</w:t>
            </w:r>
          </w:p>
        </w:tc>
      </w:tr>
      <w:tr>
        <w:trPr>
          <w:trHeight w:val="405"/>
        </w:trPr>
        <w:tc>
          <w:tcPr>
            <w:tcW w:w="3340" w:type="dxa"/>
            <w:vAlign w:val="bottom"/>
          </w:tcPr>
          <w:p>
            <w:pPr>
              <w:spacing w:after="0"/>
              <w:rPr>
                <w:sz w:val="24"/>
                <w:szCs w:val="24"/>
                <w:color w:val="auto"/>
              </w:rPr>
            </w:pPr>
          </w:p>
        </w:tc>
        <w:tc>
          <w:tcPr>
            <w:tcW w:w="342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Regency Centers Corporation, General Partner</w:t>
            </w:r>
          </w:p>
        </w:tc>
      </w:tr>
      <w:tr>
        <w:trPr>
          <w:trHeight w:val="499"/>
        </w:trPr>
        <w:tc>
          <w:tcPr>
            <w:tcW w:w="3340" w:type="dxa"/>
            <w:vAlign w:val="bottom"/>
          </w:tcPr>
          <w:p>
            <w:pPr>
              <w:spacing w:after="0"/>
              <w:rPr>
                <w:sz w:val="24"/>
                <w:szCs w:val="24"/>
                <w:color w:val="auto"/>
              </w:rPr>
            </w:pPr>
          </w:p>
        </w:tc>
        <w:tc>
          <w:tcPr>
            <w:tcW w:w="342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tc>
      </w:tr>
      <w:tr>
        <w:trPr>
          <w:trHeight w:val="245"/>
        </w:trPr>
        <w:tc>
          <w:tcPr>
            <w:tcW w:w="33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Mas, Executive Vice President and Chief</w:t>
            </w:r>
          </w:p>
        </w:tc>
      </w:tr>
      <w:tr>
        <w:trPr>
          <w:trHeight w:val="234"/>
        </w:trPr>
        <w:tc>
          <w:tcPr>
            <w:tcW w:w="33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 (Principal Financial Officer)</w:t>
            </w:r>
          </w:p>
        </w:tc>
      </w:tr>
      <w:tr>
        <w:trPr>
          <w:trHeight w:val="500"/>
        </w:trPr>
        <w:tc>
          <w:tcPr>
            <w:tcW w:w="3340" w:type="dxa"/>
            <w:vAlign w:val="bottom"/>
          </w:tcPr>
          <w:p>
            <w:pPr>
              <w:spacing w:after="0"/>
              <w:rPr>
                <w:sz w:val="24"/>
                <w:szCs w:val="24"/>
                <w:color w:val="auto"/>
              </w:rPr>
            </w:pPr>
          </w:p>
        </w:tc>
        <w:tc>
          <w:tcPr>
            <w:tcW w:w="342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Terah L. Devereaux</w:t>
            </w:r>
          </w:p>
        </w:tc>
      </w:tr>
      <w:tr>
        <w:trPr>
          <w:trHeight w:val="245"/>
        </w:trPr>
        <w:tc>
          <w:tcPr>
            <w:tcW w:w="33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Terah L. Devereaux, Senior Vice President, Chief Accounting</w:t>
            </w:r>
          </w:p>
        </w:tc>
      </w:tr>
      <w:tr>
        <w:trPr>
          <w:trHeight w:val="234"/>
        </w:trPr>
        <w:tc>
          <w:tcPr>
            <w:tcW w:w="33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(Principal Accounting Officer)</w:t>
            </w:r>
          </w:p>
        </w:tc>
      </w:tr>
      <w:tr>
        <w:trPr>
          <w:trHeight w:val="662"/>
        </w:trPr>
        <w:tc>
          <w:tcPr>
            <w:tcW w:w="3340" w:type="dxa"/>
            <w:vAlign w:val="bottom"/>
          </w:tcPr>
          <w:p>
            <w:pPr>
              <w:spacing w:after="0"/>
              <w:rPr>
                <w:sz w:val="24"/>
                <w:szCs w:val="24"/>
                <w:color w:val="auto"/>
              </w:rPr>
            </w:pPr>
          </w:p>
        </w:tc>
        <w:tc>
          <w:tcPr>
            <w:tcW w:w="34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50</w:t>
            </w:r>
          </w:p>
        </w:tc>
        <w:tc>
          <w:tcPr>
            <w:tcW w:w="4480" w:type="dxa"/>
            <w:vAlign w:val="bottom"/>
          </w:tcPr>
          <w:p>
            <w:pPr>
              <w:spacing w:after="0"/>
              <w:rPr>
                <w:sz w:val="24"/>
                <w:szCs w:val="24"/>
                <w:color w:val="auto"/>
              </w:rPr>
            </w:pPr>
          </w:p>
        </w:tc>
      </w:tr>
      <w:tr>
        <w:trPr>
          <w:trHeight w:val="763"/>
        </w:trPr>
        <w:tc>
          <w:tcPr>
            <w:tcW w:w="33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15d-14(a) under the Securities Exchange Act of 1934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Lisa Palmer</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this Quarterly Report on Form 10-Q of </w:t>
      </w:r>
      <w:r>
        <w:rPr>
          <w:rFonts w:ascii="Times New Roman" w:cs="Times New Roman" w:eastAsia="Times New Roman" w:hAnsi="Times New Roman"/>
          <w:sz w:val="18"/>
          <w:szCs w:val="18"/>
          <w:b w:val="1"/>
          <w:bCs w:val="1"/>
          <w:color w:val="auto"/>
        </w:rPr>
        <w:t>Regency Centers Corporation</w:t>
      </w:r>
      <w:r>
        <w:rPr>
          <w:rFonts w:ascii="Times New Roman" w:cs="Times New Roman" w:eastAsia="Times New Roman" w:hAnsi="Times New Roman"/>
          <w:sz w:val="18"/>
          <w:szCs w:val="18"/>
          <w:color w:val="auto"/>
        </w:rPr>
        <w:t xml:space="preserve"> ("registrant");</w:t>
      </w:r>
    </w:p>
    <w:p>
      <w:pPr>
        <w:spacing w:after="0" w:line="12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right="80" w:hanging="483"/>
        <w:spacing w:after="0" w:line="266" w:lineRule="auto"/>
        <w:tabs>
          <w:tab w:leader="none" w:pos="94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000" w:right="360" w:hanging="483"/>
        <w:spacing w:after="0" w:line="266" w:lineRule="auto"/>
        <w:tabs>
          <w:tab w:leader="none" w:pos="95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97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020" w:right="800" w:hanging="479"/>
        <w:spacing w:after="0" w:line="282" w:lineRule="auto"/>
        <w:tabs>
          <w:tab w:leader="none" w:pos="96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7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2024</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35153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Lisa Palmer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15d-14(a) under the Securities Exchange Act of 1934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Michael J. Mas,</w:t>
      </w:r>
      <w:r>
        <w:rPr>
          <w:rFonts w:ascii="Times New Roman" w:cs="Times New Roman" w:eastAsia="Times New Roman" w:hAnsi="Times New Roman"/>
          <w:sz w:val="18"/>
          <w:szCs w:val="18"/>
          <w:color w:val="auto"/>
        </w:rPr>
        <w:t xml:space="preserve"> certify that:</w:t>
      </w:r>
    </w:p>
    <w:p>
      <w:pPr>
        <w:spacing w:after="0" w:line="360"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this Quarterly Report on Form 10-Q of </w:t>
      </w:r>
      <w:r>
        <w:rPr>
          <w:rFonts w:ascii="Times New Roman" w:cs="Times New Roman" w:eastAsia="Times New Roman" w:hAnsi="Times New Roman"/>
          <w:sz w:val="18"/>
          <w:szCs w:val="18"/>
          <w:b w:val="1"/>
          <w:bCs w:val="1"/>
          <w:color w:val="auto"/>
        </w:rPr>
        <w:t>Regency Centers Corporation</w:t>
      </w:r>
      <w:r>
        <w:rPr>
          <w:rFonts w:ascii="Times New Roman" w:cs="Times New Roman" w:eastAsia="Times New Roman" w:hAnsi="Times New Roman"/>
          <w:sz w:val="18"/>
          <w:szCs w:val="18"/>
          <w:color w:val="auto"/>
        </w:rPr>
        <w:t xml:space="preserve"> ("registrant");</w:t>
      </w:r>
    </w:p>
    <w:p>
      <w:pPr>
        <w:spacing w:after="0" w:line="12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right="80" w:hanging="483"/>
        <w:spacing w:after="0" w:line="266" w:lineRule="auto"/>
        <w:tabs>
          <w:tab w:leader="none" w:pos="94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000" w:right="360" w:hanging="483"/>
        <w:spacing w:after="0" w:line="266" w:lineRule="auto"/>
        <w:tabs>
          <w:tab w:leader="none" w:pos="95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97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020" w:right="800" w:hanging="479"/>
        <w:spacing w:after="0" w:line="282" w:lineRule="auto"/>
        <w:tabs>
          <w:tab w:leader="none" w:pos="9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7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2024</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35153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J. Mas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15d-14(a) under the Securities Exchange Act of 1934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Lisa Palmer</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this Quarterly Report on Form 10-Q of </w:t>
      </w:r>
      <w:r>
        <w:rPr>
          <w:rFonts w:ascii="Times New Roman" w:cs="Times New Roman" w:eastAsia="Times New Roman" w:hAnsi="Times New Roman"/>
          <w:sz w:val="18"/>
          <w:szCs w:val="18"/>
          <w:b w:val="1"/>
          <w:bCs w:val="1"/>
          <w:color w:val="auto"/>
        </w:rPr>
        <w:t>Regency Centers, L.P.</w:t>
      </w:r>
      <w:r>
        <w:rPr>
          <w:rFonts w:ascii="Times New Roman" w:cs="Times New Roman" w:eastAsia="Times New Roman" w:hAnsi="Times New Roman"/>
          <w:sz w:val="18"/>
          <w:szCs w:val="18"/>
          <w:color w:val="auto"/>
        </w:rPr>
        <w:t xml:space="preserve"> ("registrant");</w:t>
      </w:r>
    </w:p>
    <w:p>
      <w:pPr>
        <w:spacing w:after="0" w:line="12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right="80" w:hanging="483"/>
        <w:spacing w:after="0" w:line="266" w:lineRule="auto"/>
        <w:tabs>
          <w:tab w:leader="none" w:pos="94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000" w:right="360" w:hanging="483"/>
        <w:spacing w:after="0" w:line="266" w:lineRule="auto"/>
        <w:tabs>
          <w:tab w:leader="none" w:pos="95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97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020" w:right="800" w:hanging="479"/>
        <w:spacing w:after="0" w:line="282" w:lineRule="auto"/>
        <w:tabs>
          <w:tab w:leader="none" w:pos="9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7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2024</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35153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Lisa Palmer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of Regency Centers Corporation,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partner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15d-14(a) under the Securities Exchange Act of 1934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Michael J. Mas,</w:t>
      </w:r>
      <w:r>
        <w:rPr>
          <w:rFonts w:ascii="Times New Roman" w:cs="Times New Roman" w:eastAsia="Times New Roman" w:hAnsi="Times New Roman"/>
          <w:sz w:val="18"/>
          <w:szCs w:val="18"/>
          <w:color w:val="auto"/>
        </w:rPr>
        <w:t xml:space="preserve"> certify that:</w:t>
      </w:r>
    </w:p>
    <w:p>
      <w:pPr>
        <w:spacing w:after="0" w:line="117"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this Quarterly Report on Form 10-Q of </w:t>
      </w:r>
      <w:r>
        <w:rPr>
          <w:rFonts w:ascii="Times New Roman" w:cs="Times New Roman" w:eastAsia="Times New Roman" w:hAnsi="Times New Roman"/>
          <w:sz w:val="18"/>
          <w:szCs w:val="18"/>
          <w:b w:val="1"/>
          <w:bCs w:val="1"/>
          <w:color w:val="auto"/>
        </w:rPr>
        <w:t>Regency Centers, L.P.</w:t>
      </w:r>
      <w:r>
        <w:rPr>
          <w:rFonts w:ascii="Times New Roman" w:cs="Times New Roman" w:eastAsia="Times New Roman" w:hAnsi="Times New Roman"/>
          <w:sz w:val="18"/>
          <w:szCs w:val="18"/>
          <w:color w:val="auto"/>
        </w:rPr>
        <w:t xml:space="preserve"> ("registrant");</w:t>
      </w:r>
    </w:p>
    <w:p>
      <w:pPr>
        <w:spacing w:after="0" w:line="12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right="80" w:hanging="483"/>
        <w:spacing w:after="0" w:line="266" w:lineRule="auto"/>
        <w:tabs>
          <w:tab w:leader="none" w:pos="94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000" w:right="360" w:hanging="483"/>
        <w:spacing w:after="0" w:line="266" w:lineRule="auto"/>
        <w:tabs>
          <w:tab w:leader="none" w:pos="95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97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020" w:right="800" w:hanging="479"/>
        <w:spacing w:after="0" w:line="282" w:lineRule="auto"/>
        <w:tabs>
          <w:tab w:leader="none" w:pos="96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7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2024</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35153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J. Mas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of Regency Centers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Corporation, general partner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149"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 xml:space="preserve">Solely for the purposes of complying with 18 U.S.C. §1350, I, the undersigned Chief Executive Officer of </w:t>
      </w:r>
      <w:r>
        <w:rPr>
          <w:rFonts w:ascii="Times New Roman" w:cs="Times New Roman" w:eastAsia="Times New Roman" w:hAnsi="Times New Roman"/>
          <w:sz w:val="18"/>
          <w:szCs w:val="18"/>
          <w:b w:val="1"/>
          <w:bCs w:val="1"/>
          <w:color w:val="auto"/>
        </w:rPr>
        <w:t>Regency Centers Corporation</w:t>
      </w:r>
      <w:r>
        <w:rPr>
          <w:rFonts w:ascii="Times New Roman" w:cs="Times New Roman" w:eastAsia="Times New Roman" w:hAnsi="Times New Roman"/>
          <w:sz w:val="18"/>
          <w:szCs w:val="18"/>
          <w:color w:val="auto"/>
        </w:rPr>
        <w:t>, hereby certify, based on my knowledge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Quarterly Report on Form 10-Q of Regency Centers Corporation for the quarter ended June 30, 2024 (the "Report") fully complies with the requirements of Section 13(a) of the Securities Exchange Act of 1934 and that information contained in the Report fairly presents, in all material respects, the financial condition and results of operations of Regency Centers Corporation.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2024</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35153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Lisa Palmer</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149"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 xml:space="preserve">Solely for the purposes of complying with 18 U.S.C. §1350, I, the undersigned Chief Financial Officer of </w:t>
      </w:r>
      <w:r>
        <w:rPr>
          <w:rFonts w:ascii="Times New Roman" w:cs="Times New Roman" w:eastAsia="Times New Roman" w:hAnsi="Times New Roman"/>
          <w:sz w:val="18"/>
          <w:szCs w:val="18"/>
          <w:b w:val="1"/>
          <w:bCs w:val="1"/>
          <w:color w:val="auto"/>
        </w:rPr>
        <w:t>Regency Centers Corporation</w:t>
      </w:r>
      <w:r>
        <w:rPr>
          <w:rFonts w:ascii="Times New Roman" w:cs="Times New Roman" w:eastAsia="Times New Roman" w:hAnsi="Times New Roman"/>
          <w:sz w:val="18"/>
          <w:szCs w:val="18"/>
          <w:color w:val="auto"/>
        </w:rPr>
        <w:t>, hereby certify, based on my knowledge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Quarterly Report on Form 10-Q of Regency Centers Corporation for the quarter ended June 30, 2024 (the "Report") fully complies with the requirements of Section 13(a) of the Securities Exchange Act of 1934 and that information contained in the Report fairly presents, in all material respects, the financial condition and results of operations of Regency Centers Corporation.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2024</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35153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Michael J. Mas</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14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Solely for the purposes of complying with 18 U.S.C. §1350, I, the undersigned Chief Executive Officer of </w:t>
      </w:r>
      <w:r>
        <w:rPr>
          <w:rFonts w:ascii="Times New Roman" w:cs="Times New Roman" w:eastAsia="Times New Roman" w:hAnsi="Times New Roman"/>
          <w:sz w:val="18"/>
          <w:szCs w:val="18"/>
          <w:b w:val="1"/>
          <w:bCs w:val="1"/>
          <w:color w:val="auto"/>
        </w:rPr>
        <w:t>Regency Centers, L.P.</w:t>
      </w:r>
      <w:r>
        <w:rPr>
          <w:rFonts w:ascii="Times New Roman" w:cs="Times New Roman" w:eastAsia="Times New Roman" w:hAnsi="Times New Roman"/>
          <w:sz w:val="18"/>
          <w:szCs w:val="18"/>
          <w:color w:val="auto"/>
        </w:rPr>
        <w:t>, hereby certify, based on my knowledge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Quarterly Report on Form 10-Q of Regency Centers, L.P. for the quarter ended June 30, 2024 (the "Report") fully complies with the requirements of Section 13(a) of the Securities Exchange Act of 1934 and that information contained in the Report fairly presents, in all material respects, the financial condition and results of operations of Regency Centers, L.P.</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2024</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35153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Lisa Palmer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of Regency Centers Corporation,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partner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14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 xml:space="preserve">Solely for the purposes of complying with 18 U.S.C. §1350, I, the undersigned Chief Financial Officer of </w:t>
      </w:r>
      <w:r>
        <w:rPr>
          <w:rFonts w:ascii="Times New Roman" w:cs="Times New Roman" w:eastAsia="Times New Roman" w:hAnsi="Times New Roman"/>
          <w:sz w:val="18"/>
          <w:szCs w:val="18"/>
          <w:b w:val="1"/>
          <w:bCs w:val="1"/>
          <w:color w:val="auto"/>
        </w:rPr>
        <w:t>Regency Centers, L.P.</w:t>
      </w:r>
      <w:r>
        <w:rPr>
          <w:rFonts w:ascii="Times New Roman" w:cs="Times New Roman" w:eastAsia="Times New Roman" w:hAnsi="Times New Roman"/>
          <w:sz w:val="18"/>
          <w:szCs w:val="18"/>
          <w:color w:val="auto"/>
        </w:rPr>
        <w:t>, hereby certify, based on my knowledge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Quarterly Report on Form 10-Q of Regency Centers, L.P. for the quarter ended June 30, 2024 (the "Report") fully complies with the requirements of Section 13(a) of the Securities Exchange Act of 1934 and that information contained in the Report fairly presents, in all material respects, the financial condition and results of operations of Regency Centers, L.P.</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2024</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35153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J. Mas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of Regency Centers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Corporation, general partner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2"/>
    </w:lvl>
  </w:abstractNum>
  <w:abstractNum w:abstractNumId="5">
    <w:nsid w:val="580BD78F"/>
    <w:multiLevelType w:val="hybridMultilevel"/>
    <w:lvl w:ilvl="0">
      <w:lvlJc w:val="left"/>
      <w:lvlText w:val="(%1)"/>
      <w:numFmt w:val="decimal"/>
      <w:start w:val="1"/>
    </w:lvl>
    <w:lvl w:ilvl="1">
      <w:lvlJc w:val="left"/>
      <w:lvlText w:val="%2."/>
      <w:numFmt w:val="decimal"/>
      <w:start w:val="3"/>
    </w:lvl>
  </w:abstractNum>
  <w:abstractNum w:abstractNumId="6">
    <w:nsid w:val="153EA438"/>
    <w:multiLevelType w:val="hybridMultilevel"/>
    <w:lvl w:ilvl="0">
      <w:lvlJc w:val="left"/>
      <w:lvlText w:val="%1."/>
      <w:numFmt w:val="decimal"/>
      <w:start w:val="4"/>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decimal"/>
      <w:start w:val="5"/>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decimal"/>
      <w:start w:val="6"/>
    </w:lvl>
  </w:abstractNum>
  <w:abstractNum w:abstractNumId="12">
    <w:nsid w:val="725A06FB"/>
    <w:multiLevelType w:val="hybridMultilevel"/>
    <w:lvl w:ilvl="0">
      <w:lvlJc w:val="left"/>
      <w:lvlText w:val="%1."/>
      <w:numFmt w:val="decimal"/>
      <w:start w:val="7"/>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1."/>
      <w:numFmt w:val="decimal"/>
      <w:start w:val="8"/>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1."/>
      <w:numFmt w:val="decimal"/>
      <w:start w:val="9"/>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o"/>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
      <w:numFmt w:val="bullet"/>
      <w:start w:val="1"/>
    </w:lvl>
    <w:lvl w:ilvl="1">
      <w:lvlJc w:val="left"/>
      <w:lvlText w:val="▪"/>
      <w:numFmt w:val="bullet"/>
      <w:start w:val="1"/>
    </w:lvl>
  </w:abstractNum>
  <w:abstractNum w:abstractNumId="32">
    <w:nsid w:val="374A3FE6"/>
    <w:multiLevelType w:val="hybridMultilevel"/>
    <w:lvl w:ilvl="0">
      <w:lvlJc w:val="left"/>
      <w:lvlText w:val="•"/>
      <w:numFmt w:val="bullet"/>
      <w:start w:val="1"/>
    </w:lvl>
    <w:lvl w:ilvl="1">
      <w:lvlJc w:val="left"/>
      <w:lvlText w:val="o"/>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lvl w:ilvl="1">
      <w:lvlJc w:val="left"/>
      <w:lvlText w:val="▪"/>
      <w:numFmt w:val="bullet"/>
      <w:start w:val="1"/>
    </w:lvl>
  </w:abstractNum>
  <w:abstractNum w:abstractNumId="36">
    <w:nsid w:val="275AC794"/>
    <w:multiLevelType w:val="hybridMultilevel"/>
    <w:lvl w:ilvl="0">
      <w:lvlJc w:val="left"/>
      <w:lvlText w:val="•"/>
      <w:numFmt w:val="bullet"/>
      <w:start w:val="1"/>
    </w:lvl>
    <w:lvl w:ilvl="1">
      <w:lvlJc w:val="left"/>
      <w:lvlText w:val="o"/>
      <w:numFmt w:val="bullet"/>
      <w:start w:val="1"/>
    </w:lvl>
  </w:abstractNum>
  <w:abstractNum w:abstractNumId="37">
    <w:nsid w:val="39386575"/>
    <w:multiLevelType w:val="hybridMultilevel"/>
    <w:lvl w:ilvl="0">
      <w:lvlJc w:val="left"/>
      <w:lvlText w:val="•"/>
      <w:numFmt w:val="bullet"/>
      <w:start w:val="1"/>
    </w:lvl>
    <w:lvl w:ilvl="1">
      <w:lvlJc w:val="left"/>
      <w:lvlText w:val="o"/>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lvl w:ilvl="1">
      <w:lvlJc w:val="left"/>
      <w:lvlText w:val="o"/>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1."/>
      <w:numFmt w:val="decimal"/>
      <w:start w:val="31"/>
    </w:lvl>
  </w:abstractNum>
  <w:abstractNum w:abstractNumId="64">
    <w:nsid w:val="5F5E7FD0"/>
    <w:multiLevelType w:val="hybridMultilevel"/>
    <w:lvl w:ilvl="0">
      <w:lvlJc w:val="left"/>
      <w:lvlText w:val="%1."/>
      <w:numFmt w:val="decimal"/>
      <w:start w:val="32"/>
    </w:lvl>
  </w:abstractNum>
  <w:abstractNum w:abstractNumId="65">
    <w:nsid w:val="98A3148"/>
    <w:multiLevelType w:val="hybridMultilevel"/>
    <w:lvl w:ilvl="0">
      <w:lvlJc w:val="left"/>
      <w:lvlText w:val="%1."/>
      <w:numFmt w:val="decimal"/>
      <w:start w:val="101"/>
    </w:lvl>
  </w:abstractNum>
  <w:abstractNum w:abstractNumId="66">
    <w:nsid w:val="799D0247"/>
    <w:multiLevelType w:val="hybridMultilevel"/>
    <w:lvl w:ilvl="0">
      <w:lvlJc w:val="left"/>
      <w:lvlText w:val="%1."/>
      <w:numFmt w:val="decimal"/>
      <w:start w:val="104"/>
    </w:lvl>
  </w:abstractNum>
  <w:abstractNum w:abstractNumId="67">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68">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9">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0">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2">
    <w:nsid w:val="5DC79E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4">
    <w:nsid w:val="7BD3EE7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2024-08-02T11:32:36Z</dcterms:created>
  <dcterms:modified xsi:type="dcterms:W3CDTF">2024-08-02T11:32:36Z</dcterms:modified>
</cp:coreProperties>
</file>