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 MARTIN E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36" w:lineRule="auto"/>
        <w:rPr>
          <w:sz w:val="20"/>
          <w:szCs w:val="20"/>
          <w:color w:val="auto"/>
        </w:rPr>
      </w:pPr>
      <w:r>
        <w:rPr>
          <w:rFonts w:ascii="Times New Roman" w:cs="Times New Roman" w:eastAsia="Times New Roman" w:hAnsi="Times New Roman"/>
          <w:sz w:val="17"/>
          <w:szCs w:val="17"/>
          <w:color w:val="0000FF"/>
        </w:rPr>
        <w:t>ONE INDEPENDENT DRIVE SUITE 114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REGENCY CENTERS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260" w:space="5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23"/>
              <w:spacing w:after="0"/>
              <w:rPr>
                <w:sz w:val="20"/>
                <w:szCs w:val="20"/>
                <w:color w:val="auto"/>
              </w:rPr>
            </w:pPr>
            <w:r>
              <w:rPr>
                <w:rFonts w:ascii="Times New Roman" w:cs="Times New Roman" w:eastAsia="Times New Roman" w:hAnsi="Times New Roman"/>
                <w:sz w:val="17"/>
                <w:szCs w:val="17"/>
                <w:color w:val="0000FF"/>
              </w:rPr>
              <w:t>32202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0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13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4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05/04/2026</w:t>
            </w:r>
          </w:p>
        </w:tc>
        <w:tc>
          <w:tcPr>
            <w:tcW w:w="8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110,263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78.3956</w:t>
            </w:r>
            <w:r>
              <w:rPr>
                <w:rFonts w:ascii="Times New Roman" w:cs="Times New Roman" w:eastAsia="Times New Roman" w:hAnsi="Times New Roman"/>
                <w:sz w:val="22"/>
                <w:szCs w:val="22"/>
                <w:color w:val="008000"/>
                <w:vertAlign w:val="superscript"/>
              </w:rPr>
              <w:t>(1)</w:t>
            </w:r>
          </w:p>
        </w:tc>
        <w:tc>
          <w:tcPr>
            <w:tcW w:w="800" w:type="dxa"/>
            <w:vAlign w:val="bottom"/>
            <w:tcBorders>
              <w:bottom w:val="single" w:sz="8" w:color="2C2C2C"/>
            </w:tcBorders>
            <w:gridSpan w:val="2"/>
          </w:tcPr>
          <w:p>
            <w:pPr>
              <w:jc w:val="center"/>
              <w:ind w:left="213"/>
              <w:spacing w:after="0"/>
              <w:rPr>
                <w:sz w:val="20"/>
                <w:szCs w:val="20"/>
                <w:color w:val="auto"/>
              </w:rPr>
            </w:pPr>
            <w:r>
              <w:rPr>
                <w:rFonts w:ascii="Times New Roman" w:cs="Times New Roman" w:eastAsia="Times New Roman" w:hAnsi="Times New Roman"/>
                <w:sz w:val="17"/>
                <w:szCs w:val="17"/>
                <w:color w:val="0000FF"/>
              </w:rPr>
              <w:t>0</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05/04/2026</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157,892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78.3939</w:t>
            </w:r>
            <w:r>
              <w:rPr>
                <w:rFonts w:ascii="Times New Roman" w:cs="Times New Roman" w:eastAsia="Times New Roman" w:hAnsi="Times New Roman"/>
                <w:sz w:val="22"/>
                <w:szCs w:val="22"/>
                <w:color w:val="008000"/>
                <w:vertAlign w:val="superscript"/>
              </w:rPr>
              <w:t>(3)</w:t>
            </w:r>
          </w:p>
        </w:tc>
        <w:tc>
          <w:tcPr>
            <w:tcW w:w="800" w:type="dxa"/>
            <w:vAlign w:val="bottom"/>
            <w:gridSpan w:val="2"/>
            <w:vMerge w:val="restart"/>
          </w:tcPr>
          <w:p>
            <w:pPr>
              <w:jc w:val="center"/>
              <w:ind w:left="213"/>
              <w:spacing w:after="0"/>
              <w:rPr>
                <w:sz w:val="20"/>
                <w:szCs w:val="20"/>
                <w:color w:val="auto"/>
              </w:rPr>
            </w:pPr>
            <w:r>
              <w:rPr>
                <w:rFonts w:ascii="Times New Roman" w:cs="Times New Roman" w:eastAsia="Times New Roman" w:hAnsi="Times New Roman"/>
                <w:sz w:val="17"/>
                <w:szCs w:val="17"/>
                <w:color w:val="0000FF"/>
              </w:rPr>
              <w:t>0</w:t>
            </w:r>
          </w:p>
        </w:tc>
        <w:tc>
          <w:tcPr>
            <w:tcW w:w="680" w:type="dxa"/>
            <w:vAlign w:val="bottom"/>
          </w:tcPr>
          <w:p>
            <w:pPr>
              <w:spacing w:after="0"/>
              <w:rPr>
                <w:sz w:val="21"/>
                <w:szCs w:val="21"/>
                <w:color w:val="auto"/>
              </w:rPr>
            </w:pPr>
          </w:p>
        </w:tc>
        <w:tc>
          <w:tcPr>
            <w:tcW w:w="28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General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05/04/2026</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6,460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78.4876</w:t>
            </w:r>
            <w:r>
              <w:rPr>
                <w:rFonts w:ascii="Times New Roman" w:cs="Times New Roman" w:eastAsia="Times New Roman" w:hAnsi="Times New Roman"/>
                <w:sz w:val="22"/>
                <w:szCs w:val="22"/>
                <w:color w:val="008000"/>
                <w:vertAlign w:val="superscript"/>
              </w:rPr>
              <w:t>(5)</w:t>
            </w:r>
          </w:p>
        </w:tc>
        <w:tc>
          <w:tcPr>
            <w:tcW w:w="800" w:type="dxa"/>
            <w:vAlign w:val="bottom"/>
            <w:gridSpan w:val="2"/>
          </w:tcPr>
          <w:p>
            <w:pPr>
              <w:jc w:val="center"/>
              <w:ind w:left="213"/>
              <w:spacing w:after="0"/>
              <w:rPr>
                <w:sz w:val="20"/>
                <w:szCs w:val="20"/>
                <w:color w:val="auto"/>
              </w:rPr>
            </w:pPr>
            <w:r>
              <w:rPr>
                <w:rFonts w:ascii="Times New Roman" w:cs="Times New Roman" w:eastAsia="Times New Roman" w:hAnsi="Times New Roman"/>
                <w:sz w:val="17"/>
                <w:szCs w:val="17"/>
                <w:color w:val="0000FF"/>
              </w:rPr>
              <w:t>0</w:t>
            </w:r>
          </w:p>
        </w:tc>
        <w:tc>
          <w:tcPr>
            <w:tcW w:w="680" w:type="dxa"/>
            <w:vAlign w:val="bottom"/>
          </w:tcPr>
          <w:p>
            <w:pPr>
              <w:spacing w:after="0"/>
              <w:rPr>
                <w:sz w:val="24"/>
                <w:szCs w:val="24"/>
                <w:color w:val="auto"/>
              </w:rPr>
            </w:pPr>
          </w:p>
        </w:tc>
        <w:tc>
          <w:tcPr>
            <w:tcW w:w="28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960" w:type="dxa"/>
            <w:vAlign w:val="bottom"/>
            <w:tcBorders>
              <w:top w:val="single" w:sz="8" w:color="2C2C2C"/>
            </w:tcBorders>
          </w:tcPr>
          <w:p>
            <w:pPr>
              <w:spacing w:after="0"/>
              <w:rPr>
                <w:sz w:val="23"/>
                <w:szCs w:val="23"/>
                <w:color w:val="auto"/>
              </w:rPr>
            </w:pPr>
          </w:p>
        </w:tc>
        <w:tc>
          <w:tcPr>
            <w:tcW w:w="1480" w:type="dxa"/>
            <w:vAlign w:val="bottom"/>
            <w:tcBorders>
              <w:top w:val="single" w:sz="8" w:color="2C2C2C"/>
            </w:tcBorders>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316,680</w:t>
            </w:r>
          </w:p>
        </w:tc>
        <w:tc>
          <w:tcPr>
            <w:tcW w:w="28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13"/>
              <w:spacing w:after="0"/>
              <w:rPr>
                <w:sz w:val="20"/>
                <w:szCs w:val="20"/>
                <w:color w:val="auto"/>
              </w:rPr>
            </w:pPr>
            <w:r>
              <w:rPr>
                <w:rFonts w:ascii="Times New Roman" w:cs="Times New Roman" w:eastAsia="Times New Roman" w:hAnsi="Times New Roman"/>
                <w:sz w:val="17"/>
                <w:szCs w:val="17"/>
                <w:color w:val="0000FF"/>
                <w:w w:val="99"/>
              </w:rPr>
              <w:t>4,000</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20" w:type="dxa"/>
            <w:vAlign w:val="bottom"/>
            <w:gridSpan w:val="10"/>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15"/>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ind w:right="15"/>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9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$78.19 to $78.63, inclusive. The Reporting Person undertakes to provide the Company, any security holder of the Company, or the staff of the SEC,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The Regency Group, Inc., a corporation, which is controlled by the Reporting Person and members of his family.</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$78.175 to $78.69, inclusive. The Reporting Person undertakes to provide the Company, any security holder of the Company, or the staff of the SEC,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the Regency Group II, a general partnership, of which the Reporting Person is a general partner.</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$78.45 to $78.605, inclusive. The Reporting Person undertakes to provide the Company, any security holder of the Company, or the staff of the SEC,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the Joan Wellhouse Newton Irrevocable Trust, of which the Reporting Person is the co-trustee and a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the Wellhouse Trust, of which the Reporting Person is a beneficiary.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/s/Michael R. Herman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1042"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2026-05-05T19:42:46Z</dcterms:created>
  <dcterms:modified xsi:type="dcterms:W3CDTF">2026-05-05T19:42:46Z</dcterms:modified>
</cp:coreProperties>
</file>