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28, 2026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CORPORATION</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L.P.</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55880</wp:posOffset>
            </wp:positionV>
            <wp:extent cx="101155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tbl>
      <w:tblPr>
        <w:tblLayout w:type="fixed"/>
        <w:tblInd w:w="500" w:type="dxa"/>
        <w:tblCellMar>
          <w:top w:w="0" w:type="dxa"/>
          <w:left w:w="0" w:type="dxa"/>
          <w:bottom w:w="0" w:type="dxa"/>
          <w:right w:w="0" w:type="dxa"/>
        </w:tblCellMar>
      </w:tblPr>
      <w:tr>
        <w:trPr>
          <w:trHeight w:val="202"/>
        </w:trPr>
        <w:tc>
          <w:tcPr>
            <w:tcW w:w="3200" w:type="dxa"/>
            <w:vAlign w:val="bottom"/>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rPr>
              <w:t>Florida (Regency Centers Corporation)</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001-12298 (Regency Centers Corporation)</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rPr>
              <w:t>59-3191743 (Regency Centers Corporation)</w:t>
            </w:r>
          </w:p>
        </w:tc>
        <w:tc>
          <w:tcPr>
            <w:tcW w:w="0" w:type="dxa"/>
            <w:vAlign w:val="bottom"/>
          </w:tcPr>
          <w:p>
            <w:pPr>
              <w:spacing w:after="0"/>
              <w:rPr>
                <w:sz w:val="1"/>
                <w:szCs w:val="1"/>
                <w:color w:val="auto"/>
              </w:rPr>
            </w:pPr>
          </w:p>
        </w:tc>
      </w:tr>
      <w:tr>
        <w:trPr>
          <w:trHeight w:val="196"/>
        </w:trPr>
        <w:tc>
          <w:tcPr>
            <w:tcW w:w="3200" w:type="dxa"/>
            <w:vAlign w:val="bottom"/>
          </w:tcPr>
          <w:p>
            <w:pPr>
              <w:jc w:val="center"/>
              <w:ind w:right="382"/>
              <w:spacing w:after="0"/>
              <w:rPr>
                <w:sz w:val="20"/>
                <w:szCs w:val="20"/>
                <w:color w:val="auto"/>
              </w:rPr>
            </w:pPr>
            <w:r>
              <w:rPr>
                <w:rFonts w:ascii="Times New Roman" w:cs="Times New Roman" w:eastAsia="Times New Roman" w:hAnsi="Times New Roman"/>
                <w:sz w:val="16"/>
                <w:szCs w:val="16"/>
                <w:b w:val="1"/>
                <w:bCs w:val="1"/>
                <w:color w:val="auto"/>
              </w:rPr>
              <w:t>Delaware (Regency Centers, L. P.)</w:t>
            </w:r>
          </w:p>
        </w:tc>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0-24763 (Regency Centers, L.P.)</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rPr>
              <w:t>59-3429602 (Regency Centers, L.P.)</w:t>
            </w:r>
          </w:p>
        </w:tc>
        <w:tc>
          <w:tcPr>
            <w:tcW w:w="0" w:type="dxa"/>
            <w:vAlign w:val="bottom"/>
          </w:tcPr>
          <w:p>
            <w:pPr>
              <w:spacing w:after="0"/>
              <w:rPr>
                <w:sz w:val="1"/>
                <w:szCs w:val="1"/>
                <w:color w:val="auto"/>
              </w:rPr>
            </w:pPr>
          </w:p>
        </w:tc>
      </w:tr>
      <w:tr>
        <w:trPr>
          <w:trHeight w:val="188"/>
        </w:trPr>
        <w:tc>
          <w:tcPr>
            <w:tcW w:w="3200" w:type="dxa"/>
            <w:vAlign w:val="bottom"/>
          </w:tcPr>
          <w:p>
            <w:pPr>
              <w:jc w:val="center"/>
              <w:ind w:right="362"/>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376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color w:val="auto"/>
              </w:rPr>
              <w:t>Commission File Number)</w:t>
            </w:r>
          </w:p>
        </w:tc>
        <w:tc>
          <w:tcPr>
            <w:tcW w:w="3400" w:type="dxa"/>
            <w:vAlign w:val="bottom"/>
          </w:tcPr>
          <w:p>
            <w:pPr>
              <w:jc w:val="center"/>
              <w:ind w:left="302"/>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3760" w:type="dxa"/>
            <w:vAlign w:val="bottom"/>
            <w:vMerge w:val="continue"/>
          </w:tcPr>
          <w:p>
            <w:pPr>
              <w:spacing w:after="0"/>
              <w:rPr>
                <w:sz w:val="4"/>
                <w:szCs w:val="4"/>
                <w:color w:val="auto"/>
              </w:rPr>
            </w:pPr>
          </w:p>
        </w:tc>
        <w:tc>
          <w:tcPr>
            <w:tcW w:w="34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One Independent Drive, Suite 114</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Jacksonville, Florida 32202</w:t>
      </w:r>
    </w:p>
    <w:p>
      <w:pPr>
        <w:jc w:val="center"/>
        <w:spacing w:after="0" w:line="233" w:lineRule="auto"/>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(904) 598-7000</w:t>
      </w:r>
    </w:p>
    <w:p>
      <w:pPr>
        <w:jc w:val="center"/>
        <w:spacing w:after="0" w:line="234" w:lineRule="auto"/>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tcPr>
          <w:p>
            <w:pPr>
              <w:jc w:val="center"/>
              <w:ind w:right="48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7"/>
        </w:trPr>
        <w:tc>
          <w:tcPr>
            <w:tcW w:w="440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 $0.01 par value</w:t>
            </w:r>
          </w:p>
        </w:tc>
        <w:tc>
          <w:tcPr>
            <w:tcW w:w="120" w:type="dxa"/>
            <w:vAlign w:val="bottom"/>
          </w:tcPr>
          <w:p>
            <w:pPr>
              <w:spacing w:after="0"/>
              <w:rPr>
                <w:sz w:val="10"/>
                <w:szCs w:val="10"/>
                <w:color w:val="auto"/>
              </w:rPr>
            </w:pPr>
          </w:p>
        </w:tc>
        <w:tc>
          <w:tcPr>
            <w:tcW w:w="22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REG</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0" w:type="dxa"/>
            <w:vAlign w:val="bottom"/>
          </w:tcPr>
          <w:p>
            <w:pPr>
              <w:jc w:val="center"/>
              <w:ind w:right="509"/>
              <w:spacing w:after="0" w:line="118"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48"/>
        </w:trPr>
        <w:tc>
          <w:tcPr>
            <w:tcW w:w="44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6.250% Series A Cumulative Redeemable Preferred Stock, par value</w:t>
            </w:r>
          </w:p>
        </w:tc>
        <w:tc>
          <w:tcPr>
            <w:tcW w:w="120" w:type="dxa"/>
            <w:vAlign w:val="bottom"/>
          </w:tcPr>
          <w:p>
            <w:pPr>
              <w:spacing w:after="0"/>
              <w:rPr>
                <w:sz w:val="12"/>
                <w:szCs w:val="12"/>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REGCP</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vMerge w:val="restart"/>
          </w:tcPr>
          <w:p>
            <w:pPr>
              <w:jc w:val="center"/>
              <w:ind w:right="509"/>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09"/>
        </w:trPr>
        <w:tc>
          <w:tcPr>
            <w:tcW w:w="440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$0.01 per share</w:t>
            </w:r>
          </w:p>
        </w:tc>
        <w:tc>
          <w:tcPr>
            <w:tcW w:w="12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40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440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5.875% Series B Cumulative Redeemable Preferred Stock, par value</w:t>
            </w:r>
          </w:p>
        </w:tc>
        <w:tc>
          <w:tcPr>
            <w:tcW w:w="120" w:type="dxa"/>
            <w:vAlign w:val="bottom"/>
          </w:tcPr>
          <w:p>
            <w:pPr>
              <w:spacing w:after="0"/>
              <w:rPr>
                <w:sz w:val="12"/>
                <w:szCs w:val="12"/>
                <w:color w:val="auto"/>
              </w:rPr>
            </w:pP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REGCO</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0" w:type="dxa"/>
            <w:vAlign w:val="bottom"/>
            <w:vMerge w:val="restart"/>
          </w:tcPr>
          <w:p>
            <w:pPr>
              <w:jc w:val="center"/>
              <w:ind w:right="509"/>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09"/>
        </w:trPr>
        <w:tc>
          <w:tcPr>
            <w:tcW w:w="44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$0.01 per share</w:t>
            </w:r>
          </w:p>
        </w:tc>
        <w:tc>
          <w:tcPr>
            <w:tcW w:w="12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4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Regency Centers, L.P.</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4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0" w:type="dxa"/>
            <w:vAlign w:val="bottom"/>
          </w:tcPr>
          <w:p>
            <w:pPr>
              <w:spacing w:after="0"/>
              <w:rPr>
                <w:sz w:val="1"/>
                <w:szCs w:val="1"/>
                <w:color w:val="auto"/>
              </w:rPr>
            </w:pPr>
          </w:p>
        </w:tc>
      </w:tr>
    </w:tbl>
    <w:p>
      <w:pPr>
        <w:spacing w:after="0" w:line="21"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 .425)</w:t>
      </w:r>
    </w:p>
    <w:p>
      <w:pPr>
        <w:spacing w:after="0" w:line="2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80" w:hanging="470"/>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70"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753110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Responsibility Report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28, 2026, Regency Centers Corporation (the "Company") issued a press release announcing the publication of its 2025 Corporate Responsibility Report (the “CR Report”) and a copy of this press release is filed as Exhibit 99.1 to this report. The CR Report is accessible through the Corporate Responsibility section of the Company's website at www.regencycenters.com/corporate-responsibility.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8.01 and Item 9.01, including Exhibit 99.1 incorporated by reference herein, shall not be deemed “filed” for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w:t>
      </w:r>
    </w:p>
    <w:p>
      <w:pPr>
        <w:spacing w:after="0" w:line="172"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FF"/>
        </w:rPr>
        <w:t>Press release dated 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-7620</wp:posOffset>
            </wp:positionV>
            <wp:extent cx="1557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70" w:lineRule="exact"/>
        <w:rPr>
          <w:sz w:val="20"/>
          <w:szCs w:val="20"/>
          <w:color w:val="auto"/>
        </w:rPr>
      </w:pPr>
    </w:p>
    <w:p>
      <w:pPr>
        <w:ind w:left="5580" w:right="1940" w:hanging="5572"/>
        <w:spacing w:after="0" w:line="783"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(the cover page XBRL tags are embedded within the inline XBRL documents)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May 28, 2026</w:t>
            </w: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Michael R. Herman</w:t>
            </w:r>
          </w:p>
        </w:tc>
      </w:tr>
      <w:tr>
        <w:trPr>
          <w:trHeight w:val="191"/>
        </w:trPr>
        <w:tc>
          <w:tcPr>
            <w:tcW w:w="33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8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R. Herman, Senior Vice President</w:t>
            </w:r>
          </w:p>
        </w:tc>
      </w:tr>
      <w:tr>
        <w:trPr>
          <w:trHeight w:val="234"/>
        </w:trPr>
        <w:tc>
          <w:tcPr>
            <w:tcW w:w="33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864"/>
        </w:trPr>
        <w:tc>
          <w:tcPr>
            <w:tcW w:w="3300" w:type="dxa"/>
            <w:vAlign w:val="bottom"/>
          </w:tcPr>
          <w:p>
            <w:pPr>
              <w:spacing w:after="0"/>
              <w:rPr>
                <w:sz w:val="24"/>
                <w:szCs w:val="24"/>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REGENCY CENTERS, L.P.</w:t>
            </w:r>
          </w:p>
        </w:tc>
      </w:tr>
      <w:tr>
        <w:trPr>
          <w:trHeight w:val="432"/>
        </w:trPr>
        <w:tc>
          <w:tcPr>
            <w:tcW w:w="3300" w:type="dxa"/>
            <w:vAlign w:val="bottom"/>
          </w:tcPr>
          <w:p>
            <w:pPr>
              <w:spacing w:after="0"/>
              <w:rPr>
                <w:sz w:val="24"/>
                <w:szCs w:val="24"/>
                <w:color w:val="auto"/>
              </w:rPr>
            </w:pP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By: Regency Centers Corporation, its general partner</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May 28, 2026</w:t>
            </w:r>
          </w:p>
        </w:tc>
        <w:tc>
          <w:tcPr>
            <w:tcW w:w="79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i w:val="1"/>
                <w:iCs w:val="1"/>
                <w:color w:val="auto"/>
              </w:rPr>
              <w:t>/s/ Michael R. Herman</w:t>
            </w:r>
          </w:p>
        </w:tc>
      </w:tr>
      <w:tr>
        <w:trPr>
          <w:trHeight w:val="191"/>
        </w:trPr>
        <w:tc>
          <w:tcPr>
            <w:tcW w:w="33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8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Michael R. Herman, Senior Vice President</w:t>
            </w:r>
          </w:p>
        </w:tc>
      </w:tr>
      <w:tr>
        <w:trPr>
          <w:trHeight w:val="234"/>
        </w:trPr>
        <w:tc>
          <w:tcPr>
            <w:tcW w:w="33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432"/>
        </w:trPr>
        <w:tc>
          <w:tcPr>
            <w:tcW w:w="3300" w:type="dxa"/>
            <w:vAlign w:val="bottom"/>
          </w:tcPr>
          <w:p>
            <w:pPr>
              <w:spacing w:after="0"/>
              <w:rPr>
                <w:sz w:val="24"/>
                <w:szCs w:val="24"/>
                <w:color w:val="auto"/>
              </w:rPr>
            </w:pPr>
          </w:p>
        </w:tc>
        <w:tc>
          <w:tcPr>
            <w:tcW w:w="31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3</w:t>
            </w:r>
          </w:p>
        </w:tc>
        <w:tc>
          <w:tcPr>
            <w:tcW w:w="4820" w:type="dxa"/>
            <w:vAlign w:val="bottom"/>
          </w:tcPr>
          <w:p>
            <w:pPr>
              <w:spacing w:after="0"/>
              <w:rPr>
                <w:sz w:val="24"/>
                <w:szCs w:val="24"/>
                <w:color w:val="auto"/>
              </w:rPr>
            </w:pPr>
          </w:p>
        </w:tc>
      </w:tr>
      <w:tr>
        <w:trPr>
          <w:trHeight w:val="763"/>
        </w:trPr>
        <w:tc>
          <w:tcPr>
            <w:tcW w:w="33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9"/>
          <w:szCs w:val="19"/>
          <w:color w:val="auto"/>
          <w:shd w:val="clear" w:color="auto" w:fill="3A3430"/>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645920" cy="9512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5920" cy="951230"/>
                    </a:xfrm>
                    <a:prstGeom prst="rect">
                      <a:avLst/>
                    </a:prstGeom>
                    <a:noFill/>
                  </pic:spPr>
                </pic:pic>
              </a:graphicData>
            </a:graphic>
          </wp:anchor>
        </w:drawing>
      </w:r>
    </w:p>
    <w:p>
      <w:pPr>
        <w:spacing w:after="0" w:line="149" w:lineRule="exact"/>
        <w:rPr>
          <w:sz w:val="20"/>
          <w:szCs w:val="20"/>
          <w:color w:val="auto"/>
        </w:rPr>
      </w:pPr>
    </w:p>
    <w:p>
      <w:pPr>
        <w:jc w:val="right"/>
        <w:ind w:right="20"/>
        <w:spacing w:after="0"/>
        <w:rPr>
          <w:sz w:val="20"/>
          <w:szCs w:val="20"/>
          <w:color w:val="auto"/>
        </w:rPr>
      </w:pPr>
      <w:r>
        <w:rPr>
          <w:rFonts w:ascii="Arial" w:cs="Arial" w:eastAsia="Arial" w:hAnsi="Arial"/>
          <w:sz w:val="28"/>
          <w:szCs w:val="28"/>
          <w:color w:val="auto"/>
          <w:shd w:val="clear" w:color="auto" w:fill="3A3430"/>
        </w:rPr>
        <w:t>NEWS RELEASE</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auto"/>
        </w:rPr>
        <w:t>For immediate release</w:t>
      </w:r>
    </w:p>
    <w:p>
      <w:pPr>
        <w:spacing w:after="0" w:line="268"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3A3430"/>
        </w:rPr>
        <w:t>Kathryn McKie</w:t>
      </w:r>
    </w:p>
    <w:p>
      <w:pPr>
        <w:spacing w:after="0" w:line="25" w:lineRule="exact"/>
        <w:rPr>
          <w:sz w:val="20"/>
          <w:szCs w:val="20"/>
          <w:color w:val="auto"/>
        </w:rPr>
      </w:pPr>
    </w:p>
    <w:p>
      <w:pPr>
        <w:jc w:val="right"/>
        <w:ind w:right="20"/>
        <w:spacing w:after="0"/>
        <w:rPr>
          <w:sz w:val="20"/>
          <w:szCs w:val="20"/>
          <w:color w:val="auto"/>
        </w:rPr>
      </w:pPr>
      <w:r>
        <w:rPr>
          <w:rFonts w:ascii="Arial" w:cs="Arial" w:eastAsia="Arial" w:hAnsi="Arial"/>
          <w:sz w:val="19"/>
          <w:szCs w:val="19"/>
          <w:color w:val="auto"/>
        </w:rPr>
        <w:t>904 598 7348</w:t>
      </w:r>
    </w:p>
    <w:p>
      <w:pPr>
        <w:spacing w:after="0" w:line="36" w:lineRule="exact"/>
        <w:rPr>
          <w:sz w:val="20"/>
          <w:szCs w:val="20"/>
          <w:color w:val="auto"/>
        </w:rPr>
      </w:pPr>
    </w:p>
    <w:p>
      <w:pPr>
        <w:ind w:left="8040"/>
        <w:spacing w:after="0"/>
        <w:rPr>
          <w:sz w:val="20"/>
          <w:szCs w:val="20"/>
          <w:color w:val="auto"/>
        </w:rPr>
      </w:pPr>
      <w:r>
        <w:rPr>
          <w:rFonts w:ascii="Arial" w:cs="Arial" w:eastAsia="Arial" w:hAnsi="Arial"/>
          <w:sz w:val="18"/>
          <w:szCs w:val="18"/>
          <w:color w:val="3A3430"/>
        </w:rPr>
        <w:t>KathrynMcKie@RegencyCenters.com</w:t>
      </w:r>
    </w:p>
    <w:p>
      <w:pPr>
        <w:spacing w:after="0" w:line="262"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Regency Centers Releases 2025 Corporate Responsibility Report</w:t>
      </w:r>
    </w:p>
    <w:p>
      <w:pPr>
        <w:spacing w:after="0" w:line="276"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color w:val="auto"/>
          <w:shd w:val="clear" w:color="auto" w:fill="222222"/>
        </w:rPr>
        <w:t xml:space="preserve">JACKSONVILLE, Fla. </w:t>
      </w:r>
      <w:r>
        <w:rPr>
          <w:rFonts w:ascii="Arial" w:cs="Arial" w:eastAsia="Arial" w:hAnsi="Arial"/>
          <w:sz w:val="19"/>
          <w:szCs w:val="19"/>
          <w:color w:val="222222"/>
        </w:rPr>
        <w:t>(May 28, 2026) – Regency Centers Corporation (“Regency”, “Regency Centers” or the “Company”)</w:t>
      </w:r>
      <w:r>
        <w:rPr>
          <w:rFonts w:ascii="Arial" w:cs="Arial" w:eastAsia="Arial" w:hAnsi="Arial"/>
          <w:sz w:val="19"/>
          <w:szCs w:val="19"/>
          <w:color w:val="auto"/>
          <w:shd w:val="clear" w:color="auto" w:fill="222222"/>
        </w:rPr>
        <w:t xml:space="preserve"> </w:t>
      </w:r>
      <w:r>
        <w:rPr>
          <w:rFonts w:ascii="Arial" w:cs="Arial" w:eastAsia="Arial" w:hAnsi="Arial"/>
          <w:sz w:val="19"/>
          <w:szCs w:val="19"/>
          <w:color w:val="222222"/>
        </w:rPr>
        <w:t xml:space="preserve">(Nasdaq:REG) today released its 2025 Corporate Responsibility Report. The report underscores Regency's continued commitment to responsible business practices and long-term stewardship of its assets, while reflecting the Company's ongoing efforts to create value for its shareholders and the communities it serves. The report can be found on the </w:t>
      </w:r>
      <w:r>
        <w:rPr>
          <w:rFonts w:ascii="Arial" w:cs="Arial" w:eastAsia="Arial" w:hAnsi="Arial"/>
          <w:sz w:val="19"/>
          <w:szCs w:val="19"/>
          <w:color w:val="000000"/>
        </w:rPr>
        <w:t>Corporate</w:t>
      </w:r>
      <w:r>
        <w:rPr>
          <w:rFonts w:ascii="Arial" w:cs="Arial" w:eastAsia="Arial" w:hAnsi="Arial"/>
          <w:sz w:val="19"/>
          <w:szCs w:val="19"/>
          <w:color w:val="222222"/>
        </w:rPr>
        <w:t xml:space="preserve"> </w:t>
      </w:r>
      <w:r>
        <w:rPr>
          <w:rFonts w:ascii="Arial" w:cs="Arial" w:eastAsia="Arial" w:hAnsi="Arial"/>
          <w:sz w:val="19"/>
          <w:szCs w:val="19"/>
          <w:color w:val="000000"/>
        </w:rPr>
        <w:t>Responsibility page of Regency’s website.</w:t>
      </w:r>
    </w:p>
    <w:p>
      <w:pPr>
        <w:spacing w:after="0" w:line="279"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222222"/>
        </w:rPr>
        <w:t>“</w:t>
      </w:r>
      <w:r>
        <w:rPr>
          <w:rFonts w:ascii="Arial" w:cs="Arial" w:eastAsia="Arial" w:hAnsi="Arial"/>
          <w:sz w:val="19"/>
          <w:szCs w:val="19"/>
          <w:color w:val="000000"/>
        </w:rPr>
        <w:t>The principles behind Regency’s Corporate Responsibility program have long been part of how we operate and remain</w:t>
      </w:r>
      <w:r>
        <w:rPr>
          <w:rFonts w:ascii="Arial" w:cs="Arial" w:eastAsia="Arial" w:hAnsi="Arial"/>
          <w:sz w:val="19"/>
          <w:szCs w:val="19"/>
          <w:color w:val="222222"/>
        </w:rPr>
        <w:t xml:space="preserve"> </w:t>
      </w:r>
      <w:r>
        <w:rPr>
          <w:rFonts w:ascii="Arial" w:cs="Arial" w:eastAsia="Arial" w:hAnsi="Arial"/>
          <w:sz w:val="19"/>
          <w:szCs w:val="19"/>
          <w:color w:val="000000"/>
        </w:rPr>
        <w:t>foundational to our long-term business strategy," said Lisa Palmer, President and Chief Executive Officer. “By investing thoughtfully in our properties, supporting our people, and strengthening the communities we serve, we continue to create long-term value for our shareholders.”</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222222"/>
        </w:rPr>
        <w:t>Our 2025 Corporate Responsibility Report highlights recent awards, recognition, and notable achievements, including:</w:t>
      </w:r>
    </w:p>
    <w:p>
      <w:pPr>
        <w:spacing w:after="0" w:line="202"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20"/>
          <w:szCs w:val="20"/>
          <w:color w:val="222222"/>
        </w:rPr>
      </w:pPr>
      <w:r>
        <w:rPr>
          <w:rFonts w:ascii="Arial" w:cs="Arial" w:eastAsia="Arial" w:hAnsi="Arial"/>
          <w:sz w:val="19"/>
          <w:szCs w:val="19"/>
          <w:color w:val="222222"/>
        </w:rPr>
        <w:t>Record-high Employee Engagement score of 88% for the third consecutive year</w:t>
      </w:r>
    </w:p>
    <w:p>
      <w:pPr>
        <w:spacing w:after="0" w:line="134" w:lineRule="exact"/>
        <w:rPr>
          <w:rFonts w:ascii="Times New Roman" w:cs="Times New Roman" w:eastAsia="Times New Roman" w:hAnsi="Times New Roman"/>
          <w:sz w:val="20"/>
          <w:szCs w:val="20"/>
          <w:color w:val="222222"/>
        </w:rPr>
      </w:pPr>
    </w:p>
    <w:p>
      <w:pPr>
        <w:ind w:left="380" w:hanging="372"/>
        <w:spacing w:after="0"/>
        <w:tabs>
          <w:tab w:leader="none" w:pos="380" w:val="left"/>
        </w:tabs>
        <w:numPr>
          <w:ilvl w:val="0"/>
          <w:numId w:val="3"/>
        </w:numPr>
        <w:rPr>
          <w:rFonts w:ascii="Times New Roman" w:cs="Times New Roman" w:eastAsia="Times New Roman" w:hAnsi="Times New Roman"/>
          <w:sz w:val="20"/>
          <w:szCs w:val="20"/>
          <w:color w:val="222222"/>
        </w:rPr>
      </w:pPr>
      <w:r>
        <w:rPr>
          <w:rFonts w:ascii="Arial" w:cs="Arial" w:eastAsia="Arial" w:hAnsi="Arial"/>
          <w:sz w:val="19"/>
          <w:szCs w:val="19"/>
          <w:color w:val="222222"/>
        </w:rPr>
        <w:t>Received the Healthiest Companies Award from the First Coast Workplace Wellness Council for the 17th consecutive year</w:t>
      </w:r>
    </w:p>
    <w:p>
      <w:pPr>
        <w:spacing w:after="0" w:line="134" w:lineRule="exact"/>
        <w:rPr>
          <w:rFonts w:ascii="Times New Roman" w:cs="Times New Roman" w:eastAsia="Times New Roman" w:hAnsi="Times New Roman"/>
          <w:sz w:val="20"/>
          <w:szCs w:val="20"/>
          <w:color w:val="222222"/>
        </w:rPr>
      </w:pPr>
    </w:p>
    <w:p>
      <w:pPr>
        <w:ind w:left="380" w:hanging="372"/>
        <w:spacing w:after="0"/>
        <w:tabs>
          <w:tab w:leader="none" w:pos="380" w:val="left"/>
        </w:tabs>
        <w:numPr>
          <w:ilvl w:val="0"/>
          <w:numId w:val="3"/>
        </w:numPr>
        <w:rPr>
          <w:rFonts w:ascii="Times New Roman" w:cs="Times New Roman" w:eastAsia="Times New Roman" w:hAnsi="Times New Roman"/>
          <w:sz w:val="20"/>
          <w:szCs w:val="20"/>
          <w:color w:val="222222"/>
        </w:rPr>
      </w:pPr>
      <w:r>
        <w:rPr>
          <w:rFonts w:ascii="Arial" w:cs="Arial" w:eastAsia="Arial" w:hAnsi="Arial"/>
          <w:sz w:val="19"/>
          <w:szCs w:val="19"/>
          <w:color w:val="222222"/>
        </w:rPr>
        <w:t>Together with our employees, we contributed approximately $2.2 million to charitable causes</w:t>
      </w:r>
    </w:p>
    <w:p>
      <w:pPr>
        <w:spacing w:after="0" w:line="134" w:lineRule="exact"/>
        <w:rPr>
          <w:rFonts w:ascii="Times New Roman" w:cs="Times New Roman" w:eastAsia="Times New Roman" w:hAnsi="Times New Roman"/>
          <w:sz w:val="20"/>
          <w:szCs w:val="20"/>
          <w:color w:val="222222"/>
        </w:rPr>
      </w:pPr>
    </w:p>
    <w:p>
      <w:pPr>
        <w:ind w:left="380" w:hanging="372"/>
        <w:spacing w:after="0"/>
        <w:tabs>
          <w:tab w:leader="none" w:pos="380" w:val="left"/>
        </w:tabs>
        <w:numPr>
          <w:ilvl w:val="0"/>
          <w:numId w:val="3"/>
        </w:numPr>
        <w:rPr>
          <w:rFonts w:ascii="Times New Roman" w:cs="Times New Roman" w:eastAsia="Times New Roman" w:hAnsi="Times New Roman"/>
          <w:sz w:val="20"/>
          <w:szCs w:val="20"/>
          <w:color w:val="222222"/>
        </w:rPr>
      </w:pPr>
      <w:r>
        <w:rPr>
          <w:rFonts w:ascii="Arial" w:cs="Arial" w:eastAsia="Arial" w:hAnsi="Arial"/>
          <w:sz w:val="19"/>
          <w:szCs w:val="19"/>
          <w:color w:val="222222"/>
        </w:rPr>
        <w:t>Employees volunteered 2,000+ hours to local communities</w:t>
      </w:r>
    </w:p>
    <w:p>
      <w:pPr>
        <w:spacing w:after="0" w:line="188" w:lineRule="exact"/>
        <w:rPr>
          <w:rFonts w:ascii="Times New Roman" w:cs="Times New Roman" w:eastAsia="Times New Roman" w:hAnsi="Times New Roman"/>
          <w:sz w:val="20"/>
          <w:szCs w:val="20"/>
          <w:color w:val="222222"/>
        </w:rPr>
      </w:pPr>
    </w:p>
    <w:p>
      <w:pPr>
        <w:ind w:left="380" w:right="240" w:hanging="372"/>
        <w:spacing w:after="0" w:line="252" w:lineRule="auto"/>
        <w:tabs>
          <w:tab w:leader="none" w:pos="380" w:val="left"/>
        </w:tabs>
        <w:numPr>
          <w:ilvl w:val="0"/>
          <w:numId w:val="3"/>
        </w:numPr>
        <w:rPr>
          <w:rFonts w:ascii="Times New Roman" w:cs="Times New Roman" w:eastAsia="Times New Roman" w:hAnsi="Times New Roman"/>
          <w:sz w:val="20"/>
          <w:szCs w:val="20"/>
          <w:color w:val="222222"/>
        </w:rPr>
      </w:pPr>
      <w:r>
        <w:rPr>
          <w:rFonts w:ascii="Arial" w:cs="Arial" w:eastAsia="Arial" w:hAnsi="Arial"/>
          <w:sz w:val="19"/>
          <w:szCs w:val="19"/>
          <w:color w:val="222222"/>
        </w:rPr>
        <w:t>Exceeded our 2030 Scope 1 and 2 greenhouse gas emissions (GHG) reduction target five years ahead of schedule, with a cumulative reduction of 38% from the 2019 baseline year</w:t>
      </w:r>
    </w:p>
    <w:p>
      <w:pPr>
        <w:spacing w:after="0" w:line="69" w:lineRule="exact"/>
        <w:rPr>
          <w:rFonts w:ascii="Times New Roman" w:cs="Times New Roman" w:eastAsia="Times New Roman" w:hAnsi="Times New Roman"/>
          <w:sz w:val="20"/>
          <w:szCs w:val="20"/>
          <w:color w:val="222222"/>
        </w:rPr>
      </w:pPr>
    </w:p>
    <w:p>
      <w:pPr>
        <w:ind w:left="380" w:hanging="372"/>
        <w:spacing w:after="0"/>
        <w:tabs>
          <w:tab w:leader="none" w:pos="380" w:val="left"/>
        </w:tabs>
        <w:numPr>
          <w:ilvl w:val="0"/>
          <w:numId w:val="3"/>
        </w:numPr>
        <w:rPr>
          <w:rFonts w:ascii="Times New Roman" w:cs="Times New Roman" w:eastAsia="Times New Roman" w:hAnsi="Times New Roman"/>
          <w:sz w:val="20"/>
          <w:szCs w:val="20"/>
          <w:color w:val="222222"/>
        </w:rPr>
      </w:pPr>
      <w:r>
        <w:rPr>
          <w:rFonts w:ascii="Arial" w:cs="Arial" w:eastAsia="Arial" w:hAnsi="Arial"/>
          <w:sz w:val="19"/>
          <w:szCs w:val="19"/>
          <w:color w:val="222222"/>
        </w:rPr>
        <w:t>Invested $2.6 million in high-efficiency LED Projects in 2025</w:t>
      </w:r>
    </w:p>
    <w:p>
      <w:pPr>
        <w:spacing w:after="0" w:line="134" w:lineRule="exact"/>
        <w:rPr>
          <w:rFonts w:ascii="Times New Roman" w:cs="Times New Roman" w:eastAsia="Times New Roman" w:hAnsi="Times New Roman"/>
          <w:sz w:val="20"/>
          <w:szCs w:val="20"/>
          <w:color w:val="222222"/>
        </w:rPr>
      </w:pPr>
    </w:p>
    <w:p>
      <w:pPr>
        <w:ind w:left="380" w:hanging="372"/>
        <w:spacing w:after="0"/>
        <w:tabs>
          <w:tab w:leader="none" w:pos="380" w:val="left"/>
        </w:tabs>
        <w:numPr>
          <w:ilvl w:val="0"/>
          <w:numId w:val="3"/>
        </w:numPr>
        <w:rPr>
          <w:rFonts w:ascii="Times New Roman" w:cs="Times New Roman" w:eastAsia="Times New Roman" w:hAnsi="Times New Roman"/>
          <w:sz w:val="20"/>
          <w:szCs w:val="20"/>
          <w:color w:val="222222"/>
        </w:rPr>
      </w:pPr>
      <w:r>
        <w:rPr>
          <w:rFonts w:ascii="Arial" w:cs="Arial" w:eastAsia="Arial" w:hAnsi="Arial"/>
          <w:sz w:val="19"/>
          <w:szCs w:val="19"/>
          <w:color w:val="222222"/>
        </w:rPr>
        <w:t>Achieved meaningful progress across water conservation, waste diversion, and EV charging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1470025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color w:val="auto"/>
          <w:shd w:val="clear" w:color="auto" w:fill="3A3430"/>
        </w:rPr>
        <w:t>Exhibit 99.1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About Regency Centers Corporation (Nasdaq: REG)</w:t>
      </w:r>
    </w:p>
    <w:p>
      <w:pPr>
        <w:spacing w:after="0" w:line="279"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color w:val="auto"/>
        </w:rPr>
        <w:t>Regency Centers is a preeminent national owner, operator, and developer of shopping centers located in suburban trade areas with compelling demographics. Our portfolio includes thriving properties merchandised with highly productive grocers, restaurants, service providers, and best-in-class retailers that connect to their neighborhoods, communities, and customers. Operating as a fully integrated real estate company, Regency Centers is a qualified real estate investment trust (REIT) that is self-administered, self-managed, and an S&amp;P 500 Index member.</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Forward-Looking Statements</w:t>
      </w:r>
    </w:p>
    <w:p>
      <w:pPr>
        <w:spacing w:after="0" w:line="293" w:lineRule="exact"/>
        <w:rPr>
          <w:sz w:val="20"/>
          <w:szCs w:val="20"/>
          <w:color w:val="auto"/>
        </w:rPr>
      </w:pPr>
    </w:p>
    <w:p>
      <w:pPr>
        <w:spacing w:after="0" w:line="265" w:lineRule="auto"/>
        <w:rPr>
          <w:sz w:val="20"/>
          <w:szCs w:val="20"/>
          <w:color w:val="auto"/>
        </w:rPr>
      </w:pPr>
      <w:r>
        <w:rPr>
          <w:rFonts w:ascii="Arial" w:cs="Arial" w:eastAsia="Arial" w:hAnsi="Arial"/>
          <w:sz w:val="19"/>
          <w:szCs w:val="19"/>
          <w:color w:val="auto"/>
        </w:rPr>
        <w:t xml:space="preserve">Certain statements in this document and the referenced 2025 Corporate Responsibility Report and TCFD-aligned Climate Risk Report regarding anticipated </w:t>
      </w:r>
      <w:r>
        <w:rPr>
          <w:rFonts w:ascii="Arial" w:cs="Arial" w:eastAsia="Arial" w:hAnsi="Arial"/>
          <w:sz w:val="19"/>
          <w:szCs w:val="19"/>
          <w:color w:val="4B3C30"/>
        </w:rPr>
        <w:t>financial, business, legal or other outcomes including business and market conditions, outlook and</w:t>
      </w:r>
      <w:r>
        <w:rPr>
          <w:rFonts w:ascii="Arial" w:cs="Arial" w:eastAsia="Arial" w:hAnsi="Arial"/>
          <w:sz w:val="19"/>
          <w:szCs w:val="19"/>
          <w:color w:val="auto"/>
        </w:rPr>
        <w:t xml:space="preserve"> </w:t>
      </w:r>
      <w:r>
        <w:rPr>
          <w:rFonts w:ascii="Arial" w:cs="Arial" w:eastAsia="Arial" w:hAnsi="Arial"/>
          <w:sz w:val="19"/>
          <w:szCs w:val="19"/>
          <w:color w:val="4B3C30"/>
        </w:rPr>
        <w:t>other similar statements relating to Regency’s future events, developments, or financial or operational performance or results such as our current 2026 guidance,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risks and uncertainties. Our operations are subject to a number of risks and uncertainties including, but not limited to, those risk factors described in our Securities and Exchange Commission (“SEC”) filings, our Annual Report on Form 10-K for the year ended December 31, 2025 (“2025 Form 10-K”) under Item 1A, as supplemented by the discussion in Item 1A of Part II of our subsequent Quarterly Reports on Form 10-Q. When considering an investment in our securities, you should carefully read and consider these risks, together with all other information in our Annual Reports on Form 10-K, Quarterly Reports on Form 10-Q and our other filings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9"/>
          <w:szCs w:val="19"/>
          <w:color w:val="auto"/>
        </w:rPr>
        <w:t>Kathryn McKie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904 598 7348</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KathrynMcKie@RegencyCenters.com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629920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2"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2026-05-28T09:44:04Z</dcterms:created>
  <dcterms:modified xsi:type="dcterms:W3CDTF">2026-05-28T09:44:04Z</dcterms:modified>
</cp:coreProperties>
</file>