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eg-20250429.htm"/>
      <w:bookmarkStart w:id="1" w:name="ksreg20250429"/>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April 29, 2025</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CORPORATION</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L.P.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58"/>
        <w:gridCol w:w="146"/>
        <w:gridCol w:w="3306"/>
        <w:gridCol w:w="176"/>
        <w:gridCol w:w="3419"/>
      </w:tblGrid>
      <w:tr>
        <w:trPr/>
        <w:tc>
          <w:tcPr>
            <w:tcW w:w="3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9" w:type="dxa"/>
            <w:tcBorders/>
            <w:vAlign w:val="center"/>
          </w:tcPr>
          <w:p>
            <w:pPr>
              <w:pStyle w:val="TableContents"/>
              <w:bidi w:val="0"/>
              <w:spacing w:before="0" w:after="283"/>
              <w:jc w:val="left"/>
              <w:rPr>
                <w:sz w:val="4"/>
                <w:szCs w:val="4"/>
              </w:rPr>
            </w:pPr>
            <w:r>
              <w:rPr>
                <w:sz w:val="4"/>
                <w:szCs w:val="4"/>
              </w:rPr>
            </w:r>
          </w:p>
        </w:tc>
      </w:tr>
      <w:tr>
        <w:trPr/>
        <w:tc>
          <w:tcPr>
            <w:tcW w:w="3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0492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514350"/>
                          </a:xfrm>
                          <a:prstGeom prst="rect">
                            <a:avLst/>
                          </a:prstGeom>
                        </pic:spPr>
                      </pic:pic>
                    </a:graphicData>
                  </a:graphic>
                </wp:inline>
              </w:drawing>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8"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Florida</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Delaware</w:t>
            </w:r>
            <w:r>
              <w:rPr>
                <w:rFonts w:ascii="Times New Roman" w:hAnsi="Times New Roman"/>
                <w:color w:val="000000"/>
                <w:sz w:val="20"/>
              </w:rPr>
              <w:t> </w:t>
            </w:r>
            <w:r>
              <w:rPr>
                <w:rFonts w:ascii="Times New Roman" w:hAnsi="Times New Roman"/>
                <w:b/>
                <w:color w:val="000000"/>
                <w:sz w:val="18"/>
              </w:rPr>
              <w:t>(Regency Centers, L. 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001-12298</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0-24763</w:t>
            </w:r>
            <w:r>
              <w:rPr>
                <w:rFonts w:ascii="Times New Roman" w:hAnsi="Times New Roman"/>
                <w:color w:val="000000"/>
                <w:sz w:val="20"/>
              </w:rPr>
              <w:t> </w:t>
            </w:r>
            <w:r>
              <w:rPr>
                <w:rFonts w:ascii="Times New Roman" w:hAnsi="Times New Roman"/>
                <w:b/>
                <w:color w:val="000000"/>
                <w:sz w:val="18"/>
              </w:rPr>
              <w:t>(Regency Centers, L.P.)</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9"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59-3191743</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ind w:left="0" w:right="0" w:firstLine="30"/>
              <w:jc w:val="center"/>
              <w:rPr>
                <w:rFonts w:ascii="Times New Roman" w:hAnsi="Times New Roman"/>
                <w:sz w:val="20"/>
              </w:rPr>
            </w:pPr>
            <w:r>
              <w:rPr>
                <w:rFonts w:ascii="Times New Roman" w:hAnsi="Times New Roman"/>
                <w:b/>
                <w:color w:val="000000"/>
                <w:sz w:val="18"/>
              </w:rPr>
              <w:t>59-3429602</w:t>
            </w:r>
            <w:r>
              <w:rPr>
                <w:rFonts w:ascii="Times New Roman" w:hAnsi="Times New Roman"/>
                <w:color w:val="000000"/>
                <w:sz w:val="20"/>
              </w:rPr>
              <w:t> </w:t>
            </w:r>
            <w:r>
              <w:rPr>
                <w:rFonts w:ascii="Times New Roman" w:hAnsi="Times New Roman"/>
                <w:b/>
                <w:color w:val="000000"/>
                <w:sz w:val="18"/>
              </w:rPr>
              <w:t>(Regency Centers, L.P.)</w:t>
            </w:r>
          </w:p>
        </w:tc>
      </w:tr>
      <w:tr>
        <w:trPr/>
        <w:tc>
          <w:tcPr>
            <w:tcW w:w="315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6"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sans-serif" w:hAnsi="sans-serif"/>
                <w:color w:val="000000"/>
                <w:sz w:val="22"/>
              </w:rPr>
              <w:t>(</w:t>
            </w:r>
            <w:r>
              <w:rPr>
                <w:rFonts w:ascii="Times New Roman" w:hAnsi="Times New Roman"/>
                <w:color w:val="000000"/>
                <w:sz w:val="16"/>
              </w:rPr>
              <w:t>Commission File Number)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419"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One Independent Drive, Suite 114</w:t>
      </w:r>
    </w:p>
    <w:p>
      <w:pPr>
        <w:pStyle w:val="TextBody"/>
        <w:bidi w:val="0"/>
        <w:jc w:val="center"/>
        <w:rPr>
          <w:rFonts w:ascii="Times New Roman" w:hAnsi="Times New Roman"/>
          <w:sz w:val="20"/>
        </w:rPr>
      </w:pPr>
      <w:r>
        <w:rPr>
          <w:rFonts w:ascii="Times New Roman" w:hAnsi="Times New Roman"/>
          <w:b/>
          <w:color w:val="000000"/>
          <w:sz w:val="24"/>
        </w:rPr>
        <w:t>Jacksonville, Florida</w:t>
      </w:r>
      <w:r>
        <w:rPr>
          <w:rFonts w:ascii="Times New Roman" w:hAnsi="Times New Roman"/>
          <w:color w:val="000000"/>
          <w:sz w:val="20"/>
        </w:rPr>
        <w:t xml:space="preserve"> </w:t>
      </w:r>
      <w:r>
        <w:rPr>
          <w:rFonts w:ascii="Times New Roman" w:hAnsi="Times New Roman"/>
          <w:b/>
          <w:color w:val="000000"/>
          <w:sz w:val="24"/>
        </w:rPr>
        <w:t>32202</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rFonts w:ascii="Times New Roman" w:hAnsi="Times New Roman"/>
          <w:b/>
          <w:color w:val="000000"/>
          <w:sz w:val="20"/>
        </w:rPr>
      </w:pPr>
      <w:r>
        <w:rPr>
          <w:rFonts w:ascii="Times New Roman" w:hAnsi="Times New Roman"/>
          <w:b/>
          <w:color w:val="000000"/>
          <w:sz w:val="20"/>
        </w:rPr>
        <w:t>(904) 598-7000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w:t>
      </w:r>
    </w:p>
    <w:tbl>
      <w:tblPr>
        <w:tblW w:w="10205" w:type="dxa"/>
        <w:jc w:val="left"/>
        <w:tblInd w:w="0" w:type="dxa"/>
        <w:tblLayout w:type="fixed"/>
        <w:tblCellMar>
          <w:top w:w="28" w:type="dxa"/>
          <w:left w:w="28" w:type="dxa"/>
          <w:bottom w:w="28" w:type="dxa"/>
          <w:right w:w="28" w:type="dxa"/>
        </w:tblCellMar>
      </w:tblPr>
      <w:tblGrid>
        <w:gridCol w:w="5665"/>
        <w:gridCol w:w="146"/>
        <w:gridCol w:w="1212"/>
        <w:gridCol w:w="146"/>
        <w:gridCol w:w="3036"/>
      </w:tblGrid>
      <w:tr>
        <w:trPr/>
        <w:tc>
          <w:tcPr>
            <w:tcW w:w="5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r>
      <w:tr>
        <w:trPr/>
        <w:tc>
          <w:tcPr>
            <w:tcW w:w="56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6.250% Series A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6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5.875% Series B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left"/>
        <w:rPr/>
      </w:pPr>
      <w:r>
        <w:rPr/>
        <w:t> </w:t>
      </w:r>
    </w:p>
    <w:tbl>
      <w:tblPr>
        <w:tblW w:w="6206" w:type="dxa"/>
        <w:jc w:val="left"/>
        <w:tblInd w:w="0" w:type="dxa"/>
        <w:tblLayout w:type="fixed"/>
        <w:tblCellMar>
          <w:top w:w="28" w:type="dxa"/>
          <w:left w:w="28" w:type="dxa"/>
          <w:bottom w:w="28" w:type="dxa"/>
          <w:right w:w="28" w:type="dxa"/>
        </w:tblCellMar>
      </w:tblPr>
      <w:tblGrid>
        <w:gridCol w:w="1396"/>
        <w:gridCol w:w="109"/>
        <w:gridCol w:w="1276"/>
        <w:gridCol w:w="109"/>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r>
    </w:tbl>
    <w:p>
      <w:pPr>
        <w:pStyle w:val="TextBody"/>
        <w:bidi w:val="0"/>
        <w:spacing w:before="8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 .425)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6107" w:type="dxa"/>
        <w:jc w:val="left"/>
        <w:tblInd w:w="0" w:type="dxa"/>
        <w:tblLayout w:type="fixed"/>
        <w:tblCellMar>
          <w:top w:w="28" w:type="dxa"/>
          <w:left w:w="28" w:type="dxa"/>
          <w:bottom w:w="28" w:type="dxa"/>
          <w:right w:w="28" w:type="dxa"/>
        </w:tblCellMar>
      </w:tblPr>
      <w:tblGrid>
        <w:gridCol w:w="916"/>
        <w:gridCol w:w="5191"/>
      </w:tblGrid>
      <w:tr>
        <w:trPr/>
        <w:tc>
          <w:tcPr>
            <w:tcW w:w="916"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51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Disclosure of Results of Operations and Financial Condition</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29, 2025, Regency Centers Corporation ("Regency") issued an earnings release for the three months ended March 31, 2025, which is attached as Exhibit 99.1.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April 29, 2025, Regency posted on its website, at investors.regencycenters.com, certain supplemental information for the three months ended March 31, 2025, which are attached as Exhibit 99.2 and Exhibit 99.3,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furnished under this Item 2.02, including Exhibit 99.1, Exhibit 99.2, and Exhibit 99.3, shall not be deemed "filed" for the purposes of Section 18 of the Securities Exchange Act of 1934, as amended (the "Exchange Act"), or otherwise subject to the liabilities of that section and shall not be deemed to be incorporated by reference into any filing under the Securities Act of 1933, as amended (the "Securities Act"), or the Exchange Act.</w:t>
      </w:r>
    </w:p>
    <w:p>
      <w:pPr>
        <w:pStyle w:val="TextBody"/>
        <w:bidi w:val="0"/>
        <w:jc w:val="both"/>
        <w:rPr/>
      </w:pPr>
      <w:r>
        <w:rPr/>
        <w:t> </w:t>
      </w:r>
    </w:p>
    <w:tbl>
      <w:tblPr>
        <w:tblW w:w="3302" w:type="dxa"/>
        <w:jc w:val="left"/>
        <w:tblInd w:w="0" w:type="dxa"/>
        <w:tblLayout w:type="fixed"/>
        <w:tblCellMar>
          <w:top w:w="28" w:type="dxa"/>
          <w:left w:w="28" w:type="dxa"/>
          <w:bottom w:w="28" w:type="dxa"/>
          <w:right w:w="28" w:type="dxa"/>
        </w:tblCellMar>
      </w:tblPr>
      <w:tblGrid>
        <w:gridCol w:w="916"/>
        <w:gridCol w:w="2386"/>
      </w:tblGrid>
      <w:tr>
        <w:trPr/>
        <w:tc>
          <w:tcPr>
            <w:tcW w:w="91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Regulation FD Disclosures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29, 2025, Regency posted on its website, at investors.regencycenters.com, the Regency Centers Q1 2025 Earnings Presentation.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furnished under this item 7.01 shall not be deemed "filed" for purposes of Section 18 of the Exchange Act or otherwise subject to the liabilities of that section and shall not be deemed to be incorporated by reference into any filing under the Securities Act, or the Exchange Act.</w:t>
      </w:r>
    </w:p>
    <w:p>
      <w:pPr>
        <w:pStyle w:val="TextBody"/>
        <w:bidi w:val="0"/>
        <w:jc w:val="both"/>
        <w:rPr/>
      </w:pPr>
      <w:r>
        <w:rPr/>
        <w:t> </w:t>
      </w:r>
    </w:p>
    <w:tbl>
      <w:tblPr>
        <w:tblW w:w="3947" w:type="dxa"/>
        <w:jc w:val="left"/>
        <w:tblInd w:w="0" w:type="dxa"/>
        <w:tblLayout w:type="fixed"/>
        <w:tblCellMar>
          <w:top w:w="28" w:type="dxa"/>
          <w:left w:w="28" w:type="dxa"/>
          <w:bottom w:w="28" w:type="dxa"/>
          <w:right w:w="28" w:type="dxa"/>
        </w:tblCellMar>
      </w:tblPr>
      <w:tblGrid>
        <w:gridCol w:w="916"/>
        <w:gridCol w:w="3031"/>
      </w:tblGrid>
      <w:tr>
        <w:trPr/>
        <w:tc>
          <w:tcPr>
            <w:tcW w:w="91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89"/>
        <w:gridCol w:w="9116"/>
      </w:tblGrid>
      <w:tr>
        <w:trPr/>
        <w:tc>
          <w:tcPr>
            <w:tcW w:w="1089" w:type="dxa"/>
            <w:tcBorders/>
            <w:vAlign w:val="center"/>
          </w:tcPr>
          <w:p>
            <w:pPr>
              <w:pStyle w:val="TableContents"/>
              <w:bidi w:val="0"/>
              <w:spacing w:before="0" w:after="283"/>
              <w:jc w:val="left"/>
              <w:rPr>
                <w:sz w:val="4"/>
                <w:szCs w:val="4"/>
              </w:rPr>
            </w:pPr>
            <w:r>
              <w:rPr>
                <w:sz w:val="4"/>
                <w:szCs w:val="4"/>
              </w:rPr>
            </w:r>
          </w:p>
        </w:tc>
        <w:tc>
          <w:tcPr>
            <w:tcW w:w="9116" w:type="dxa"/>
            <w:tcBorders/>
            <w:vAlign w:val="center"/>
          </w:tcPr>
          <w:p>
            <w:pPr>
              <w:pStyle w:val="TableContents"/>
              <w:bidi w:val="0"/>
              <w:spacing w:before="0" w:after="283"/>
              <w:jc w:val="left"/>
              <w:rPr>
                <w:sz w:val="4"/>
                <w:szCs w:val="4"/>
              </w:rPr>
            </w:pPr>
            <w:r>
              <w:rPr>
                <w:sz w:val="4"/>
                <w:szCs w:val="4"/>
              </w:rPr>
            </w:r>
          </w:p>
        </w:tc>
      </w:tr>
      <w:tr>
        <w:trPr/>
        <w:tc>
          <w:tcPr>
            <w:tcW w:w="10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9116" w:type="dxa"/>
            <w:tcBorders/>
            <w:tcMar>
              <w:top w:w="0" w:type="dxa"/>
              <w:left w:w="0" w:type="dxa"/>
              <w:bottom w:w="0" w:type="dxa"/>
              <w:right w:w="0" w:type="dxa"/>
            </w:tcMar>
            <w:vAlign w:val="center"/>
          </w:tcPr>
          <w:p>
            <w:pPr>
              <w:pStyle w:val="TableContents"/>
              <w:bidi w:val="0"/>
              <w:spacing w:before="0" w:after="283"/>
              <w:jc w:val="both"/>
              <w:rPr/>
            </w:pPr>
            <w:hyperlink w:anchor="reg-ex99_1.htm">
              <w:r>
                <w:rPr>
                  <w:rStyle w:val="InternetLink"/>
                  <w:rFonts w:ascii="Times New Roman" w:hAnsi="Times New Roman"/>
                  <w:color w:val="0000FF"/>
                  <w:sz w:val="20"/>
                  <w:u w:val="single"/>
                </w:rPr>
                <w:t>Earnings release issued by Regency on April 29, 2025, for the three months ended March 31, 2025.</w:t>
              </w:r>
            </w:hyperlink>
          </w:p>
        </w:tc>
      </w:tr>
      <w:tr>
        <w:trPr/>
        <w:tc>
          <w:tcPr>
            <w:tcW w:w="1089" w:type="dxa"/>
            <w:tcBorders/>
            <w:tcMar>
              <w:top w:w="0" w:type="dxa"/>
              <w:left w:w="0" w:type="dxa"/>
              <w:bottom w:w="0" w:type="dxa"/>
              <w:right w:w="0" w:type="dxa"/>
            </w:tcMar>
            <w:vAlign w:val="center"/>
          </w:tcPr>
          <w:p>
            <w:pPr>
              <w:pStyle w:val="TableContents"/>
              <w:bidi w:val="0"/>
              <w:spacing w:before="0" w:after="283"/>
              <w:jc w:val="left"/>
              <w:rPr/>
            </w:pPr>
            <w:r>
              <w:rPr/>
              <w:t> </w:t>
            </w:r>
          </w:p>
        </w:tc>
        <w:tc>
          <w:tcPr>
            <w:tcW w:w="91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99.2</w:t>
            </w:r>
          </w:p>
        </w:tc>
        <w:tc>
          <w:tcPr>
            <w:tcW w:w="9116" w:type="dxa"/>
            <w:tcBorders/>
            <w:tcMar>
              <w:top w:w="0" w:type="dxa"/>
              <w:left w:w="0" w:type="dxa"/>
              <w:bottom w:w="0" w:type="dxa"/>
              <w:right w:w="0" w:type="dxa"/>
            </w:tcMar>
            <w:vAlign w:val="center"/>
          </w:tcPr>
          <w:p>
            <w:pPr>
              <w:pStyle w:val="TableContents"/>
              <w:bidi w:val="0"/>
              <w:spacing w:before="0" w:after="283"/>
              <w:jc w:val="both"/>
              <w:rPr/>
            </w:pPr>
            <w:hyperlink w:anchor="reg-ex99_2.htm">
              <w:r>
                <w:rPr>
                  <w:rStyle w:val="InternetLink"/>
                  <w:rFonts w:ascii="Times New Roman" w:hAnsi="Times New Roman"/>
                  <w:color w:val="0000FF"/>
                  <w:sz w:val="20"/>
                  <w:u w:val="single"/>
                </w:rPr>
                <w:t>Supplemental information posted on its website on April 29, 2025, for the three months ended March 31, 2025.</w:t>
              </w:r>
            </w:hyperlink>
          </w:p>
        </w:tc>
      </w:tr>
      <w:tr>
        <w:trPr/>
        <w:tc>
          <w:tcPr>
            <w:tcW w:w="1089" w:type="dxa"/>
            <w:tcBorders/>
            <w:tcMar>
              <w:top w:w="0" w:type="dxa"/>
              <w:left w:w="0" w:type="dxa"/>
              <w:bottom w:w="0" w:type="dxa"/>
              <w:right w:w="0" w:type="dxa"/>
            </w:tcMar>
            <w:vAlign w:val="center"/>
          </w:tcPr>
          <w:p>
            <w:pPr>
              <w:pStyle w:val="TableContents"/>
              <w:bidi w:val="0"/>
              <w:spacing w:before="0" w:after="283"/>
              <w:jc w:val="left"/>
              <w:rPr/>
            </w:pPr>
            <w:r>
              <w:rPr/>
              <w:t> </w:t>
            </w:r>
          </w:p>
        </w:tc>
        <w:tc>
          <w:tcPr>
            <w:tcW w:w="91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99.3</w:t>
            </w:r>
          </w:p>
        </w:tc>
        <w:tc>
          <w:tcPr>
            <w:tcW w:w="9116" w:type="dxa"/>
            <w:tcBorders/>
            <w:tcMar>
              <w:top w:w="0" w:type="dxa"/>
              <w:left w:w="0" w:type="dxa"/>
              <w:bottom w:w="0" w:type="dxa"/>
              <w:right w:w="0" w:type="dxa"/>
            </w:tcMar>
            <w:vAlign w:val="center"/>
          </w:tcPr>
          <w:p>
            <w:pPr>
              <w:pStyle w:val="TableContents"/>
              <w:bidi w:val="0"/>
              <w:spacing w:before="0" w:after="283"/>
              <w:jc w:val="both"/>
              <w:rPr/>
            </w:pPr>
            <w:hyperlink w:anchor="reg-ex99_3.htm">
              <w:r>
                <w:rPr>
                  <w:rStyle w:val="InternetLink"/>
                  <w:rFonts w:ascii="Times New Roman" w:hAnsi="Times New Roman"/>
                  <w:color w:val="0000FF"/>
                  <w:sz w:val="20"/>
                  <w:u w:val="single"/>
                </w:rPr>
                <w:t>Fixed income supplemental information posted on its website on April 29, 2025, for the three months ended March 31, 2025.</w:t>
              </w:r>
            </w:hyperlink>
          </w:p>
        </w:tc>
      </w:tr>
      <w:tr>
        <w:trPr/>
        <w:tc>
          <w:tcPr>
            <w:tcW w:w="10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1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documents)</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9010" w:type="dxa"/>
        <w:jc w:val="left"/>
        <w:tblInd w:w="0" w:type="dxa"/>
        <w:tblLayout w:type="fixed"/>
        <w:tblCellMar>
          <w:top w:w="28" w:type="dxa"/>
          <w:left w:w="28" w:type="dxa"/>
          <w:bottom w:w="28" w:type="dxa"/>
          <w:right w:w="28" w:type="dxa"/>
        </w:tblCellMar>
      </w:tblPr>
      <w:tblGrid>
        <w:gridCol w:w="1306"/>
        <w:gridCol w:w="146"/>
        <w:gridCol w:w="406"/>
        <w:gridCol w:w="176"/>
        <w:gridCol w:w="697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976" w:type="dxa"/>
            <w:tcBorders/>
            <w:vAlign w:val="center"/>
          </w:tcPr>
          <w:p>
            <w:pPr>
              <w:pStyle w:val="TableContents"/>
              <w:bidi w:val="0"/>
              <w:spacing w:before="0" w:after="283"/>
              <w:jc w:val="left"/>
              <w:rPr>
                <w:sz w:val="4"/>
                <w:szCs w:val="4"/>
              </w:rPr>
            </w:pPr>
            <w:r>
              <w:rPr>
                <w:sz w:val="4"/>
                <w:szCs w:val="4"/>
              </w:rPr>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CORPORATION</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Michael R. Herman, Senior Vice President General Counsel and Corporate Secretary</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L.P.</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By: Regency Centers Corporation, its general partner</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Michael R. Herman, Senior Vice President General Counsel and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reg-ex99_1.htm"/>
      <w:bookmarkStart w:id="3" w:name="ksregex99_1"/>
      <w:bookmarkEnd w:id="2"/>
      <w:bookmarkEnd w:id="3"/>
      <w:r>
        <w:rPr>
          <w:rFonts w:ascii="Times New Roman" w:hAnsi="Times New Roman"/>
          <w:b/>
          <w:color w:val="000000"/>
          <w:sz w:val="22"/>
        </w:rPr>
        <w:t>Exhibit 99.1</w:t>
      </w:r>
      <w:r>
        <w:br w:type="page"/>
      </w:r>
    </w:p>
    <w:p>
      <w:pPr>
        <w:pStyle w:val="TextBody"/>
        <w:bidi w:val="0"/>
        <w:jc w:val="left"/>
        <w:rPr/>
      </w:pPr>
      <w:r>
        <w:rPr/>
        <w:t> </w:t>
      </w:r>
    </w:p>
    <w:tbl>
      <w:tblPr>
        <w:tblW w:w="6008" w:type="dxa"/>
        <w:jc w:val="left"/>
        <w:tblInd w:w="0" w:type="dxa"/>
        <w:tblLayout w:type="fixed"/>
        <w:tblCellMar>
          <w:top w:w="28" w:type="dxa"/>
          <w:left w:w="28" w:type="dxa"/>
          <w:bottom w:w="28" w:type="dxa"/>
          <w:right w:w="28" w:type="dxa"/>
        </w:tblCellMar>
      </w:tblPr>
      <w:tblGrid>
        <w:gridCol w:w="2636"/>
        <w:gridCol w:w="146"/>
        <w:gridCol w:w="3226"/>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6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09725"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9725" cy="6286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jc w:val="right"/>
              <w:rPr>
                <w:rFonts w:ascii="Tahoma;sans-serif" w:hAnsi="Tahoma;sans-serif"/>
                <w:b/>
                <w:color w:val="3A3430"/>
                <w:sz w:val="30"/>
              </w:rPr>
            </w:pPr>
            <w:r>
              <w:rPr>
                <w:rFonts w:ascii="Tahoma;sans-serif" w:hAnsi="Tahoma;sans-serif"/>
                <w:b/>
                <w:color w:val="3A3430"/>
                <w:sz w:val="30"/>
              </w:rPr>
              <w:t>NEWS RELEASE</w:t>
            </w:r>
          </w:p>
          <w:p>
            <w:pPr>
              <w:pStyle w:val="TableContents"/>
              <w:bidi w:val="0"/>
              <w:jc w:val="right"/>
              <w:rPr>
                <w:rFonts w:ascii="Tahoma;sans-serif" w:hAnsi="Tahoma;sans-serif"/>
                <w:b/>
                <w:color w:val="3A3430"/>
                <w:sz w:val="20"/>
              </w:rPr>
            </w:pPr>
            <w:r>
              <w:rPr>
                <w:rFonts w:ascii="Tahoma;sans-serif" w:hAnsi="Tahoma;sans-serif"/>
                <w:b/>
                <w:color w:val="3A3430"/>
                <w:sz w:val="20"/>
              </w:rPr>
              <w:t>For immediate release</w:t>
            </w:r>
          </w:p>
          <w:p>
            <w:pPr>
              <w:pStyle w:val="TableContents"/>
              <w:bidi w:val="0"/>
              <w:jc w:val="right"/>
              <w:rPr/>
            </w:pPr>
            <w:r>
              <w:rPr/>
              <w:t> </w:t>
            </w:r>
          </w:p>
          <w:p>
            <w:pPr>
              <w:pStyle w:val="TableContents"/>
              <w:bidi w:val="0"/>
              <w:jc w:val="right"/>
              <w:rPr>
                <w:rFonts w:ascii="Tahoma;sans-serif" w:hAnsi="Tahoma;sans-serif"/>
                <w:color w:val="3A3430"/>
                <w:sz w:val="20"/>
              </w:rPr>
            </w:pPr>
            <w:r>
              <w:rPr>
                <w:rFonts w:ascii="Tahoma;sans-serif" w:hAnsi="Tahoma;sans-serif"/>
                <w:color w:val="3A3430"/>
                <w:sz w:val="20"/>
              </w:rPr>
              <w:t>Kathryn McKie</w:t>
            </w:r>
          </w:p>
          <w:p>
            <w:pPr>
              <w:pStyle w:val="TableContents"/>
              <w:bidi w:val="0"/>
              <w:jc w:val="right"/>
              <w:rPr>
                <w:rFonts w:ascii="Tahoma;sans-serif" w:hAnsi="Tahoma;sans-serif"/>
                <w:color w:val="3A3430"/>
                <w:sz w:val="20"/>
              </w:rPr>
            </w:pPr>
            <w:r>
              <w:rPr>
                <w:rFonts w:ascii="Tahoma;sans-serif" w:hAnsi="Tahoma;sans-serif"/>
                <w:color w:val="3A3430"/>
                <w:sz w:val="20"/>
              </w:rPr>
              <w:t>904 598 7348</w:t>
            </w:r>
          </w:p>
          <w:p>
            <w:pPr>
              <w:pStyle w:val="TableContents"/>
              <w:bidi w:val="0"/>
              <w:spacing w:before="0" w:after="283"/>
              <w:jc w:val="right"/>
              <w:rPr>
                <w:rFonts w:ascii="Tahoma;sans-serif" w:hAnsi="Tahoma;sans-serif"/>
                <w:color w:val="3A3430"/>
                <w:sz w:val="20"/>
              </w:rPr>
            </w:pPr>
            <w:r>
              <w:rPr>
                <w:rFonts w:ascii="Tahoma;sans-serif" w:hAnsi="Tahoma;sans-serif"/>
                <w:color w:val="3A3430"/>
                <w:sz w:val="20"/>
              </w:rPr>
              <w:t>KathrynMcKie@regencycenters.com</w:t>
            </w:r>
          </w:p>
        </w:tc>
      </w:tr>
    </w:tbl>
    <w:p>
      <w:pPr>
        <w:pStyle w:val="TextBody"/>
        <w:bidi w:val="0"/>
        <w:jc w:val="center"/>
        <w:rPr/>
      </w:pPr>
      <w:r>
        <w:rPr/>
        <w:t> </w:t>
      </w:r>
    </w:p>
    <w:p>
      <w:pPr>
        <w:pStyle w:val="TextBody"/>
        <w:bidi w:val="0"/>
        <w:jc w:val="center"/>
        <w:rPr>
          <w:rFonts w:ascii="Times New Roman" w:hAnsi="Times New Roman"/>
          <w:sz w:val="20"/>
        </w:rPr>
      </w:pPr>
      <w:bookmarkStart w:id="4" w:name="pressrelease"/>
      <w:bookmarkEnd w:id="4"/>
      <w:r>
        <w:rPr>
          <w:rFonts w:ascii="Tahoma;sans-serif" w:hAnsi="Tahoma;sans-serif"/>
          <w:b/>
          <w:color w:val="000000"/>
          <w:sz w:val="20"/>
        </w:rPr>
        <w:t>Regency Centers Reports First Quarter 2025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JACKSONVILLE, Fla. </w:t>
      </w:r>
      <w:r>
        <w:rPr>
          <w:rFonts w:ascii="Tahoma;sans-serif" w:hAnsi="Tahoma;sans-serif"/>
          <w:color w:val="000000"/>
          <w:sz w:val="20"/>
        </w:rPr>
        <w:t>(April 29, 2025) – Regency Centers Corporation (“Regency Centers”, “Regency” or the “Company”) (Nasdaq: REG) today reported financial and operating results for the quarterly period ended March 31, 2025 and provided updated 2025 earnings guidance. For the three months ended March 31, 2025 and 2024, Net Income Attributable to Common Shareholders was $0.58 per diluted share, and $0.58 per diluted share respectively.</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First Quarter 2025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Reported Nareit FFO of $1.15 per diluted share and Core Operating Earnings of $1.09 per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Reaffirmed 2025 earnings guidance for Nareit FFO, Core Operating Earnings, and Same Property NOI growth</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Increased Same Property NOI year-over-year, excluding lease termination fees, by 4.3%</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percent leased ended the quarter at 96.5%, an increase of 100 basis points year-over-year, and Same Property percent commenced ended the quarter at 93.5%, up 170 basis points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anchor percent leased ended the quarter at 98.3%, an increase of 130 basis points year-over-year, and Same Property shop percent leased ended the quarter at 93.7%, up 70 basis points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Executed 1.4 million square feet of comparable new and renewal leases during the quarter at blended rent spreads of +8.1% on a cash basis and +18.6% on a straight-lined basis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March 14, 2025, acquired Brentwood Place, a community center in Nashville, TN, for $119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March 31, 2025, Regency's in-process development and redevelopment projects had estimated net project costs of $499 million at a blended yield of 9%</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In February, S&amp;P Global Ratings ("S&amp;P") upgraded Regency's credit rating to "A-" with a stable outlook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Pro-rata net debt and preferred stock to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at March 31, 2025 was 5.3x</w:t>
      </w:r>
    </w:p>
    <w:p>
      <w:pPr>
        <w:pStyle w:val="TextBody"/>
        <w:bidi w:val="0"/>
        <w:spacing w:before="120" w:after="283"/>
        <w:jc w:val="left"/>
        <w:rPr/>
      </w:pPr>
      <w:r>
        <w:rPr/>
        <w:t> </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"We are pleased with another great quarter of operating results, highlighted by strong Same Property NOI and earnings growth," said Lisa Palmer, President and Chief Executive Officer. "We continue to experience robust operating fundamentals at our shopping centers, amplified by the commencement of our leasing pipeline and accretion from our investments platform. And importantly, we are well-positioned to drive continued growth and to thrive throughout economic cycles."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ahoma;sans-serif" w:hAnsi="Tahoma;sans-serif"/>
          <w:b/>
          <w:color w:val="000000"/>
          <w:sz w:val="20"/>
        </w:rPr>
      </w:pPr>
      <w:r>
        <w:rPr>
          <w:rFonts w:ascii="Tahoma;sans-serif" w:hAnsi="Tahoma;sans-serif"/>
          <w:b/>
          <w:color w:val="000000"/>
          <w:sz w:val="20"/>
        </w:rPr>
        <w:t>Financial Results</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Net Income Attributable to Common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 xml:space="preserve">For the three months ended March 31, 2025, Net Income Attributable to Common Shareholders was $106.2 million, or $0.58 per diluted share, compared to Net Income Attributable to Common Shareholders of $106.4 million, or $0.58 per diluted share, for the same period in 2024. </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Nareit FFO</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March 31, 2025, Nareit FFO was $210.7 million, or $1.15 per diluted share, compared to $200.0 million, or $1.08 per diluted share, for the same period in 2024.</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Core Operating Earnings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March 31, 2025, Core Operating Earnings was $199.4 million, or $1.09 per diluted share, compared to $193.1 million, or $1.04 per diluted share, for the same period in 2024.</w:t>
      </w:r>
    </w:p>
    <w:p>
      <w:pPr>
        <w:pStyle w:val="TextBody"/>
        <w:bidi w:val="0"/>
        <w:spacing w:before="180" w:after="283"/>
        <w:jc w:val="left"/>
        <w:rPr>
          <w:rFonts w:ascii="Tahoma;sans-serif" w:hAnsi="Tahoma;sans-serif"/>
          <w:b/>
          <w:color w:val="000000"/>
          <w:sz w:val="20"/>
        </w:rPr>
      </w:pPr>
      <w:r>
        <w:rPr>
          <w:rFonts w:ascii="Tahoma;sans-serif" w:hAnsi="Tahoma;sans-serif"/>
          <w:b/>
          <w:color w:val="000000"/>
          <w:sz w:val="20"/>
        </w:rPr>
        <w:t>Portfolio Performance</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Same Property NOI</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First quarter 2025 Same Property Net Operating Income (“NOI”), excluding lease termination fees, increased by 4.3% compared to the same period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base rents contributed 4.0% to Same Property NOI growth in the first quarter of 2025.</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Occupancy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March 31, 2025, Regency’s Same Property portfolio was 96.5% leased, flat sequentially, and an increase of 100 basis points compared to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anchor percent leased, which includes spaces greater than or equal to 10,000 square feet, was 98.3%, an increase of 130 basis points compared to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shop percent leased, which includes spaces less than 10,000 square feet, was 93.7%, an increase of 70 basis points compared to March 31, 2024.</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March 31, 2025, Regency’s Same Property portfolio was 93.5% commenced, an increase of 20 basis points sequentially and an increase of 170 basis points compared to March 31, 2024.</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Leasing Activity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three months ended March 31, 2025, Regency executed approximately 1.4 million square feet of comparable new and renewal leases at a blended cash rent spread of +8.1% and a blended straight-lined rent spread of +18.6%.</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twelve months ended March 31, 2025, the Company executed approximately 7.7 million square feet of comparable new and renewal leases at a blended cash rent spread of +9.5% and a blended straight-lined rent spread of +19.4%.</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Capital Allocation and Balance Sheet</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Developments and Redevelopments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 xml:space="preserve">As of March 31, 2025, Regency’s in-process development and redevelopment projects had estimated net project costs of $499 million at the Company’s share, 51% of which has been incurred to date. </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Property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first quarter of 2025, the Company completed acquisitions for a combined total of approximately $133 million at Regency's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first quarter, the Company acquired Brentwood Place in Nashville, TN for approximately $119 million, at Regency's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first quarter, the Company bought an outparcel adjacent to our Orange Meadows shopping center in Orange, CT for approximately $4 million, at Regency's share.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previously disclosed, Regency acquired its partner's interest in Putnam Plaza in Carmel, NY for approximately $10 million, and now owns 100% of the asset effective January 1, 2025.</w:t>
      </w:r>
    </w:p>
    <w:p>
      <w:pPr>
        <w:pStyle w:val="TextBody"/>
        <w:bidi w:val="0"/>
        <w:spacing w:before="240" w:after="283"/>
        <w:jc w:val="left"/>
        <w:rPr>
          <w:rFonts w:ascii="Tahoma;sans-serif" w:hAnsi="Tahoma;sans-serif"/>
          <w:i/>
          <w:color w:val="000000"/>
          <w:sz w:val="20"/>
        </w:rPr>
      </w:pPr>
      <w:r>
        <w:rPr>
          <w:rFonts w:ascii="Tahoma;sans-serif" w:hAnsi="Tahoma;sans-serif"/>
          <w:i/>
          <w:color w:val="000000"/>
          <w:sz w:val="20"/>
        </w:rPr>
        <w:t>Balance Sheet</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February 25, 2025, S&amp;P upgraded Regency's credit rating to "A-" with a stable outlook.</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March 31, 2025, Regency had approximately $1.2 billion of capacity under its revolving credit facility.</w:t>
      </w:r>
    </w:p>
    <w:p>
      <w:pPr>
        <w:pStyle w:val="TextBody"/>
        <w:bidi w:val="0"/>
        <w:spacing w:before="120" w:after="240"/>
        <w:jc w:val="left"/>
        <w:rPr>
          <w:color w:val="000000"/>
        </w:rPr>
      </w:pPr>
      <w:r>
        <w:rPr>
          <w:color w:val="000000"/>
        </w:rPr>
        <w:t>•</w:t>
      </w:r>
    </w:p>
    <w:p>
      <w:pPr>
        <w:pStyle w:val="TextBody"/>
        <w:bidi w:val="0"/>
        <w:spacing w:before="120" w:after="240"/>
        <w:jc w:val="left"/>
        <w:rPr/>
      </w:pPr>
      <w:r>
        <w:rPr>
          <w:rFonts w:ascii="Tahoma;sans-serif" w:hAnsi="Tahoma;sans-serif"/>
          <w:color w:val="000000"/>
          <w:sz w:val="20"/>
        </w:rPr>
        <w:t>As of March 31, 2025, Regency’s pro-rata net debt and preferred stock to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was 5.3x.</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2025 Guidance</w:t>
      </w:r>
    </w:p>
    <w:p>
      <w:pPr>
        <w:pStyle w:val="TextBody"/>
        <w:bidi w:val="0"/>
        <w:spacing w:before="120" w:after="120"/>
        <w:jc w:val="left"/>
        <w:rPr>
          <w:rFonts w:ascii="Times New Roman" w:hAnsi="Times New Roman"/>
          <w:sz w:val="20"/>
        </w:rPr>
      </w:pPr>
      <w:r>
        <w:rPr>
          <w:rFonts w:ascii="Tahoma;sans-serif" w:hAnsi="Tahoma;sans-serif"/>
          <w:color w:val="000000"/>
          <w:sz w:val="20"/>
        </w:rPr>
        <w:t xml:space="preserve">Regency Centers is hereby providing updated 2025 guidance, as summarized in the table below. Please refer to the Company’s first quarter 2025 "Earnings Presentation" and "Quarterly Supplemental Disclosure" for additional detail. All materials are posted on the Company’s website at </w:t>
      </w:r>
      <w:r>
        <w:rPr>
          <w:rFonts w:ascii="Tahoma;sans-serif" w:hAnsi="Tahoma;sans-serif"/>
          <w:sz w:val="20"/>
        </w:rPr>
        <w:t>investors.regencycenters.com.</w:t>
      </w:r>
    </w:p>
    <w:p>
      <w:pPr>
        <w:pStyle w:val="TextBody"/>
        <w:bidi w:val="0"/>
        <w:jc w:val="left"/>
        <w:rPr/>
      </w:pPr>
      <w:r>
        <w:rPr/>
        <w:t> </w:t>
      </w:r>
    </w:p>
    <w:tbl>
      <w:tblPr>
        <w:tblW w:w="8104" w:type="dxa"/>
        <w:jc w:val="left"/>
        <w:tblInd w:w="0" w:type="dxa"/>
        <w:tblLayout w:type="fixed"/>
        <w:tblCellMar>
          <w:top w:w="28" w:type="dxa"/>
          <w:left w:w="28" w:type="dxa"/>
          <w:bottom w:w="28" w:type="dxa"/>
          <w:right w:w="28" w:type="dxa"/>
        </w:tblCellMar>
      </w:tblPr>
      <w:tblGrid>
        <w:gridCol w:w="4426"/>
        <w:gridCol w:w="901"/>
        <w:gridCol w:w="1291"/>
        <w:gridCol w:w="1486"/>
      </w:tblGrid>
      <w:tr>
        <w:trPr/>
        <w:tc>
          <w:tcPr>
            <w:tcW w:w="44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ahoma;sans-serif" w:hAnsi="Tahoma;sans-serif"/>
                <w:b/>
                <w:color w:val="000000"/>
                <w:sz w:val="18"/>
              </w:rPr>
              <w:t xml:space="preserve">Full Year 2025 Guidance </w:t>
            </w:r>
            <w:r>
              <w:rPr>
                <w:rFonts w:ascii="Tahoma;sans-serif" w:hAnsi="Tahoma;sans-serif"/>
                <w:color w:val="000000"/>
                <w:sz w:val="14"/>
              </w:rPr>
              <w:t>(in thousands, except per share data)</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YTD Actual</w:t>
            </w:r>
          </w:p>
        </w:tc>
        <w:tc>
          <w:tcPr>
            <w:tcW w:w="1291" w:type="dxa"/>
            <w:tcBorders>
              <w:top w:val="single" w:sz="4" w:space="0" w:color="808080"/>
              <w:bottom w:val="single" w:sz="4" w:space="0" w:color="BFBFBF"/>
              <w:right w:val="single" w:sz="4" w:space="0" w:color="808080"/>
            </w:tcBorders>
            <w:shd w:fill="808080" w:val="clear"/>
            <w:tcMar>
              <w:left w:w="0" w:type="dxa"/>
            </w:tcMar>
            <w:vAlign w:val="center"/>
          </w:tcPr>
          <w:p>
            <w:pPr>
              <w:pStyle w:val="TableContents"/>
              <w:bidi w:val="0"/>
              <w:spacing w:before="0" w:after="283"/>
              <w:jc w:val="center"/>
              <w:rPr>
                <w:rFonts w:ascii="Tahoma;sans-serif" w:hAnsi="Tahoma;sans-serif"/>
                <w:b/>
                <w:color w:val="FFFFFF"/>
                <w:sz w:val="16"/>
              </w:rPr>
            </w:pPr>
            <w:r>
              <w:rPr>
                <w:rFonts w:ascii="Tahoma;sans-serif" w:hAnsi="Tahoma;sans-serif"/>
                <w:b/>
                <w:color w:val="FFFFFF"/>
                <w:sz w:val="16"/>
              </w:rPr>
              <w:t>2025 Guidance</w:t>
            </w:r>
          </w:p>
        </w:tc>
        <w:tc>
          <w:tcPr>
            <w:tcW w:w="148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Previous Guidance</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 per diluted share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$0.58</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$2.25 - $2.31</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$2.25 - $2.31</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 (“Nareit FFO”) per diluted share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$1.15</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$4.52 - $4.58</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$4.52 - $4.58</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4"/>
              </w:rPr>
              <w:t>Core Operating Earnings per diluted share</w:t>
            </w:r>
            <w:r>
              <w:rPr>
                <w:rFonts w:ascii="Tahoma;sans-serif" w:hAnsi="Tahoma;sans-serif"/>
                <w:color w:val="000000"/>
                <w:sz w:val="11"/>
              </w:rPr>
              <w:t>(1)</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$1.09</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$4.30 - $4.36</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$4.30 - $4.36</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Same property NOI growth without termination fees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 to +4.0%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 to +4.0%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Non-cash revenues</w:t>
            </w:r>
            <w:r>
              <w:rPr>
                <w:rFonts w:ascii="Tahoma;sans-serif" w:hAnsi="Tahoma;sans-serif"/>
                <w:color w:val="000000"/>
                <w:sz w:val="9"/>
              </w:rPr>
              <w:t>(2)</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$12,581</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+/-$46,000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$45,000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G&amp;A expense, net</w:t>
            </w:r>
            <w:r>
              <w:rPr>
                <w:rFonts w:ascii="Tahoma;sans-serif" w:hAnsi="Tahoma;sans-serif"/>
                <w:color w:val="000000"/>
                <w:sz w:val="9"/>
              </w:rPr>
              <w:t>(3)</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$22,193</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$93,000-$96,000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$93,000-$96,000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Interest expense, net and Preferred stock dividends</w:t>
            </w:r>
            <w:r>
              <w:rPr>
                <w:rFonts w:ascii="Tahoma;sans-serif" w:hAnsi="Tahoma;sans-serif"/>
                <w:color w:val="000000"/>
                <w:sz w:val="9"/>
              </w:rPr>
              <w:t>(4)</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$56,552</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$232,000-$235,000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$231,000-$234,000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Management, transaction and other fees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$6,551</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Development and Redevelopment spend</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$66,906</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Acquisitions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$133,032</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+/-$140,000</w:t>
            </w:r>
          </w:p>
        </w:tc>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+/-$135,000</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Dispositions</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+/-$75,000</w:t>
            </w:r>
          </w:p>
        </w:tc>
        <w:tc>
          <w:tcPr>
            <w:tcW w:w="1486"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+/-$75,000</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0.0%</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Share/unit issuances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$100,000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$100,000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0" w:after="283"/>
        <w:jc w:val="left"/>
        <w:rPr>
          <w:rFonts w:ascii="Tahoma;sans-serif" w:hAnsi="Tahoma;sans-serif"/>
          <w:i/>
          <w:color w:val="000000"/>
          <w:sz w:val="14"/>
        </w:rPr>
      </w:pPr>
      <w:r>
        <w:rPr>
          <w:rFonts w:ascii="Tahoma;sans-serif" w:hAnsi="Tahoma;sans-serif"/>
          <w:i/>
          <w:color w:val="000000"/>
          <w:sz w:val="14"/>
        </w:rPr>
        <w:t>Note: Figures above represent 100% of Regency's consolidated entities and its pro-rata share of unconsolidated real estate partnerships, with the exception of items that are net of noncontrolling interests including per share data, "Development and Redevelopment spend", "Acquisitions", and "Dispositions".</w:t>
      </w:r>
    </w:p>
    <w:p>
      <w:pPr>
        <w:pStyle w:val="TextBody"/>
        <w:bidi w:val="0"/>
        <w:spacing w:before="120" w:after="283"/>
        <w:jc w:val="left"/>
        <w:rPr>
          <w:rFonts w:ascii="Tahoma" w:hAnsi="Tahoma"/>
          <w:i/>
          <w:color w:val="000000"/>
          <w:sz w:val="14"/>
        </w:rPr>
      </w:pPr>
      <w:r>
        <w:rPr>
          <w:rFonts w:ascii="Tahoma" w:hAnsi="Tahoma"/>
          <w:i/>
          <w:color w:val="000000"/>
          <w:sz w:val="14"/>
        </w:rPr>
        <w:t>(1)</w:t>
      </w:r>
    </w:p>
    <w:p>
      <w:pPr>
        <w:pStyle w:val="TextBody"/>
        <w:bidi w:val="0"/>
        <w:spacing w:before="120" w:after="283"/>
        <w:jc w:val="left"/>
        <w:rPr>
          <w:rFonts w:ascii="Tahoma;sans-serif" w:hAnsi="Tahoma;sans-serif"/>
          <w:i/>
          <w:color w:val="000000"/>
          <w:sz w:val="14"/>
        </w:rPr>
      </w:pPr>
      <w:r>
        <w:rPr>
          <w:rFonts w:ascii="Tahoma;sans-serif" w:hAnsi="Tahoma;sans-serif"/>
          <w:i/>
          <w:color w:val="000000"/>
          <w:sz w:val="14"/>
        </w:rPr>
        <w:t>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pStyle w:val="TextBody"/>
        <w:bidi w:val="0"/>
        <w:spacing w:before="60" w:after="283"/>
        <w:jc w:val="left"/>
        <w:rPr>
          <w:rFonts w:ascii="Tahoma" w:hAnsi="Tahoma"/>
          <w:i/>
          <w:color w:val="000000"/>
          <w:sz w:val="14"/>
        </w:rPr>
      </w:pPr>
      <w:r>
        <w:rPr>
          <w:rFonts w:ascii="Tahoma" w:hAnsi="Tahoma"/>
          <w:i/>
          <w:color w:val="000000"/>
          <w:sz w:val="14"/>
        </w:rPr>
        <w:t>(2)</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Includes above and below market rent amortization and straight-line rents, and excludes debt and derivative mark to market amortization.</w:t>
      </w:r>
    </w:p>
    <w:p>
      <w:pPr>
        <w:pStyle w:val="TextBody"/>
        <w:bidi w:val="0"/>
        <w:spacing w:before="60" w:after="283"/>
        <w:jc w:val="left"/>
        <w:rPr>
          <w:rFonts w:ascii="Tahoma" w:hAnsi="Tahoma"/>
          <w:i/>
          <w:color w:val="000000"/>
          <w:sz w:val="14"/>
        </w:rPr>
      </w:pPr>
      <w:r>
        <w:rPr>
          <w:rFonts w:ascii="Tahoma" w:hAnsi="Tahoma"/>
          <w:i/>
          <w:color w:val="000000"/>
          <w:sz w:val="14"/>
        </w:rPr>
        <w:t>(3)</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Represents 'General &amp; administrative, net' before gains or losses on deferred compensation plan, as reported on supplemental pages 6 and 7 and calculated on a pro rata basis.</w:t>
      </w:r>
    </w:p>
    <w:p>
      <w:pPr>
        <w:pStyle w:val="TextBody"/>
        <w:bidi w:val="0"/>
        <w:spacing w:before="60" w:after="283"/>
        <w:jc w:val="left"/>
        <w:rPr>
          <w:rFonts w:ascii="Tahoma" w:hAnsi="Tahoma"/>
          <w:i/>
          <w:color w:val="000000"/>
          <w:sz w:val="14"/>
        </w:rPr>
      </w:pPr>
      <w:r>
        <w:rPr>
          <w:rFonts w:ascii="Tahoma" w:hAnsi="Tahoma"/>
          <w:i/>
          <w:color w:val="000000"/>
          <w:sz w:val="14"/>
        </w:rPr>
        <w:t>(4)</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Includes debt and derivative mark to market amortization, and is net of interest income.</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Conference Call Information</w:t>
      </w:r>
    </w:p>
    <w:p>
      <w:pPr>
        <w:pStyle w:val="TextBody"/>
        <w:bidi w:val="0"/>
        <w:spacing w:before="120" w:after="283"/>
        <w:jc w:val="left"/>
        <w:rPr>
          <w:rFonts w:ascii="Times New Roman" w:hAnsi="Times New Roman"/>
          <w:sz w:val="20"/>
        </w:rPr>
      </w:pPr>
      <w:r>
        <w:rPr>
          <w:rFonts w:ascii="Tahoma;sans-serif" w:hAnsi="Tahoma;sans-serif"/>
          <w:color w:val="000000"/>
          <w:sz w:val="20"/>
        </w:rPr>
        <w:t>To discuss Regency’s first quarter results and provide further business updates, management will host a conference call on Wednesday, April 30</w:t>
      </w:r>
      <w:r>
        <w:rPr>
          <w:rFonts w:ascii="Tahoma;sans-serif" w:hAnsi="Tahoma;sans-serif"/>
          <w:color w:val="000000"/>
          <w:sz w:val="13"/>
        </w:rPr>
        <w:t>th</w:t>
      </w:r>
      <w:r>
        <w:rPr>
          <w:rFonts w:ascii="Times New Roman" w:hAnsi="Times New Roman"/>
          <w:color w:val="000000"/>
          <w:sz w:val="20"/>
        </w:rPr>
        <w:t xml:space="preserve"> </w:t>
      </w:r>
      <w:r>
        <w:rPr>
          <w:rFonts w:ascii="Tahoma;sans-serif" w:hAnsi="Tahoma;sans-serif"/>
          <w:color w:val="000000"/>
          <w:sz w:val="20"/>
        </w:rPr>
        <w:t>at 11:00 a.m. ET. Dial-in and webcast information is below.</w:t>
      </w:r>
    </w:p>
    <w:p>
      <w:pPr>
        <w:pStyle w:val="TextBody"/>
        <w:bidi w:val="0"/>
        <w:spacing w:before="240" w:after="283"/>
        <w:jc w:val="left"/>
        <w:rPr>
          <w:rFonts w:ascii="Tahoma;sans-serif" w:hAnsi="Tahoma;sans-serif"/>
          <w:b/>
          <w:color w:val="000000"/>
          <w:sz w:val="20"/>
          <w:u w:val="single"/>
        </w:rPr>
      </w:pPr>
      <w:r>
        <w:rPr>
          <w:rFonts w:ascii="Tahoma;sans-serif" w:hAnsi="Tahoma;sans-serif"/>
          <w:b/>
          <w:color w:val="000000"/>
          <w:sz w:val="20"/>
          <w:u w:val="single"/>
        </w:rPr>
        <w:t>First Quarter 2025 Earnings Conference Call</w:t>
      </w:r>
    </w:p>
    <w:tbl>
      <w:tblPr>
        <w:tblW w:w="3842" w:type="dxa"/>
        <w:jc w:val="left"/>
        <w:tblInd w:w="0" w:type="dxa"/>
        <w:tblLayout w:type="fixed"/>
        <w:tblCellMar>
          <w:top w:w="28" w:type="dxa"/>
          <w:left w:w="28" w:type="dxa"/>
          <w:bottom w:w="28" w:type="dxa"/>
          <w:right w:w="28" w:type="dxa"/>
        </w:tblCellMar>
      </w:tblPr>
      <w:tblGrid>
        <w:gridCol w:w="931"/>
        <w:gridCol w:w="2911"/>
      </w:tblGrid>
      <w:tr>
        <w:trPr/>
        <w:tc>
          <w:tcPr>
            <w:tcW w:w="93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Date:</w:t>
            </w:r>
          </w:p>
        </w:tc>
        <w:tc>
          <w:tcPr>
            <w:tcW w:w="291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Wednesday, April 30, 2025</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Time:</w:t>
            </w:r>
          </w:p>
        </w:tc>
        <w:tc>
          <w:tcPr>
            <w:tcW w:w="291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11:00 a.m. ET</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Dial#:</w:t>
            </w:r>
          </w:p>
        </w:tc>
        <w:tc>
          <w:tcPr>
            <w:tcW w:w="291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877-407-0789 or 201-689-8562</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Webcast:</w:t>
            </w:r>
          </w:p>
        </w:tc>
        <w:tc>
          <w:tcPr>
            <w:tcW w:w="291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sz w:val="20"/>
              </w:rPr>
            </w:pPr>
            <w:r>
              <w:rPr>
                <w:rFonts w:ascii="Tahoma;sans-serif" w:hAnsi="Tahoma;sans-serif"/>
                <w:sz w:val="20"/>
              </w:rPr>
              <w:t>First Quarter 2025 Webcast Link</w:t>
            </w:r>
          </w:p>
        </w:tc>
      </w:tr>
    </w:tbl>
    <w:p>
      <w:pPr>
        <w:pStyle w:val="TextBody"/>
        <w:bidi w:val="0"/>
        <w:spacing w:before="240" w:after="283"/>
        <w:jc w:val="left"/>
        <w:rPr>
          <w:rFonts w:ascii="Times New Roman" w:hAnsi="Times New Roman"/>
          <w:sz w:val="20"/>
        </w:rPr>
      </w:pPr>
      <w:r>
        <w:rPr>
          <w:rFonts w:ascii="Tahoma;sans-serif" w:hAnsi="Tahoma;sans-serif"/>
          <w:b/>
          <w:color w:val="000000"/>
          <w:sz w:val="20"/>
          <w:u w:val="single"/>
        </w:rPr>
        <w:t xml:space="preserve">Replay: </w:t>
      </w:r>
      <w:r>
        <w:rPr>
          <w:rFonts w:ascii="Tahoma;sans-serif" w:hAnsi="Tahoma;sans-serif"/>
          <w:color w:val="000000"/>
          <w:sz w:val="20"/>
        </w:rPr>
        <w:t xml:space="preserve">Webcast Archive – </w:t>
      </w:r>
      <w:r>
        <w:rPr>
          <w:rFonts w:ascii="Tahoma;sans-serif" w:hAnsi="Tahoma;sans-serif"/>
          <w:sz w:val="20"/>
        </w:rPr>
        <w:t>Investor Relations</w:t>
      </w:r>
      <w:r>
        <w:rPr>
          <w:rFonts w:ascii="Times New Roman" w:hAnsi="Times New Roman"/>
          <w:color w:val="000000"/>
          <w:sz w:val="20"/>
        </w:rPr>
        <w:t xml:space="preserve"> </w:t>
      </w:r>
      <w:r>
        <w:rPr>
          <w:rFonts w:ascii="Tahoma;sans-serif" w:hAnsi="Tahoma;sans-serif"/>
          <w:color w:val="000000"/>
          <w:sz w:val="20"/>
        </w:rPr>
        <w:t xml:space="preserve">page under </w:t>
      </w:r>
      <w:r>
        <w:rPr>
          <w:rFonts w:ascii="Tahoma;sans-serif" w:hAnsi="Tahoma;sans-serif"/>
          <w:sz w:val="20"/>
        </w:rPr>
        <w:t>Events &amp; Webcasts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center"/>
        <w:rPr>
          <w:rFonts w:ascii="Tahoma;sans-serif" w:hAnsi="Tahoma;sans-serif"/>
          <w:b/>
          <w:color w:val="000000"/>
          <w:sz w:val="20"/>
        </w:rPr>
      </w:pPr>
      <w:r>
        <w:rPr>
          <w:rFonts w:ascii="Tahoma;sans-serif" w:hAnsi="Tahoma;sans-serif"/>
          <w:b/>
          <w:color w:val="000000"/>
          <w:sz w:val="20"/>
        </w:rPr>
        <w:t>About Regency Centers Corporation (Nasdaq: REG)</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w:t>
      </w:r>
      <w:r>
        <w:rPr>
          <w:rFonts w:ascii="Tahoma;sans-serif" w:hAnsi="Tahoma;sans-serif"/>
          <w:sz w:val="20"/>
        </w:rPr>
        <w:t>RegencyCenters.com.</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Reconciliation of Net Income Attributable to Common Shareholders to Nareit FFO, Core Operating Earnings, and Adjusted Funds from Operations – </w:t>
      </w:r>
      <w:r>
        <w:rPr>
          <w:rFonts w:ascii="Tahoma;sans-serif" w:hAnsi="Tahoma;sans-serif"/>
          <w:b/>
          <w:i/>
          <w:color w:val="000000"/>
          <w:sz w:val="20"/>
        </w:rPr>
        <w:t>Actual (in thousands, except per share amounts)</w:t>
      </w:r>
    </w:p>
    <w:p>
      <w:pPr>
        <w:pStyle w:val="TextBody"/>
        <w:bidi w:val="0"/>
        <w:jc w:val="left"/>
        <w:rPr/>
      </w:pPr>
      <w:r>
        <w:rPr/>
        <w:t> </w:t>
      </w:r>
    </w:p>
    <w:tbl>
      <w:tblPr>
        <w:tblW w:w="7688" w:type="dxa"/>
        <w:jc w:val="left"/>
        <w:tblInd w:w="0" w:type="dxa"/>
        <w:tblLayout w:type="fixed"/>
        <w:tblCellMar>
          <w:top w:w="28" w:type="dxa"/>
          <w:left w:w="28" w:type="dxa"/>
          <w:bottom w:w="28" w:type="dxa"/>
          <w:right w:w="28" w:type="dxa"/>
        </w:tblCellMar>
      </w:tblPr>
      <w:tblGrid>
        <w:gridCol w:w="5071"/>
        <w:gridCol w:w="181"/>
        <w:gridCol w:w="601"/>
        <w:gridCol w:w="151"/>
        <w:gridCol w:w="146"/>
        <w:gridCol w:w="146"/>
        <w:gridCol w:w="601"/>
        <w:gridCol w:w="791"/>
      </w:tblGrid>
      <w:tr>
        <w:trPr/>
        <w:tc>
          <w:tcPr>
            <w:tcW w:w="50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March 31, 2025 and 2024</w:t>
            </w:r>
          </w:p>
        </w:tc>
        <w:tc>
          <w:tcPr>
            <w:tcW w:w="18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Net Income Attributable to Common Shareholders to Nareit FFO:</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106,174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106,361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Nareit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 (excluding FF&amp;E)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104,034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104,372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Gain on sale of real estate, net of tax</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(11,408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Exchangeable operating partnership units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Nareit FFO</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199,967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FFO per share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185,872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Nareit FFO to Core Operating Earnings: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FFO</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199,967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Core Operating Earnings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Not Comparable Items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Merger transition costs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Loss on early extinguishment of debt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Certain Non-Cash Items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Straight-line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Uncollectible straight-line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Above/below market rent amortization,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Debt and derivative mark-to-market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Core Operating Earnings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199,443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193,068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 per share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185,872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For Diluted Earnings per Share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181,813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184,770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For Diluted FFO and Core Operating Earnings per Share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185,872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Core Operating Earnings to Adjusted Funds from Operations: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199,443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193,068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Adjustments to reconcile to Adjusted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capital expenditures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(20,852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cost and derivative adjustments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2,140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Stock-based compensation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Adjusted Funds from Operations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183,262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178,996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 w:hAnsi="Tahoma"/>
          <w:color w:val="000000"/>
          <w:sz w:val="16"/>
        </w:rPr>
      </w:pPr>
      <w:r>
        <w:rPr>
          <w:rFonts w:ascii="Tahoma" w:hAnsi="Tahoma"/>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Regency's consolidated entities and its pro-rata share of unconsolidated real estate partnerships, net of pro-rata share attributable to noncontrolling interests.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ahoma;sans-serif" w:hAnsi="Tahoma;sans-serif"/>
          <w:b/>
          <w:color w:val="000000"/>
          <w:sz w:val="20"/>
        </w:rPr>
        <w:t xml:space="preserve">Reconciliation of Net Income Attributable to Common Shareholders to Pro-Rata Same Property NOI - </w:t>
      </w:r>
      <w:r>
        <w:rPr>
          <w:rFonts w:ascii="Tahoma;sans-serif" w:hAnsi="Tahoma;sans-serif"/>
          <w:b/>
          <w:i/>
          <w:color w:val="000000"/>
          <w:sz w:val="20"/>
        </w:rPr>
        <w:t>Actual (in thousands)</w:t>
      </w:r>
    </w:p>
    <w:p>
      <w:pPr>
        <w:pStyle w:val="TextBody"/>
        <w:bidi w:val="0"/>
        <w:jc w:val="left"/>
        <w:rPr/>
      </w:pPr>
      <w:r>
        <w:rPr/>
        <w:t> </w:t>
      </w:r>
    </w:p>
    <w:tbl>
      <w:tblPr>
        <w:tblW w:w="7203" w:type="dxa"/>
        <w:jc w:val="left"/>
        <w:tblInd w:w="0" w:type="dxa"/>
        <w:tblLayout w:type="fixed"/>
        <w:tblCellMar>
          <w:top w:w="28" w:type="dxa"/>
          <w:left w:w="28" w:type="dxa"/>
          <w:bottom w:w="28" w:type="dxa"/>
          <w:right w:w="28" w:type="dxa"/>
        </w:tblCellMar>
      </w:tblPr>
      <w:tblGrid>
        <w:gridCol w:w="5381"/>
        <w:gridCol w:w="676"/>
        <w:gridCol w:w="1146"/>
      </w:tblGrid>
      <w:tr>
        <w:trPr/>
        <w:tc>
          <w:tcPr>
            <w:tcW w:w="53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March 31, 2025 and 2024</w:t>
            </w:r>
          </w:p>
        </w:tc>
        <w:tc>
          <w:tcPr>
            <w:tcW w:w="1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$106,174</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106,361</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Less: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Management, transaction, and other fees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(6,812)</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(6,396)</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Other </w:t>
            </w:r>
            <w:r>
              <w:rPr>
                <w:rFonts w:ascii="Tahoma;sans-serif" w:hAnsi="Tahoma;sans-serif"/>
                <w:color w:val="000000"/>
                <w:sz w:val="9"/>
              </w:rPr>
              <w:t>(1)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(13,689)</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ahoma;sans-serif" w:hAnsi="Tahoma;sans-serif"/>
                <w:color w:val="000000"/>
                <w:sz w:val="14"/>
              </w:rPr>
            </w:pPr>
            <w:r>
              <w:rPr>
                <w:rFonts w:ascii="Tahoma;sans-serif" w:hAnsi="Tahoma;sans-serif"/>
                <w:color w:val="000000"/>
                <w:sz w:val="14"/>
              </w:rPr>
              <w:t>(12,587)</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ahoma;sans-serif" w:hAnsi="Tahoma;sans-serif"/>
                <w:color w:val="000000"/>
                <w:sz w:val="14"/>
              </w:rPr>
            </w:pPr>
            <w:r>
              <w:rPr>
                <w:rFonts w:ascii="Tahoma;sans-serif" w:hAnsi="Tahoma;sans-serif"/>
                <w:color w:val="000000"/>
                <w:sz w:val="14"/>
              </w:rPr>
              <w:t>Plus: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96,774</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97,585</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General and administrative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21,600</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26,132</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operating expense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1,688</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2,643</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expense, net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48,673</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29,214</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Equity in income of investments in real estate partnerships excluded from NOI </w:t>
            </w:r>
            <w:r>
              <w:rPr>
                <w:rFonts w:ascii="Tahoma;sans-serif" w:hAnsi="Tahoma;sans-serif"/>
                <w:color w:val="000000"/>
                <w:sz w:val="9"/>
              </w:rPr>
              <w:t>(2)</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13,451</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13,689</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Net income attributable to noncontrolling interests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2,266</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2,884</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Preferred stock dividends</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3,413</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NOI</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273,538</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262,938</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Less non-same property NOI </w:t>
            </w:r>
            <w:r>
              <w:rPr>
                <w:rFonts w:ascii="Tahoma;sans-serif" w:hAnsi="Tahoma;sans-serif"/>
                <w:color w:val="000000"/>
                <w:sz w:val="9"/>
              </w:rPr>
              <w:t>(3)</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285</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(946)</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$273,823</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261,992</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4.5%</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Termination Fees</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$271,498</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260,220</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4.3%</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Termination Fees or Redevelopments</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$234,112</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226,005</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3.6%</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 w:hAnsi="Tahoma"/>
          <w:color w:val="000000"/>
          <w:sz w:val="16"/>
        </w:rPr>
      </w:pPr>
      <w:r>
        <w:rPr>
          <w:rFonts w:ascii="Tahoma" w:hAnsi="Tahoma"/>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straight-line rental income and expense, net of reserves, above and below market rent amortization, other fees, and noncontrolling interests.</w:t>
      </w:r>
    </w:p>
    <w:p>
      <w:pPr>
        <w:pStyle w:val="TextBody"/>
        <w:bidi w:val="0"/>
        <w:spacing w:before="60" w:after="283"/>
        <w:jc w:val="left"/>
        <w:rPr>
          <w:rFonts w:ascii="Tahoma" w:hAnsi="Tahoma"/>
          <w:color w:val="000000"/>
          <w:sz w:val="16"/>
        </w:rPr>
      </w:pPr>
      <w:r>
        <w:rPr>
          <w:rFonts w:ascii="Tahoma" w:hAnsi="Tahoma"/>
          <w:color w:val="000000"/>
          <w:sz w:val="16"/>
        </w:rPr>
        <w:t>(2)</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non-NOI expenses incurred at our unconsolidated real estate partnerships, such as, but not limited to, straight-line rental income, above and below market rent amortization, depreciation and amortization, interest expense, and real estate gains and impairments.</w:t>
      </w:r>
    </w:p>
    <w:p>
      <w:pPr>
        <w:pStyle w:val="TextBody"/>
        <w:bidi w:val="0"/>
        <w:spacing w:before="60" w:after="283"/>
        <w:jc w:val="left"/>
        <w:rPr>
          <w:rFonts w:ascii="Tahoma" w:hAnsi="Tahoma"/>
          <w:color w:val="000000"/>
          <w:sz w:val="16"/>
        </w:rPr>
      </w:pPr>
      <w:r>
        <w:rPr>
          <w:rFonts w:ascii="Tahoma" w:hAnsi="Tahoma"/>
          <w:color w:val="000000"/>
          <w:sz w:val="16"/>
        </w:rPr>
        <w:t>(3)</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revenues and expenses attributable to Non-Same Property, Projects in Development, corporate activities, and noncontrolling interests.</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Same Property NOI is a key non-GAAP pro-rata measure used by management in evaluating the operating performance of Regency’s properties. The Company provides a reconciliation of Net Income Attributable to Common Shareholders to pro-rata Same Property NOI.</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Reported results are preliminary and not final until the filing of the Company’s Form 10-Q with the SEC and, therefore, remain subject to adjustment.</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The Company has published forward-looking statements and additional financial information in its first quarter 2025 supplemental package that may help investors estimate earnings. A copy of the Company’s first quarter 2025 supplemental package will be available on the Company's website at </w:t>
      </w:r>
      <w:r>
        <w:rPr>
          <w:rFonts w:ascii="Tahoma;sans-serif" w:hAnsi="Tahoma;sans-serif"/>
          <w:sz w:val="20"/>
        </w:rPr>
        <w:t>investors.regencycenters.com</w:t>
      </w:r>
      <w:r>
        <w:rPr>
          <w:rFonts w:ascii="Times New Roman" w:hAnsi="Times New Roman"/>
          <w:color w:val="000000"/>
          <w:sz w:val="20"/>
        </w:rPr>
        <w:t xml:space="preserve"> </w:t>
      </w:r>
      <w:r>
        <w:rPr>
          <w:rFonts w:ascii="Tahoma;sans-serif" w:hAnsi="Tahoma;sans-serif"/>
          <w:color w:val="000000"/>
          <w:sz w:val="20"/>
        </w:rPr>
        <w:t>or by written request to: Investor Relations, Regency Centers Corporation, One Independent Drive, Suite 114, Jacksonville, Florida, 32202. The supplemental package contains more detailed financial and property results including financial statements, an outstanding debt summary, acquisition and development activity, investments in partnerships, information pertaining to securities issued other than common stock, property details, a significant tenant rent report and a lease expiration table in addition to earnings and valuation guidance assumptions. The information provided in the supplemental package is unaudited and includes non-GAAP measures, and there can be no assurance that the information will not vary from the final information in the Company’s Form 10-Q for the period ended March 31, 2025. Regency may, but assumes no obligation to, update information in the supplemental package from time to time.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ahoma;sans-serif" w:hAnsi="Tahoma;sans-serif"/>
          <w:color w:val="000000"/>
          <w:sz w:val="17"/>
        </w:rPr>
      </w:pPr>
      <w:r>
        <w:rPr>
          <w:rFonts w:ascii="Tahoma;sans-serif" w:hAnsi="Tahoma;sans-serif"/>
          <w:color w:val="000000"/>
          <w:sz w:val="17"/>
        </w:rPr>
        <w:t>###</w:t>
      </w:r>
    </w:p>
    <w:p>
      <w:pPr>
        <w:pStyle w:val="TextBody"/>
        <w:bidi w:val="0"/>
        <w:spacing w:before="240" w:after="120"/>
        <w:jc w:val="left"/>
        <w:rPr>
          <w:rFonts w:ascii="Times New Roman" w:hAnsi="Times New Roman"/>
          <w:sz w:val="20"/>
        </w:rPr>
      </w:pPr>
      <w:r>
        <w:rPr>
          <w:rFonts w:ascii="Tahoma;sans-serif" w:hAnsi="Tahoma;sans-serif"/>
          <w:b/>
          <w:color w:val="000000"/>
          <w:sz w:val="17"/>
        </w:rPr>
        <w:t>Non-GAAP Financial Measures</w:t>
      </w:r>
      <w:r>
        <w:rPr>
          <w:rFonts w:ascii="Times New Roman" w:hAnsi="Times New Roman"/>
          <w:color w:val="000000"/>
          <w:sz w:val="20"/>
        </w:rPr>
        <w:t xml:space="preserve"> </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We believe these non-GAAP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w:t>
      </w:r>
    </w:p>
    <w:p>
      <w:pPr>
        <w:pStyle w:val="TextBody"/>
        <w:bidi w:val="0"/>
        <w:spacing w:before="60" w:after="120"/>
        <w:jc w:val="left"/>
        <w:rPr>
          <w:rFonts w:ascii="Times New Roman" w:hAnsi="Times New Roman"/>
          <w:sz w:val="20"/>
        </w:rPr>
      </w:pPr>
      <w:r>
        <w:rPr>
          <w:rFonts w:ascii="Tahoma;sans-serif" w:hAnsi="Tahoma;sans-serif"/>
          <w:color w:val="000000"/>
          <w:sz w:val="17"/>
        </w:rPr>
        <w:t>We do not consider non-GAAP measures an alternative to financial measures determined in accordance with GAAP, rather they supplement GAAP measures by providing additional information we believe to be useful to our shareholders. The principal limitation of these non-GAAP financial measures is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w:t>
      </w:r>
      <w:r>
        <w:rPr>
          <w:rFonts w:ascii="Times New Roman" w:hAnsi="Times New Roman"/>
          <w:color w:val="000000"/>
          <w:sz w:val="20"/>
        </w:rPr>
        <w:t xml:space="preserve"> </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Nareit FFO is a commonly used measure of REIT performance, which the National Association of Real Estate Investment Trusts (“Nareit”) defines as net income, computed in accordance with GAAP, excluding gains on sale and impairments of real estate, net of tax, plus depreciation and amortization related to real estate, and after adjustments for unconsolidated real estate partnerships. Regency computes Nareit FFO for all periods presented in accordance with Nareit's definition. Since Nareit FFO excludes depreciation and amortization and gains on sales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Shareholders to Nareit FFO.</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Core Operating Earnings is an additional performance measure that excludes from Nareit FFO: (i) transaction related income or expenses; (ii) gains or losses from the early extinguishment of debt; (iii) certain non-cash components of earnings derived from above and below market rent amortization, straight-line rents, and amortization of mark-to-market of debt and derivative adjustments; and (iv) other amounts as they occur. The Company provides a reconciliation of Net Income Attributable to Common Shareholders to Nareit FFO to Core Operating Earnings.</w:t>
      </w:r>
    </w:p>
    <w:p>
      <w:pPr>
        <w:pStyle w:val="TextBody"/>
        <w:bidi w:val="0"/>
        <w:spacing w:before="0" w:after="120"/>
        <w:jc w:val="left"/>
        <w:rPr>
          <w:rFonts w:ascii="Times New Roman" w:hAnsi="Times New Roman"/>
          <w:sz w:val="20"/>
        </w:rPr>
      </w:pPr>
      <w:r>
        <w:rPr>
          <w:rFonts w:ascii="Tahoma;sans-serif" w:hAnsi="Tahoma;sans-serif"/>
          <w:color w:val="000000"/>
          <w:sz w:val="17"/>
        </w:rPr>
        <w:t>Adjusted Funds From Operations</w:t>
      </w:r>
      <w:r>
        <w:rPr>
          <w:rFonts w:ascii="Times New Roman" w:hAnsi="Times New Roman"/>
          <w:color w:val="000000"/>
          <w:sz w:val="20"/>
        </w:rPr>
        <w:t xml:space="preserve"> </w:t>
      </w:r>
      <w:r>
        <w:rPr>
          <w:rFonts w:ascii="Tahoma;sans-serif" w:hAnsi="Tahoma;sans-serif"/>
          <w:color w:val="000000"/>
          <w:sz w:val="17"/>
        </w:rPr>
        <w:t>is an additional performance measure used by Regency that reflects cash available to fund the Company’s business needs and distribution to shareholders. AFFO is calculated by adjusting Core Operating Earnings ("COE") for (i) capital expenditures necessary to maintain and lease the Company’s portfolio of properties, (ii) debt cost and derivative adjustments and (iii) stock-based compensation. The Company provides a reconciliation of Net Income Attributable to Common Shareholders to Nareit FFO, to Core Operating Earnings, and to Adjusted Funds from Operations.</w:t>
      </w:r>
    </w:p>
    <w:p>
      <w:pPr>
        <w:pStyle w:val="TextBody"/>
        <w:bidi w:val="0"/>
        <w:spacing w:before="60" w:after="120"/>
        <w:jc w:val="left"/>
        <w:rPr>
          <w:rFonts w:ascii="Times New Roman" w:hAnsi="Times New Roman"/>
          <w:sz w:val="20"/>
        </w:rPr>
      </w:pPr>
      <w:r>
        <w:rPr>
          <w:rFonts w:ascii="Tahoma;sans-serif" w:hAnsi="Tahoma;sans-serif"/>
          <w:b/>
          <w:color w:val="000000"/>
          <w:sz w:val="17"/>
          <w:u w:val="single"/>
        </w:rPr>
        <w:t>Pro-rata information:</w:t>
      </w:r>
      <w:r>
        <w:rPr>
          <w:rFonts w:ascii="Times New Roman" w:hAnsi="Times New Roman"/>
          <w:color w:val="000000"/>
          <w:sz w:val="20"/>
        </w:rPr>
        <w:t xml:space="preserve"> </w:t>
      </w:r>
      <w:r>
        <w:rPr>
          <w:rFonts w:ascii="Tahoma;sans-serif" w:hAnsi="Tahoma;sans-serif"/>
          <w:color w:val="000000"/>
          <w:sz w:val="17"/>
        </w:rPr>
        <w:t>includes 100% of the Company’s consolidated properties plus its economic share (based on the ownership interest) in the unconsolidated real estate investment partnerships. The Company provides Pro-rata financial information because Regency believes it assists investors and analysts in estimating the economic interest in the consolidated and unconsolidated real estate investment partnerships, when read in conjunction with the Company’s reported results under GAAP. The Company believes presenting its Pro-rata share of assets, liabilities, operating results, and other metrics, along with certain other non-GAAP financial measures, makes comparisons of its operating results to those of other REITs more meaningful. The Pro-rata information provided is not, nor is it intended to be, presented in accordance with GAAP. The Pro-rata supplemental details of assets and liabilities and supplemental details of operations reflect the Company’s proportionate economic ownership of the assets, liabilities, and operating results of the properties in our portfolio.</w:t>
      </w:r>
      <w:r>
        <w:rPr>
          <w:rFonts w:ascii="Times New Roman" w:hAnsi="Times New Roman"/>
          <w:color w:val="000000"/>
          <w:sz w:val="20"/>
        </w:rPr>
        <w:t xml:space="preserve"> </w:t>
      </w:r>
    </w:p>
    <w:p>
      <w:pPr>
        <w:pStyle w:val="TextBody"/>
        <w:bidi w:val="0"/>
        <w:spacing w:before="60" w:after="120"/>
        <w:jc w:val="left"/>
        <w:rPr>
          <w:rFonts w:ascii="Times New Roman" w:hAnsi="Times New Roman"/>
          <w:sz w:val="20"/>
        </w:rPr>
      </w:pPr>
      <w:r>
        <w:rPr>
          <w:rFonts w:ascii="Tahoma;sans-serif" w:hAnsi="Tahoma;sans-serif"/>
          <w:color w:val="000000"/>
          <w:sz w:val="17"/>
        </w:rPr>
        <w:t>The Pro-rata information is prepared on a basis consistent with the comparable consolidated amounts and is intended to more accurately reflect the Company’s proportionate economic interest in the assets, liabilities, and operating results of properties in its portfolio. The Company does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The Company’s share of invested capital establishes the ownership interests Regency uses to prepare its Pro-rata share.</w:t>
      </w:r>
      <w:r>
        <w:rPr>
          <w:rFonts w:ascii="Times New Roman" w:hAnsi="Times New Roman"/>
          <w:color w:val="000000"/>
          <w:sz w:val="20"/>
        </w:rPr>
        <w:t xml:space="preserve"> </w:t>
      </w:r>
    </w:p>
    <w:p>
      <w:pPr>
        <w:pStyle w:val="TextBody"/>
        <w:bidi w:val="0"/>
        <w:spacing w:before="60" w:after="120"/>
        <w:jc w:val="left"/>
        <w:rPr>
          <w:rFonts w:ascii="Times New Roman" w:hAnsi="Times New Roman"/>
          <w:sz w:val="20"/>
        </w:rPr>
      </w:pPr>
      <w:r>
        <w:rPr>
          <w:rFonts w:ascii="Tahoma;sans-serif" w:hAnsi="Tahoma;sans-serif"/>
          <w:color w:val="000000"/>
          <w:sz w:val="17"/>
        </w:rPr>
        <w:t>The presentation of Pro-rata information has limitations which include, but are not limited to, the following:</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 xml:space="preserve">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 </w:t>
      </w:r>
    </w:p>
    <w:p>
      <w:pPr>
        <w:pStyle w:val="TextBody"/>
        <w:bidi w:val="0"/>
        <w:spacing w:before="0" w:after="120"/>
        <w:jc w:val="left"/>
        <w:rPr>
          <w:color w:val="000000"/>
        </w:rPr>
      </w:pPr>
      <w:r>
        <w:rPr>
          <w:color w:val="000000"/>
        </w:rPr>
        <w: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 xml:space="preserve">Other companies in our industry may calculate their Pro-rata interest differently, limiting the comparability of Pro-rata information. </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Because of these limitations, the Pro-rata financial information should not be considered independently or as a substitute for the financial statements as reported under GAAP. The Company compensates for these limitations by relying primarily on our GAAP financial statements, using the Pro-rata information as a supplement.</w:t>
      </w:r>
    </w:p>
    <w:p>
      <w:pPr>
        <w:pStyle w:val="TextBody"/>
        <w:bidi w:val="0"/>
        <w:spacing w:before="60" w:after="360"/>
        <w:jc w:val="left"/>
        <w:rPr/>
      </w:pPr>
      <w:r>
        <w:rPr/>
        <w:t> </w:t>
      </w:r>
    </w:p>
    <w:p>
      <w:pPr>
        <w:pStyle w:val="TextBody"/>
        <w:bidi w:val="0"/>
        <w:spacing w:before="0" w:after="360"/>
        <w:jc w:val="left"/>
        <w:rPr/>
      </w:pPr>
      <w:r>
        <w:rPr/>
        <w:t> </w:t>
      </w:r>
    </w:p>
    <w:p>
      <w:pPr>
        <w:pStyle w:val="TextBody"/>
        <w:bidi w:val="0"/>
        <w:spacing w:before="0" w:after="3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Forward-Looking Statements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2025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2024 (“2024 Form 10-K”) under Item 1A, as supplemented by the discussion in Item 1A of Part II of our Quarterly Report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the Current Economic and Geopolitical Environments</w:t>
      </w:r>
    </w:p>
    <w:p>
      <w:pPr>
        <w:pStyle w:val="TextBody"/>
        <w:bidi w:val="0"/>
        <w:spacing w:before="0" w:after="120"/>
        <w:jc w:val="left"/>
        <w:rPr>
          <w:rFonts w:ascii="Times New Roman" w:hAnsi="Times New Roman"/>
          <w:sz w:val="20"/>
        </w:rPr>
      </w:pPr>
      <w:r>
        <w:rPr>
          <w:rFonts w:ascii="Tahoma;sans-serif" w:hAnsi="Tahoma;sans-serif"/>
          <w:color w:val="000000"/>
          <w:sz w:val="17"/>
        </w:rPr>
        <w:t xml:space="preserve">Interest rates in the current economic environment may adversely impact our cost to borrow, real estate valuation, and stock price. Economic challenges and policy changes may adversely impact our tenants and our business. Unfavorable developments that may affect the banking and financial services industry could adversely affect our business, liquidity and financial condition, and overall results of operations. Current geopolitical challenges could impact the U.S. economy and consumer spending and our results of operations and financial condition. </w:t>
      </w:r>
      <w:r>
        <w:rPr>
          <w:rFonts w:ascii="Tahoma;sans-serif" w:hAnsi="Tahoma;sans-serif"/>
          <w:color w:val="000000"/>
          <w:sz w:val="16"/>
        </w:rPr>
        <w:t>Evolving political and economic events and uncertainties, including tariffs, retaliatory tariffs, international trade disputes, and immigration policies could adversely impact the businesses of our tenants and our business</w:t>
      </w:r>
      <w:r>
        <w:rPr>
          <w:rFonts w:ascii="Tahoma;sans-serif" w:hAnsi="Tahoma;sans-serif"/>
          <w:color w:val="000000"/>
          <w:sz w:val="13"/>
        </w:rPr>
        <w:t>.</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Pandemics or other Public Health Crises</w:t>
      </w:r>
    </w:p>
    <w:p>
      <w:pPr>
        <w:pStyle w:val="TextBody"/>
        <w:bidi w:val="0"/>
        <w:spacing w:before="0" w:after="120"/>
        <w:jc w:val="left"/>
        <w:rPr>
          <w:rFonts w:ascii="Times New Roman" w:hAnsi="Times New Roman"/>
          <w:sz w:val="20"/>
        </w:rPr>
      </w:pPr>
      <w:r>
        <w:rPr>
          <w:rFonts w:ascii="Tahoma;sans-serif" w:hAnsi="Tahoma;sans-serif"/>
          <w:color w:val="000000"/>
          <w:sz w:val="17"/>
        </w:rPr>
        <w:t>Pandemics or other public health crises may adversely affect our tenants financial condition, the profitability of our properties, and our access to the capital markets and could have a material adverse effect on our business, results of operations, cash flows and financial condition.</w:t>
      </w:r>
      <w:r>
        <w:rPr>
          <w:rFonts w:ascii="Times New Roman" w:hAnsi="Times New Roman"/>
          <w:color w:val="000000"/>
          <w:sz w:val="20"/>
        </w:rPr>
        <w:t xml:space="preserve"> </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Operating Retail-Based Shopping Centers</w:t>
      </w:r>
    </w:p>
    <w:p>
      <w:pPr>
        <w:pStyle w:val="TextBody"/>
        <w:bidi w:val="0"/>
        <w:spacing w:before="0" w:after="120"/>
        <w:jc w:val="left"/>
        <w:rPr>
          <w:rFonts w:ascii="Times New Roman" w:hAnsi="Times New Roman"/>
          <w:sz w:val="20"/>
        </w:rPr>
      </w:pPr>
      <w:r>
        <w:rPr>
          <w:rFonts w:ascii="Tahoma;sans-serif" w:hAnsi="Tahoma;sans-serif"/>
          <w:color w:val="000000"/>
          <w:sz w:val="17"/>
        </w:rPr>
        <w:t>Economic and market conditions may adversely affect the retail industry and consequently reduce our revenues and cash flow, and increase our operating expenses. Shifts in retail trends, sales, and delivery methods between brick-and-mortar stores, e-commerce, home delivery, and curbside pick-up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regulations may have a material negative effect on us.</w:t>
      </w:r>
      <w:r>
        <w:rPr>
          <w:rFonts w:ascii="Times New Roman" w:hAnsi="Times New Roman"/>
          <w:color w:val="000000"/>
          <w:sz w:val="20"/>
        </w:rPr>
        <w:t xml:space="preserve"> </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Real Estate Investments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the Environment Affecting Our Properties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Climate change may adversely impact our properties, some of which may be more vulnerable due to their geographic location, and may lead to additional compliance obligations and costs. Costs of environmental remediation may adversely impact our financial performance and reduce our cash flow.</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Corporate Matters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An increased focus on metrics and reporting related to environmental, social, and governance (“ESG”) factors by investors and other stakeholders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Our Partnerships and Joint Ventures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Funding Strategies and Capital Structure</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Our ability to sell properties and fund acquisitions and developments may be adversely impacted by higher market capitalization rates and lower NOI at our properties which may adversely affect results of operations and financial condition.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Information Management and Technology</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The unauthorized access, use, theft or destruction of tenant or employee personal, financial or other data, or of Regency's proprietary or confidential information stored in our information systems or by third parties on our behalf, could impact operations, and expose us to potential liabilities and material adverse financial impact. Any actual or perceived failure to comply with new or existing laws, regulations and other requirements relating to the privacy, security and processing of personal information could adversely affect our business, results of operations, or financial condition. The use of technology based on artificial intelligence presents risks relating to confidentiality, creation of inaccurate and flawed outputs and emerging regulatory risk, any or all of which may adversely affect our business and results of operations.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Taxes and the Parent Company’s Qualification as a REIT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If the Parent Company fails to qualify as a REIT for federal income tax purposes, it would be subject to federal income tax at regular corporate rates. Dividends paid by REITs generally do not qualify for reduced tax rates. Certain non-U.S. stockholders may be subject to U.S. federal income tax on gain recognized on a disposition of our common stock if the Parent Company does not qualify as a “domestically controlled” REIT.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the Company’s Stock</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Restrictions on the ownership of the Parent Company’s capital stock to preserve its REIT status may delay or prevent a change in control. The issuance of the Parent Company's capital stock may delay or prevent a change in control. Ownership in the Parent Company may be diluted in the future. The Parent Company’s amended and restated bylaws provides that the courts located in the State of Florida will be the sole and exclusive forum for substantially all disputes between us and our stockholders, which could limit our stockholders’ ability to obtain a favorable judicial forum for disputes with us or our directors, officers, or employees. There is no assurance that we will continue to pay dividends at current or historical rates.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 w:name="reg-ex99_2.htm"/>
      <w:bookmarkStart w:id="6" w:name="ksregex99_2"/>
      <w:bookmarkEnd w:id="5"/>
      <w:bookmarkEnd w:id="6"/>
      <w:r>
        <w:rPr>
          <w:rFonts w:ascii="Times New Roman" w:hAnsi="Times New Roman"/>
          <w:b/>
          <w:color w:val="000000"/>
          <w:sz w:val="22"/>
        </w:rPr>
        <w:t>Exhibit 99.2</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438900" cy="814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38900" cy="81438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Table of Contents</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spacing w:before="20" w:after="283"/>
        <w:jc w:val="left"/>
        <w:rPr/>
      </w:pPr>
      <w:r>
        <w:rPr/>
        <w:t> </w:t>
      </w:r>
    </w:p>
    <w:tbl>
      <w:tblPr>
        <w:tblW w:w="6137" w:type="dxa"/>
        <w:jc w:val="left"/>
        <w:tblInd w:w="0" w:type="dxa"/>
        <w:tblLayout w:type="fixed"/>
        <w:tblCellMar>
          <w:top w:w="28" w:type="dxa"/>
          <w:left w:w="28" w:type="dxa"/>
          <w:bottom w:w="28" w:type="dxa"/>
          <w:right w:w="28" w:type="dxa"/>
        </w:tblCellMar>
      </w:tblPr>
      <w:tblGrid>
        <w:gridCol w:w="5806"/>
        <w:gridCol w:w="331"/>
      </w:tblGrid>
      <w:tr>
        <w:trPr/>
        <w:tc>
          <w:tcPr>
            <w:tcW w:w="58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Safe Harbor Language</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forwardlooking">
              <w:r>
                <w:rPr>
                  <w:rStyle w:val="InternetLink"/>
                  <w:rFonts w:ascii="Tahoma;sans-serif" w:hAnsi="Tahoma;sans-serif"/>
                  <w:color w:val="0000FF"/>
                  <w:sz w:val="17"/>
                  <w:u w:val="single"/>
                </w:rPr>
                <w:t>i</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Earnings Press Release</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pressrelease">
              <w:r>
                <w:rPr>
                  <w:rStyle w:val="InternetLink"/>
                  <w:rFonts w:ascii="Tahoma;sans-serif" w:hAnsi="Tahoma;sans-serif"/>
                  <w:color w:val="0000FF"/>
                  <w:sz w:val="17"/>
                  <w:u w:val="single"/>
                </w:rPr>
                <w:t>ii</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Summary Information:</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Financial Results Summary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ummaryfininfo">
              <w:r>
                <w:rPr>
                  <w:rStyle w:val="InternetLink"/>
                  <w:rFonts w:ascii="Tahoma;sans-serif" w:hAnsi="Tahoma;sans-serif"/>
                  <w:color w:val="0000FF"/>
                  <w:sz w:val="17"/>
                  <w:u w:val="single"/>
                </w:rPr>
                <w:t>1</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Real Estate Portfolio Summary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ummaryreinfo">
              <w:r>
                <w:rPr>
                  <w:rStyle w:val="InternetLink"/>
                  <w:rFonts w:ascii="Tahoma;sans-serif" w:hAnsi="Tahoma;sans-serif"/>
                  <w:color w:val="0000FF"/>
                  <w:sz w:val="17"/>
                  <w:u w:val="single"/>
                </w:rPr>
                <w:t>2</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Financial Information:</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Consolidated Balance Sheets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onsolbs">
              <w:r>
                <w:rPr>
                  <w:rStyle w:val="InternetLink"/>
                  <w:rFonts w:ascii="Tahoma;sans-serif" w:hAnsi="Tahoma;sans-serif"/>
                  <w:color w:val="0000FF"/>
                  <w:sz w:val="17"/>
                  <w:u w:val="single"/>
                </w:rPr>
                <w:t>3</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Assets and Liabilities (Real Estate Partnerships Only)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uppdetailsbsjv">
              <w:r>
                <w:rPr>
                  <w:rStyle w:val="InternetLink"/>
                  <w:rFonts w:ascii="Tahoma;sans-serif" w:hAnsi="Tahoma;sans-serif"/>
                  <w:color w:val="0000FF"/>
                  <w:sz w:val="17"/>
                  <w:u w:val="single"/>
                </w:rPr>
                <w:t>4</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Consolidated Statements of Operations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onsolops">
              <w:r>
                <w:rPr>
                  <w:rStyle w:val="InternetLink"/>
                  <w:rFonts w:ascii="Tahoma;sans-serif" w:hAnsi="Tahoma;sans-serif"/>
                  <w:color w:val="0000FF"/>
                  <w:sz w:val="17"/>
                  <w:u w:val="single"/>
                </w:rPr>
                <w:t>5</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Operations (Consolidated Only)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uppdetailsops">
              <w:r>
                <w:rPr>
                  <w:rStyle w:val="InternetLink"/>
                  <w:rFonts w:ascii="Tahoma;sans-serif" w:hAnsi="Tahoma;sans-serif"/>
                  <w:color w:val="0000FF"/>
                  <w:sz w:val="17"/>
                  <w:u w:val="single"/>
                </w:rPr>
                <w:t>6</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Operations (Real Estate Partnerships Only)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uppdetailsopsjv">
              <w:r>
                <w:rPr>
                  <w:rStyle w:val="InternetLink"/>
                  <w:rFonts w:ascii="Tahoma;sans-serif" w:hAnsi="Tahoma;sans-serif"/>
                  <w:color w:val="0000FF"/>
                  <w:sz w:val="17"/>
                  <w:u w:val="single"/>
                </w:rPr>
                <w:t>7</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Same Property NOI (Pro-Rata)</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pnoi">
              <w:r>
                <w:rPr>
                  <w:rStyle w:val="InternetLink"/>
                  <w:rFonts w:ascii="Tahoma;sans-serif" w:hAnsi="Tahoma;sans-serif"/>
                  <w:color w:val="0000FF"/>
                  <w:sz w:val="17"/>
                  <w:u w:val="single"/>
                </w:rPr>
                <w:t>8</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Reconciliations of Non-GAAP Financial Measures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recons">
              <w:r>
                <w:rPr>
                  <w:rStyle w:val="InternetLink"/>
                  <w:rFonts w:ascii="Tahoma;sans-serif" w:hAnsi="Tahoma;sans-serif"/>
                  <w:color w:val="0000FF"/>
                  <w:sz w:val="17"/>
                  <w:u w:val="single"/>
                </w:rPr>
                <w:t>9</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Capital Expenditures and Additional Disclosures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apex">
              <w:r>
                <w:rPr>
                  <w:rStyle w:val="InternetLink"/>
                  <w:rFonts w:ascii="Tahoma;sans-serif" w:hAnsi="Tahoma;sans-serif"/>
                  <w:color w:val="0000FF"/>
                  <w:sz w:val="17"/>
                  <w:u w:val="single"/>
                </w:rPr>
                <w:t>10</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Debt Information:</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Consolidated Debt</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onsoldebt">
              <w:r>
                <w:rPr>
                  <w:rStyle w:val="InternetLink"/>
                  <w:rFonts w:ascii="Tahoma;sans-serif" w:hAnsi="Tahoma;sans-serif"/>
                  <w:color w:val="0000FF"/>
                  <w:sz w:val="17"/>
                  <w:u w:val="single"/>
                </w:rPr>
                <w:t>11</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Details of Consolidated Debt</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onsoldebtdetail">
              <w:r>
                <w:rPr>
                  <w:rStyle w:val="InternetLink"/>
                  <w:rFonts w:ascii="Tahoma;sans-serif" w:hAnsi="Tahoma;sans-serif"/>
                  <w:color w:val="0000FF"/>
                  <w:sz w:val="17"/>
                  <w:u w:val="single"/>
                </w:rPr>
                <w:t>12</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Unsecured Debt Covenants and Leverage Ratios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ovenants">
              <w:r>
                <w:rPr>
                  <w:rStyle w:val="InternetLink"/>
                  <w:rFonts w:ascii="Tahoma;sans-serif" w:hAnsi="Tahoma;sans-serif"/>
                  <w:color w:val="0000FF"/>
                  <w:sz w:val="17"/>
                  <w:u w:val="single"/>
                </w:rPr>
                <w:t>13</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Unconsolidated Debt</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debtjv">
              <w:r>
                <w:rPr>
                  <w:rStyle w:val="InternetLink"/>
                  <w:rFonts w:ascii="Tahoma;sans-serif" w:hAnsi="Tahoma;sans-serif"/>
                  <w:color w:val="0000FF"/>
                  <w:sz w:val="17"/>
                  <w:u w:val="single"/>
                </w:rPr>
                <w:t>14</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Investments:</w:t>
            </w:r>
          </w:p>
        </w:tc>
        <w:tc>
          <w:tcPr>
            <w:tcW w:w="33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Unconsolidated Real Estate Partnerships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investments">
              <w:r>
                <w:rPr>
                  <w:rStyle w:val="InternetLink"/>
                  <w:rFonts w:ascii="Tahoma;sans-serif" w:hAnsi="Tahoma;sans-serif"/>
                  <w:color w:val="0000FF"/>
                  <w:sz w:val="17"/>
                  <w:u w:val="single"/>
                </w:rPr>
                <w:t>15</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Property Transactions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proptransactions">
              <w:r>
                <w:rPr>
                  <w:rStyle w:val="InternetLink"/>
                  <w:rFonts w:ascii="Tahoma;sans-serif" w:hAnsi="Tahoma;sans-serif"/>
                  <w:color w:val="0000FF"/>
                  <w:sz w:val="17"/>
                  <w:u w:val="single"/>
                </w:rPr>
                <w:t>16</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In-Process Developments and Redevelopments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devredevinprocess">
              <w:r>
                <w:rPr>
                  <w:rStyle w:val="InternetLink"/>
                  <w:rFonts w:ascii="Tahoma;sans-serif" w:hAnsi="Tahoma;sans-serif"/>
                  <w:color w:val="0000FF"/>
                  <w:sz w:val="17"/>
                  <w:u w:val="single"/>
                </w:rPr>
                <w:t>17</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Development and Redevelopment Current Year Completions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devredevcompletions">
              <w:r>
                <w:rPr>
                  <w:rStyle w:val="InternetLink"/>
                  <w:rFonts w:ascii="Tahoma;sans-serif" w:hAnsi="Tahoma;sans-serif"/>
                  <w:color w:val="0000FF"/>
                  <w:sz w:val="17"/>
                  <w:u w:val="single"/>
                </w:rPr>
                <w:t>18</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Real Estate Information:</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Leasing Statistics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leasingstats">
              <w:r>
                <w:rPr>
                  <w:rStyle w:val="InternetLink"/>
                  <w:rFonts w:ascii="Tahoma;sans-serif" w:hAnsi="Tahoma;sans-serif"/>
                  <w:color w:val="0000FF"/>
                  <w:sz w:val="17"/>
                  <w:u w:val="single"/>
                </w:rPr>
                <w:t>19</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New Lease Net Effective Rent and Leases Signed Not Yet Commenced</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neteffectiverent">
              <w:r>
                <w:rPr>
                  <w:rStyle w:val="InternetLink"/>
                  <w:rFonts w:ascii="Tahoma;sans-serif" w:hAnsi="Tahoma;sans-serif"/>
                  <w:color w:val="0000FF"/>
                  <w:sz w:val="17"/>
                  <w:u w:val="single"/>
                </w:rPr>
                <w:t>20</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Annual Base Rent by State</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abrbystate">
              <w:r>
                <w:rPr>
                  <w:rStyle w:val="InternetLink"/>
                  <w:rFonts w:ascii="Tahoma;sans-serif" w:hAnsi="Tahoma;sans-serif"/>
                  <w:color w:val="0000FF"/>
                  <w:sz w:val="17"/>
                  <w:u w:val="single"/>
                </w:rPr>
                <w:t>21</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Annual Base Rent by CBSA</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abrbycbsa">
              <w:r>
                <w:rPr>
                  <w:rStyle w:val="InternetLink"/>
                  <w:rFonts w:ascii="Tahoma;sans-serif" w:hAnsi="Tahoma;sans-serif"/>
                  <w:color w:val="0000FF"/>
                  <w:sz w:val="17"/>
                  <w:u w:val="single"/>
                </w:rPr>
                <w:t>22</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Annual Base Rent by Tenant Category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abrbycategory">
              <w:r>
                <w:rPr>
                  <w:rStyle w:val="InternetLink"/>
                  <w:rFonts w:ascii="Tahoma;sans-serif" w:hAnsi="Tahoma;sans-serif"/>
                  <w:color w:val="0000FF"/>
                  <w:sz w:val="17"/>
                  <w:u w:val="single"/>
                </w:rPr>
                <w:t>23</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Significant Tenant Rents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igtenants">
              <w:r>
                <w:rPr>
                  <w:rStyle w:val="InternetLink"/>
                  <w:rFonts w:ascii="Tahoma;sans-serif" w:hAnsi="Tahoma;sans-serif"/>
                  <w:color w:val="0000FF"/>
                  <w:sz w:val="17"/>
                  <w:u w:val="single"/>
                </w:rPr>
                <w:t>24</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Tenant Lease Expirations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leaseexpirations">
              <w:r>
                <w:rPr>
                  <w:rStyle w:val="InternetLink"/>
                  <w:rFonts w:ascii="Tahoma;sans-serif" w:hAnsi="Tahoma;sans-serif"/>
                  <w:color w:val="0000FF"/>
                  <w:sz w:val="17"/>
                  <w:u w:val="single"/>
                </w:rPr>
                <w:t>25</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Additional Disclosures and Forward-Looking Information:</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Components of NAV</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nav">
              <w:r>
                <w:rPr>
                  <w:rStyle w:val="InternetLink"/>
                  <w:rFonts w:ascii="Tahoma;sans-serif" w:hAnsi="Tahoma;sans-serif"/>
                  <w:color w:val="0000FF"/>
                  <w:sz w:val="17"/>
                  <w:u w:val="single"/>
                </w:rPr>
                <w:t>26</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Earnings Guidance</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guidance">
              <w:r>
                <w:rPr>
                  <w:rStyle w:val="InternetLink"/>
                  <w:rFonts w:ascii="Tahoma;sans-serif" w:hAnsi="Tahoma;sans-serif"/>
                  <w:color w:val="0000FF"/>
                  <w:sz w:val="17"/>
                  <w:u w:val="single"/>
                </w:rPr>
                <w:t>27</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Glossary of Terms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glossary">
              <w:r>
                <w:rPr>
                  <w:rStyle w:val="InternetLink"/>
                  <w:rFonts w:ascii="Tahoma;sans-serif" w:hAnsi="Tahoma;sans-serif"/>
                  <w:color w:val="0000FF"/>
                  <w:sz w:val="17"/>
                  <w:u w:val="single"/>
                </w:rPr>
                <w:t>28</w:t>
              </w:r>
            </w:hyperlink>
          </w:p>
        </w:tc>
      </w:tr>
    </w:tbl>
    <w:p>
      <w:pPr>
        <w:pStyle w:val="TextBody"/>
        <w:bidi w:val="0"/>
        <w:spacing w:before="20" w:after="283"/>
        <w:jc w:val="left"/>
        <w:rPr/>
      </w:pPr>
      <w:r>
        <w:rPr/>
        <w:t> </w:t>
      </w:r>
    </w:p>
    <w:p>
      <w:pPr>
        <w:pStyle w:val="TextBody"/>
        <w:bidi w:val="0"/>
        <w:jc w:val="left"/>
        <w:rPr>
          <w:rFonts w:ascii="Times New Roman" w:hAnsi="Times New Roman"/>
          <w:sz w:val="20"/>
        </w:rPr>
      </w:pPr>
      <w:r>
        <w:rPr>
          <w:rFonts w:ascii="Tahoma;sans-serif" w:hAnsi="Tahoma;sans-serif"/>
          <w:color w:val="000000"/>
          <w:sz w:val="14"/>
        </w:rPr>
        <w:t xml:space="preserve">Note: Portfolio Summary Report now located within Selected Supplemental Pages excel posted on the Company's website at </w:t>
      </w:r>
      <w:r>
        <w:rPr>
          <w:rFonts w:ascii="Tahoma;sans-serif" w:hAnsi="Tahoma;sans-serif"/>
          <w:sz w:val="14"/>
        </w:rPr>
        <w:t>investors.regency.com</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7" w:name="forwardlooking"/>
      <w:bookmarkEnd w:id="7"/>
      <w:r>
        <w:rPr>
          <w:rFonts w:ascii="Tahoma;sans-serif" w:hAnsi="Tahoma;sans-serif"/>
          <w:b/>
          <w:color w:val="000000"/>
          <w:sz w:val="20"/>
        </w:rPr>
        <w:t>Safe Harbor Language</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left"/>
        <w:rPr/>
      </w:pPr>
      <w:r>
        <w:rPr/>
        <w:t> </w:t>
      </w:r>
    </w:p>
    <w:p>
      <w:pPr>
        <w:pStyle w:val="Heading1"/>
        <w:bidi w:val="0"/>
        <w:jc w:val="left"/>
        <w:rPr>
          <w:rFonts w:ascii="Tahoma;sans-serif" w:hAnsi="Tahoma;sans-serif"/>
          <w:b/>
          <w:color w:val="000000"/>
          <w:sz w:val="13"/>
          <w:u w:val="single"/>
        </w:rPr>
      </w:pPr>
      <w:r>
        <w:rPr>
          <w:rFonts w:ascii="Tahoma;sans-serif" w:hAnsi="Tahoma;sans-serif"/>
          <w:b/>
          <w:color w:val="000000"/>
          <w:sz w:val="13"/>
          <w:u w:val="single"/>
        </w:rPr>
        <w:t>Forward-Looking Statements</w:t>
      </w:r>
    </w:p>
    <w:p>
      <w:pPr>
        <w:pStyle w:val="TextBody"/>
        <w:bidi w:val="0"/>
        <w:jc w:val="left"/>
        <w:rPr>
          <w:rFonts w:ascii="Times New Roman" w:hAnsi="Times New Roman"/>
          <w:sz w:val="20"/>
        </w:rPr>
      </w:pPr>
      <w:r>
        <w:rPr>
          <w:rFonts w:ascii="Tahoma;sans-serif" w:hAnsi="Tahoma;sans-serif"/>
          <w:color w:val="000000"/>
          <w:sz w:val="13"/>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2025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2024 (“2024 Form 10-K”) under Item 1A,</w:t>
      </w:r>
      <w:r>
        <w:rPr>
          <w:rFonts w:ascii="Times New Roman" w:hAnsi="Times New Roman"/>
          <w:color w:val="000000"/>
          <w:sz w:val="20"/>
        </w:rPr>
        <w:t xml:space="preserve"> </w:t>
      </w:r>
      <w:r>
        <w:rPr>
          <w:rFonts w:ascii="Tahoma;sans-serif" w:hAnsi="Tahoma;sans-serif"/>
          <w:color w:val="000000"/>
          <w:sz w:val="13"/>
        </w:rPr>
        <w:t>as supplemented by the discussion in Item 1A of Part II of our Quarterly Report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Current Economic and Geopolitical Environments</w:t>
      </w:r>
    </w:p>
    <w:p>
      <w:pPr>
        <w:pStyle w:val="TextBody"/>
        <w:bidi w:val="0"/>
        <w:jc w:val="left"/>
        <w:rPr>
          <w:rFonts w:ascii="Tahoma;sans-serif" w:hAnsi="Tahoma;sans-serif"/>
          <w:color w:val="000000"/>
          <w:sz w:val="13"/>
        </w:rPr>
      </w:pPr>
      <w:r>
        <w:rPr>
          <w:rFonts w:ascii="Tahoma;sans-serif" w:hAnsi="Tahoma;sans-serif"/>
          <w:color w:val="000000"/>
          <w:sz w:val="13"/>
        </w:rPr>
        <w:t>Interest rates in the current economic environment may adversely impact our cost to borrow, real estate valuation, and stock price. Economic challenges and policy changes may adversely impact our tenants and our business. Unfavorable developments that may affect the banking and financial services industry could adversely affect our business, liquidity and financial condition, and overall results of operations. Current geopolitical challenges could impact the U.S. economy and consumer spending and our results of operations and financial condition. Evolving political and economic events and uncertainties, including tariffs, retaliatory tariffs, international trade disputes, and immigration policies could adversely impact the businesses of our tenants and our business.</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Pandemics or other Public Health Crises</w:t>
      </w:r>
    </w:p>
    <w:p>
      <w:pPr>
        <w:pStyle w:val="TextBody"/>
        <w:bidi w:val="0"/>
        <w:jc w:val="left"/>
        <w:rPr>
          <w:rFonts w:ascii="Times New Roman" w:hAnsi="Times New Roman"/>
          <w:sz w:val="20"/>
        </w:rPr>
      </w:pPr>
      <w:r>
        <w:rPr>
          <w:rFonts w:ascii="Tahoma;sans-serif" w:hAnsi="Tahoma;sans-serif"/>
          <w:color w:val="000000"/>
          <w:sz w:val="13"/>
        </w:rPr>
        <w:t>Pandemics or other public health crises may adversely affect our tenants financial condition, the profitability of our properties, and our access to the capital markets and could have a material adverse effect on our business, results of operations, cash flows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Operating Retail-Based Shopping Centers</w:t>
      </w:r>
    </w:p>
    <w:p>
      <w:pPr>
        <w:pStyle w:val="TextBody"/>
        <w:bidi w:val="0"/>
        <w:jc w:val="left"/>
        <w:rPr>
          <w:rFonts w:ascii="Tahoma;sans-serif" w:hAnsi="Tahoma;sans-serif"/>
          <w:color w:val="000000"/>
          <w:sz w:val="13"/>
        </w:rPr>
      </w:pPr>
      <w:r>
        <w:rPr>
          <w:rFonts w:ascii="Tahoma;sans-serif" w:hAnsi="Tahoma;sans-serif"/>
          <w:color w:val="000000"/>
          <w:sz w:val="13"/>
        </w:rPr>
        <w:t xml:space="preserve">Economic and market conditions may adversely affect the retail industry and consequently reduce our revenues and cash flow, and increase our operating expenses. Shifts in retail trends, sales, and delivery methods between brick-and-mortar stores, e-commerce, home delivery, and curbside pick-up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regulations may have a material negative effect on us. </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Real Estate Investments</w:t>
      </w:r>
    </w:p>
    <w:p>
      <w:pPr>
        <w:pStyle w:val="TextBody"/>
        <w:bidi w:val="0"/>
        <w:jc w:val="left"/>
        <w:rPr>
          <w:rFonts w:ascii="Tahoma;sans-serif" w:hAnsi="Tahoma;sans-serif"/>
          <w:color w:val="000000"/>
          <w:sz w:val="13"/>
        </w:rPr>
      </w:pPr>
      <w:r>
        <w:rPr>
          <w:rFonts w:ascii="Tahoma;sans-serif" w:hAnsi="Tahoma;sans-serif"/>
          <w:color w:val="000000"/>
          <w:sz w:val="13"/>
        </w:rPr>
        <w:t xml:space="preserve">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 </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Environment Affecting Our Properties</w:t>
      </w:r>
    </w:p>
    <w:p>
      <w:pPr>
        <w:pStyle w:val="TextBody"/>
        <w:bidi w:val="0"/>
        <w:jc w:val="left"/>
        <w:rPr>
          <w:rFonts w:ascii="Tahoma;sans-serif" w:hAnsi="Tahoma;sans-serif"/>
          <w:color w:val="000000"/>
          <w:sz w:val="13"/>
        </w:rPr>
      </w:pPr>
      <w:r>
        <w:rPr>
          <w:rFonts w:ascii="Tahoma;sans-serif" w:hAnsi="Tahoma;sans-serif"/>
          <w:color w:val="000000"/>
          <w:sz w:val="13"/>
        </w:rPr>
        <w:t>Climate change may adversely impact our properties, some of which may be more vulnerable due to their geographic location, and may lead to additional compliance obligations and costs. Costs of environmental remediation may adversely impact our financial performance and reduce our cash flow.</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Corporate Matters</w:t>
      </w:r>
    </w:p>
    <w:p>
      <w:pPr>
        <w:pStyle w:val="TextBody"/>
        <w:bidi w:val="0"/>
        <w:jc w:val="left"/>
        <w:rPr>
          <w:rFonts w:ascii="Tahoma;sans-serif" w:hAnsi="Tahoma;sans-serif"/>
          <w:color w:val="000000"/>
          <w:sz w:val="13"/>
        </w:rPr>
      </w:pPr>
      <w:r>
        <w:rPr>
          <w:rFonts w:ascii="Tahoma;sans-serif" w:hAnsi="Tahoma;sans-serif"/>
          <w:color w:val="000000"/>
          <w:sz w:val="13"/>
        </w:rPr>
        <w:t>An increased focus on metrics and reporting related to environmental, social, and governance (“ESG”) factors by investors and other stakeholders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Our Partnerships and Joint Ventures</w:t>
      </w:r>
    </w:p>
    <w:p>
      <w:pPr>
        <w:pStyle w:val="TextBody"/>
        <w:bidi w:val="0"/>
        <w:jc w:val="left"/>
        <w:rPr>
          <w:rFonts w:ascii="Tahoma;sans-serif" w:hAnsi="Tahoma;sans-serif"/>
          <w:color w:val="000000"/>
          <w:sz w:val="13"/>
        </w:rPr>
      </w:pPr>
      <w:r>
        <w:rPr>
          <w:rFonts w:ascii="Tahoma;sans-serif" w:hAnsi="Tahoma;sans-serif"/>
          <w:color w:val="000000"/>
          <w:sz w:val="13"/>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Funding Strategies and Capital Structure</w:t>
      </w:r>
    </w:p>
    <w:p>
      <w:pPr>
        <w:pStyle w:val="TextBody"/>
        <w:bidi w:val="0"/>
        <w:jc w:val="left"/>
        <w:rPr>
          <w:rFonts w:ascii="Tahoma;sans-serif" w:hAnsi="Tahoma;sans-serif"/>
          <w:color w:val="000000"/>
          <w:sz w:val="13"/>
        </w:rPr>
      </w:pPr>
      <w:r>
        <w:rPr>
          <w:rFonts w:ascii="Tahoma;sans-serif" w:hAnsi="Tahoma;sans-serif"/>
          <w:color w:val="000000"/>
          <w:sz w:val="13"/>
        </w:rPr>
        <w:t>Our ability to sell properties and fund acquisitions and developments may be adversely impacted by higher market capitalization rates and lower NOI at our properties which may adversely affect results of operations and financial condition.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Information Management and Technology</w:t>
      </w:r>
    </w:p>
    <w:p>
      <w:pPr>
        <w:pStyle w:val="TextBody"/>
        <w:bidi w:val="0"/>
        <w:jc w:val="left"/>
        <w:rPr>
          <w:rFonts w:ascii="Times New Roman" w:hAnsi="Times New Roman"/>
          <w:sz w:val="20"/>
        </w:rPr>
      </w:pPr>
      <w:r>
        <w:rPr>
          <w:rFonts w:ascii="Tahoma;sans-serif" w:hAnsi="Tahoma;sans-serif"/>
          <w:color w:val="000000"/>
          <w:sz w:val="13"/>
        </w:rPr>
        <w:t>The unauthorized access, use, theft or destruction of tenant or employee personal, financial or other data, or of Regency's proprietary or confidential information stored in our information systems or by third parties on our behalf, could impact operations, and expose us to potential liabilities and material adverse financial impact. Any actual or perceived failure to comply with new or existing laws, regulations and other requirements relating to the privacy, security and processing of personal information could adversely affect our business, results of operations, or financial condition. The use of technology based on artificial intelligence presents risks relating to confidentiality, creation of inaccurate and flawed outputs and emerging regulatory risk, any or all of which may adversely affect our business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Taxes and the Parent Company’s Qualification as a REIT</w:t>
      </w:r>
    </w:p>
    <w:p>
      <w:pPr>
        <w:pStyle w:val="TextBody"/>
        <w:bidi w:val="0"/>
        <w:jc w:val="left"/>
        <w:rPr>
          <w:rFonts w:ascii="Tahoma;sans-serif" w:hAnsi="Tahoma;sans-serif"/>
          <w:color w:val="000000"/>
          <w:sz w:val="13"/>
        </w:rPr>
      </w:pPr>
      <w:r>
        <w:rPr>
          <w:rFonts w:ascii="Tahoma;sans-serif" w:hAnsi="Tahoma;sans-serif"/>
          <w:color w:val="000000"/>
          <w:sz w:val="13"/>
        </w:rPr>
        <w:t>If the Parent Company fails to qualify as a REIT for federal income tax purposes, it would be subject to federal income tax at regular corporate rates. Dividends paid by REITs generally do not qualify for reduced tax rates. Certain non-U.S. stockholders may be subject to U.S. federal income tax on gain recognized on a disposition of our common stock if the Parent Company does not qualify as a “domestically controlled” REIT.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Company’s Common Stock</w:t>
      </w:r>
    </w:p>
    <w:p>
      <w:pPr>
        <w:pStyle w:val="TextBody"/>
        <w:bidi w:val="0"/>
        <w:jc w:val="left"/>
        <w:rPr>
          <w:rFonts w:ascii="Tahoma;sans-serif" w:hAnsi="Tahoma;sans-serif"/>
          <w:color w:val="000000"/>
          <w:sz w:val="13"/>
        </w:rPr>
      </w:pPr>
      <w:r>
        <w:rPr>
          <w:rFonts w:ascii="Tahoma;sans-serif" w:hAnsi="Tahoma;sans-serif"/>
          <w:color w:val="000000"/>
          <w:sz w:val="13"/>
        </w:rPr>
        <w:t>Restrictions on the ownership of the Parent Company’s capital stock to preserve its REIT status may delay or prevent a change in control. The issuance of the Parent Company's capital stock may delay or prevent a change in control. Ownership in the Parent Company may be diluted in the future. The Parent Company’s amended and restated bylaws provides that the courts located in the State of Florida will be the sole and exclusive forum for substantially all disputes between us and our stockholders, which could limit our stockholders’ ability to obtain a favorable judicial forum for disputes with us or our directors, officers, or employees. There is no assurance that we will continue to pay dividends at current or historical rates.</w:t>
      </w:r>
    </w:p>
    <w:p>
      <w:pPr>
        <w:pStyle w:val="TextBody"/>
        <w:bidi w:val="0"/>
        <w:jc w:val="right"/>
        <w:rPr/>
      </w:pPr>
      <w:r>
        <w:rPr/>
        <w:drawing>
          <wp:inline distT="0" distB="0" distL="0" distR="0">
            <wp:extent cx="476250"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left"/>
        <w:rPr/>
      </w:pPr>
      <w:r>
        <w:rPr/>
        <w:t> </w:t>
      </w:r>
    </w:p>
    <w:tbl>
      <w:tblPr>
        <w:tblW w:w="6008" w:type="dxa"/>
        <w:jc w:val="left"/>
        <w:tblInd w:w="0" w:type="dxa"/>
        <w:tblLayout w:type="fixed"/>
        <w:tblCellMar>
          <w:top w:w="28" w:type="dxa"/>
          <w:left w:w="28" w:type="dxa"/>
          <w:bottom w:w="28" w:type="dxa"/>
          <w:right w:w="28" w:type="dxa"/>
        </w:tblCellMar>
      </w:tblPr>
      <w:tblGrid>
        <w:gridCol w:w="2636"/>
        <w:gridCol w:w="146"/>
        <w:gridCol w:w="3226"/>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6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09725" cy="628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09725" cy="6286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jc w:val="right"/>
              <w:rPr>
                <w:rFonts w:ascii="Tahoma;sans-serif" w:hAnsi="Tahoma;sans-serif"/>
                <w:b/>
                <w:color w:val="3A3430"/>
                <w:sz w:val="30"/>
              </w:rPr>
            </w:pPr>
            <w:r>
              <w:rPr>
                <w:rFonts w:ascii="Tahoma;sans-serif" w:hAnsi="Tahoma;sans-serif"/>
                <w:b/>
                <w:color w:val="3A3430"/>
                <w:sz w:val="30"/>
              </w:rPr>
              <w:t>NEWS RELEASE</w:t>
            </w:r>
          </w:p>
          <w:p>
            <w:pPr>
              <w:pStyle w:val="TableContents"/>
              <w:bidi w:val="0"/>
              <w:jc w:val="right"/>
              <w:rPr>
                <w:rFonts w:ascii="Tahoma;sans-serif" w:hAnsi="Tahoma;sans-serif"/>
                <w:b/>
                <w:color w:val="3A3430"/>
                <w:sz w:val="20"/>
              </w:rPr>
            </w:pPr>
            <w:r>
              <w:rPr>
                <w:rFonts w:ascii="Tahoma;sans-serif" w:hAnsi="Tahoma;sans-serif"/>
                <w:b/>
                <w:color w:val="3A3430"/>
                <w:sz w:val="20"/>
              </w:rPr>
              <w:t>For immediate release</w:t>
            </w:r>
          </w:p>
          <w:p>
            <w:pPr>
              <w:pStyle w:val="TableContents"/>
              <w:bidi w:val="0"/>
              <w:jc w:val="right"/>
              <w:rPr/>
            </w:pPr>
            <w:r>
              <w:rPr/>
              <w:t> </w:t>
            </w:r>
          </w:p>
          <w:p>
            <w:pPr>
              <w:pStyle w:val="TableContents"/>
              <w:bidi w:val="0"/>
              <w:jc w:val="right"/>
              <w:rPr>
                <w:rFonts w:ascii="Tahoma;sans-serif" w:hAnsi="Tahoma;sans-serif"/>
                <w:color w:val="3A3430"/>
                <w:sz w:val="20"/>
              </w:rPr>
            </w:pPr>
            <w:r>
              <w:rPr>
                <w:rFonts w:ascii="Tahoma;sans-serif" w:hAnsi="Tahoma;sans-serif"/>
                <w:color w:val="3A3430"/>
                <w:sz w:val="20"/>
              </w:rPr>
              <w:t>Kathryn McKie</w:t>
            </w:r>
          </w:p>
          <w:p>
            <w:pPr>
              <w:pStyle w:val="TableContents"/>
              <w:bidi w:val="0"/>
              <w:jc w:val="right"/>
              <w:rPr>
                <w:rFonts w:ascii="Tahoma;sans-serif" w:hAnsi="Tahoma;sans-serif"/>
                <w:color w:val="3A3430"/>
                <w:sz w:val="20"/>
              </w:rPr>
            </w:pPr>
            <w:r>
              <w:rPr>
                <w:rFonts w:ascii="Tahoma;sans-serif" w:hAnsi="Tahoma;sans-serif"/>
                <w:color w:val="3A3430"/>
                <w:sz w:val="20"/>
              </w:rPr>
              <w:t>904 598 7348</w:t>
            </w:r>
          </w:p>
          <w:p>
            <w:pPr>
              <w:pStyle w:val="TableContents"/>
              <w:bidi w:val="0"/>
              <w:spacing w:before="0" w:after="283"/>
              <w:jc w:val="right"/>
              <w:rPr>
                <w:rFonts w:ascii="Tahoma;sans-serif" w:hAnsi="Tahoma;sans-serif"/>
                <w:color w:val="3A3430"/>
                <w:sz w:val="20"/>
              </w:rPr>
            </w:pPr>
            <w:r>
              <w:rPr>
                <w:rFonts w:ascii="Tahoma;sans-serif" w:hAnsi="Tahoma;sans-serif"/>
                <w:color w:val="3A3430"/>
                <w:sz w:val="20"/>
              </w:rPr>
              <w:t>KathrynMcKie@regencycenters.com</w:t>
            </w:r>
          </w:p>
        </w:tc>
      </w:tr>
    </w:tbl>
    <w:p>
      <w:pPr>
        <w:pStyle w:val="TextBody"/>
        <w:bidi w:val="0"/>
        <w:jc w:val="center"/>
        <w:rPr/>
      </w:pPr>
      <w:r>
        <w:rPr/>
        <w:t> </w:t>
      </w:r>
    </w:p>
    <w:p>
      <w:pPr>
        <w:pStyle w:val="TextBody"/>
        <w:bidi w:val="0"/>
        <w:jc w:val="center"/>
        <w:rPr>
          <w:rFonts w:ascii="Times New Roman" w:hAnsi="Times New Roman"/>
          <w:sz w:val="20"/>
        </w:rPr>
      </w:pPr>
      <w:bookmarkStart w:id="8" w:name="pressrelease1"/>
      <w:bookmarkEnd w:id="8"/>
      <w:r>
        <w:rPr>
          <w:rFonts w:ascii="Tahoma;sans-serif" w:hAnsi="Tahoma;sans-serif"/>
          <w:b/>
          <w:color w:val="000000"/>
          <w:sz w:val="20"/>
        </w:rPr>
        <w:t>Regency Centers Reports First Quarter 2025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JACKSONVILLE, Fla. </w:t>
      </w:r>
      <w:r>
        <w:rPr>
          <w:rFonts w:ascii="Tahoma;sans-serif" w:hAnsi="Tahoma;sans-serif"/>
          <w:color w:val="000000"/>
          <w:sz w:val="20"/>
        </w:rPr>
        <w:t>(April 29, 2025) – Regency Centers Corporation (“Regency Centers”, “Regency” or the “Company”) (Nasdaq: REG) today reported financial and operating results for the quarterly period ended March 31, 2025 and provided updated 2025 earnings guidance. For the three months ended March 31, 2025 and 2024, Net Income Attributable to Common Shareholders was $0.58 per diluted share, and $0.58 per diluted share respectively.</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First Quarter 2025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Reported Nareit FFO of $1.15 per diluted share and Core Operating Earnings of $1.09 per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Reaffirmed 2025 earnings guidance for Nareit FFO, Core Operating Earnings, and Same Property NOI growth</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Increased Same Property NOI year-over-year, excluding lease termination fees, by 4.3%</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percent leased ended the quarter at 96.5%, an increase of 100 basis points year-over-year, and Same Property percent commenced ended the quarter at 93.5%, up 170 basis points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anchor percent leased ended the quarter at 98.3%, an increase of 130 basis points year-over-year, and Same Property shop percent leased ended the quarter at 93.7%, up 70 basis points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Executed 1.4 million square feet of comparable new and renewal leases during the quarter at blended rent spreads of +8.1% on a cash basis and +18.6% on a straight-lined basis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March 14, 2025, acquired Brentwood Place, a community center in Nashville, TN, for $119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March 31, 2025, Regency's in-process development and redevelopment projects had estimated net project costs of $499 million at a blended yield of 9%</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In February, S&amp;P Global Ratings ("S&amp;P") upgraded Regency's credit rating to "A-" with a stable outlook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Pro-rata net debt and preferred stock to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at March 31, 2025 was 5.3x</w:t>
      </w:r>
    </w:p>
    <w:p>
      <w:pPr>
        <w:pStyle w:val="TextBody"/>
        <w:bidi w:val="0"/>
        <w:spacing w:before="120" w:after="283"/>
        <w:jc w:val="left"/>
        <w:rPr/>
      </w:pPr>
      <w:r>
        <w:rPr/>
        <w:t> </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"We are pleased with another great quarter of operating results, highlighted by strong Same Property NOI and earnings growth," said Lisa Palmer, President and Chief Executive Officer. "We continue to experience robust operating fundamentals at our shopping centers, amplified by the commencement of our leasing pipeline and accretion from our investments platform. And importantly, we are well-positioned to drive continued growth and to thrive throughout economic cycles."</w:t>
      </w:r>
    </w:p>
    <w:p>
      <w:pPr>
        <w:pStyle w:val="TextBody"/>
        <w:bidi w:val="0"/>
        <w:jc w:val="right"/>
        <w:rPr/>
      </w:pPr>
      <w:r>
        <w:rPr/>
        <w:drawing>
          <wp:inline distT="0" distB="0" distL="0" distR="0">
            <wp:extent cx="476250" cy="257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120" w:after="283"/>
        <w:jc w:val="left"/>
        <w:rPr>
          <w:rFonts w:ascii="Tahoma;sans-serif" w:hAnsi="Tahoma;sans-serif"/>
          <w:b/>
          <w:color w:val="000000"/>
          <w:sz w:val="20"/>
        </w:rPr>
      </w:pPr>
      <w:r>
        <w:rPr>
          <w:rFonts w:ascii="Tahoma;sans-serif" w:hAnsi="Tahoma;sans-serif"/>
          <w:b/>
          <w:color w:val="000000"/>
          <w:sz w:val="20"/>
        </w:rPr>
        <w:t>Financial Results</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Net Income Attributable to Common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 xml:space="preserve">For the three months ended March 31, 2025, Net Income Attributable to Common Shareholders was $106.2 million, or $0.58 per diluted share, compared to Net Income Attributable to Common Shareholders of $106.4 million, or $0.58 per diluted share, for the same period in 2024. </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Nareit FFO</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March 31, 2025, Nareit FFO was $210.7 million, or $1.15 per diluted share, compared to $200.0 million, or $1.08 per diluted share, for the same period in 2024.</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Core Operating Earnings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March 31, 2025, Core Operating Earnings was $199.4 million, or $1.09 per diluted share, compared to $193.1 million, or $1.04 per diluted share, for the same period in 2024.</w:t>
      </w:r>
    </w:p>
    <w:p>
      <w:pPr>
        <w:pStyle w:val="TextBody"/>
        <w:bidi w:val="0"/>
        <w:spacing w:before="180" w:after="283"/>
        <w:jc w:val="left"/>
        <w:rPr>
          <w:rFonts w:ascii="Tahoma;sans-serif" w:hAnsi="Tahoma;sans-serif"/>
          <w:b/>
          <w:color w:val="000000"/>
          <w:sz w:val="20"/>
        </w:rPr>
      </w:pPr>
      <w:r>
        <w:rPr>
          <w:rFonts w:ascii="Tahoma;sans-serif" w:hAnsi="Tahoma;sans-serif"/>
          <w:b/>
          <w:color w:val="000000"/>
          <w:sz w:val="20"/>
        </w:rPr>
        <w:t>Portfolio Performance</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Same Property NOI</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First quarter 2025 Same Property Net Operating Income (“NOI”), excluding lease termination fees, increased by 4.3% compared to the same period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base rents contributed 4.0% to Same Property NOI growth in the first quarter of 2025.</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Occupancy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March 31, 2025, Regency’s Same Property portfolio was 96.5% leased, flat sequentially, and an increase of 100 basis points compared to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anchor percent leased, which includes spaces greater than or equal to 10,000 square feet, was 98.3%, an increase of 130 basis points compared to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shop percent leased, which includes spaces less than 10,000 square feet, was 93.7%, an increase of 70 basis points compared to March 31, 2024.</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March 31, 2025, Regency’s Same Property portfolio was 93.5% commenced, an increase of 20 basis points sequentially and an increase of 170 basis points compared to March 31, 2024.</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Leasing Activity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three months ended March 31, 2025, Regency executed approximately 1.4 million square feet of comparable new and renewal leases at a blended cash rent spread of +8.1% and a blended straight-lined rent spread of +18.6%.</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twelve months ended March 31, 2025, the Company executed approximately 7.7 million square feet of comparable new and renewal leases at a blended cash rent spread of +9.5% and a blended straight-lined rent spread of +19.4%.</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Capital Allocation and Balance Sheet</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Developments and Redevelopments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 xml:space="preserve">As of March 31, 2025, Regency’s in-process development and redevelopment projects had estimated net project costs of $499 million at the Company’s share, 51% of which has been incurred to date. </w:t>
      </w:r>
    </w:p>
    <w:p>
      <w:pPr>
        <w:pStyle w:val="TextBody"/>
        <w:bidi w:val="0"/>
        <w:jc w:val="right"/>
        <w:rPr/>
      </w:pPr>
      <w:r>
        <w:rPr/>
        <w:drawing>
          <wp:inline distT="0" distB="0" distL="0" distR="0">
            <wp:extent cx="476250" cy="257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Property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first quarter of 2025, the Company completed acquisitions for a combined total of approximately $133 million at Regency's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first quarter, the Company acquired Brentwood Place in Nashville, TN for approximately $119 million, at Regency's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first quarter, the Company bought an outparcel adjacent to our Orange Meadows shopping center in Orange, CT for approximately $4 million, at Regency's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previously disclosed, Regency acquired its partner's interest in Putnam Plaza in Carmel, NY for approximately $10 million, and now owns 100% of the asset effective January 1, 2025.</w:t>
      </w:r>
    </w:p>
    <w:p>
      <w:pPr>
        <w:pStyle w:val="TextBody"/>
        <w:bidi w:val="0"/>
        <w:spacing w:before="240" w:after="283"/>
        <w:jc w:val="left"/>
        <w:rPr>
          <w:rFonts w:ascii="Tahoma;sans-serif" w:hAnsi="Tahoma;sans-serif"/>
          <w:i/>
          <w:color w:val="000000"/>
          <w:sz w:val="20"/>
        </w:rPr>
      </w:pPr>
      <w:r>
        <w:rPr>
          <w:rFonts w:ascii="Tahoma;sans-serif" w:hAnsi="Tahoma;sans-serif"/>
          <w:i/>
          <w:color w:val="000000"/>
          <w:sz w:val="20"/>
        </w:rPr>
        <w:t>Balance Sheet</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February 25, 2025, S&amp;P upgraded Regency's credit rating to "A-" with a stable outlook.</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March 31, 2025, Regency had approximately $1.2 billion of capacity under its revolving credit facility.</w:t>
      </w:r>
    </w:p>
    <w:p>
      <w:pPr>
        <w:pStyle w:val="TextBody"/>
        <w:bidi w:val="0"/>
        <w:spacing w:before="120" w:after="240"/>
        <w:jc w:val="left"/>
        <w:rPr>
          <w:color w:val="000000"/>
        </w:rPr>
      </w:pPr>
      <w:r>
        <w:rPr>
          <w:color w:val="000000"/>
        </w:rPr>
        <w:t>•</w:t>
      </w:r>
    </w:p>
    <w:p>
      <w:pPr>
        <w:pStyle w:val="TextBody"/>
        <w:bidi w:val="0"/>
        <w:spacing w:before="120" w:after="240"/>
        <w:jc w:val="left"/>
        <w:rPr/>
      </w:pPr>
      <w:r>
        <w:rPr>
          <w:rFonts w:ascii="Tahoma;sans-serif" w:hAnsi="Tahoma;sans-serif"/>
          <w:color w:val="000000"/>
          <w:sz w:val="20"/>
        </w:rPr>
        <w:t>As of March 31, 2025, Regency’s pro-rata net debt and preferred stock to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was 5.3x.</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2025 Guidance</w:t>
      </w:r>
    </w:p>
    <w:p>
      <w:pPr>
        <w:pStyle w:val="TextBody"/>
        <w:bidi w:val="0"/>
        <w:spacing w:before="120" w:after="120"/>
        <w:jc w:val="left"/>
        <w:rPr>
          <w:rFonts w:ascii="Times New Roman" w:hAnsi="Times New Roman"/>
          <w:sz w:val="20"/>
        </w:rPr>
      </w:pPr>
      <w:r>
        <w:rPr>
          <w:rFonts w:ascii="Tahoma;sans-serif" w:hAnsi="Tahoma;sans-serif"/>
          <w:color w:val="000000"/>
          <w:sz w:val="20"/>
        </w:rPr>
        <w:t xml:space="preserve">Regency Centers is hereby providing updated 2025 guidance, as summarized in the table below. Please refer to the Company’s first quarter 2025 "Earnings Presentation" and "Quarterly Supplemental Disclosure" for additional detail. All materials are posted on the Company’s website at </w:t>
      </w:r>
      <w:r>
        <w:rPr>
          <w:rFonts w:ascii="Tahoma;sans-serif" w:hAnsi="Tahoma;sans-serif"/>
          <w:sz w:val="20"/>
        </w:rPr>
        <w:t>investors.regencycenters.com.</w:t>
      </w:r>
    </w:p>
    <w:p>
      <w:pPr>
        <w:pStyle w:val="TextBody"/>
        <w:bidi w:val="0"/>
        <w:jc w:val="left"/>
        <w:rPr/>
      </w:pPr>
      <w:r>
        <w:rPr/>
        <w:t> </w:t>
      </w:r>
    </w:p>
    <w:tbl>
      <w:tblPr>
        <w:tblW w:w="8104" w:type="dxa"/>
        <w:jc w:val="left"/>
        <w:tblInd w:w="0" w:type="dxa"/>
        <w:tblLayout w:type="fixed"/>
        <w:tblCellMar>
          <w:top w:w="28" w:type="dxa"/>
          <w:left w:w="28" w:type="dxa"/>
          <w:bottom w:w="28" w:type="dxa"/>
          <w:right w:w="28" w:type="dxa"/>
        </w:tblCellMar>
      </w:tblPr>
      <w:tblGrid>
        <w:gridCol w:w="4426"/>
        <w:gridCol w:w="901"/>
        <w:gridCol w:w="1291"/>
        <w:gridCol w:w="1486"/>
      </w:tblGrid>
      <w:tr>
        <w:trPr/>
        <w:tc>
          <w:tcPr>
            <w:tcW w:w="44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ahoma;sans-serif" w:hAnsi="Tahoma;sans-serif"/>
                <w:b/>
                <w:color w:val="000000"/>
                <w:sz w:val="18"/>
              </w:rPr>
              <w:t xml:space="preserve">Full Year 2025 Guidance </w:t>
            </w:r>
            <w:r>
              <w:rPr>
                <w:rFonts w:ascii="Tahoma;sans-serif" w:hAnsi="Tahoma;sans-serif"/>
                <w:color w:val="000000"/>
                <w:sz w:val="14"/>
              </w:rPr>
              <w:t>(in thousands, except per share data)</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YTD Actual</w:t>
            </w:r>
          </w:p>
        </w:tc>
        <w:tc>
          <w:tcPr>
            <w:tcW w:w="1291" w:type="dxa"/>
            <w:tcBorders>
              <w:top w:val="single" w:sz="4" w:space="0" w:color="808080"/>
              <w:bottom w:val="single" w:sz="4" w:space="0" w:color="BFBFBF"/>
              <w:right w:val="single" w:sz="4" w:space="0" w:color="808080"/>
            </w:tcBorders>
            <w:shd w:fill="808080" w:val="clear"/>
            <w:tcMar>
              <w:left w:w="0" w:type="dxa"/>
            </w:tcMar>
            <w:vAlign w:val="center"/>
          </w:tcPr>
          <w:p>
            <w:pPr>
              <w:pStyle w:val="TableContents"/>
              <w:bidi w:val="0"/>
              <w:spacing w:before="0" w:after="283"/>
              <w:jc w:val="center"/>
              <w:rPr>
                <w:rFonts w:ascii="Tahoma;sans-serif" w:hAnsi="Tahoma;sans-serif"/>
                <w:b/>
                <w:color w:val="FFFFFF"/>
                <w:sz w:val="16"/>
              </w:rPr>
            </w:pPr>
            <w:r>
              <w:rPr>
                <w:rFonts w:ascii="Tahoma;sans-serif" w:hAnsi="Tahoma;sans-serif"/>
                <w:b/>
                <w:color w:val="FFFFFF"/>
                <w:sz w:val="16"/>
              </w:rPr>
              <w:t>2025 Guidance</w:t>
            </w:r>
          </w:p>
        </w:tc>
        <w:tc>
          <w:tcPr>
            <w:tcW w:w="148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Previous Guidance</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 per diluted share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$0.58</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$2.25 - $2.31</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$2.25 - $2.31</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 (“Nareit FFO”) per diluted share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$1.15</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$4.52 - $4.58</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$4.52 - $4.58</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4"/>
              </w:rPr>
              <w:t>Core Operating Earnings per diluted share</w:t>
            </w:r>
            <w:r>
              <w:rPr>
                <w:rFonts w:ascii="Tahoma;sans-serif" w:hAnsi="Tahoma;sans-serif"/>
                <w:color w:val="000000"/>
                <w:sz w:val="11"/>
              </w:rPr>
              <w:t>(1)</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$1.09</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$4.30 - $4.36</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$4.30 - $4.36</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Same property NOI growth without termination fees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 to +4.0%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 to +4.0%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Non-cash revenues</w:t>
            </w:r>
            <w:r>
              <w:rPr>
                <w:rFonts w:ascii="Tahoma;sans-serif" w:hAnsi="Tahoma;sans-serif"/>
                <w:color w:val="000000"/>
                <w:sz w:val="9"/>
              </w:rPr>
              <w:t>(2)</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$12,581</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+/-$46,000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$45,000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G&amp;A expense, net</w:t>
            </w:r>
            <w:r>
              <w:rPr>
                <w:rFonts w:ascii="Tahoma;sans-serif" w:hAnsi="Tahoma;sans-serif"/>
                <w:color w:val="000000"/>
                <w:sz w:val="9"/>
              </w:rPr>
              <w:t>(3)</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$22,193</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$93,000-$96,000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$93,000-$96,000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Interest expense, net and Preferred stock dividends</w:t>
            </w:r>
            <w:r>
              <w:rPr>
                <w:rFonts w:ascii="Tahoma;sans-serif" w:hAnsi="Tahoma;sans-serif"/>
                <w:color w:val="000000"/>
                <w:sz w:val="9"/>
              </w:rPr>
              <w:t>(4)</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$56,552</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$232,000-$235,000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$231,000-$234,000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Management, transaction and other fees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$6,551</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Development and Redevelopment spend</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$66,906</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Acquisitions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$133,032</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+/-$140,000</w:t>
            </w:r>
          </w:p>
        </w:tc>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+/-$135,000</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Dispositions</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+/-$75,000</w:t>
            </w:r>
          </w:p>
        </w:tc>
        <w:tc>
          <w:tcPr>
            <w:tcW w:w="1486"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+/-$75,000</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0.0%</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Share/unit issuances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$100,000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$100,000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0" w:after="283"/>
        <w:jc w:val="left"/>
        <w:rPr>
          <w:rFonts w:ascii="Tahoma;sans-serif" w:hAnsi="Tahoma;sans-serif"/>
          <w:i/>
          <w:color w:val="000000"/>
          <w:sz w:val="14"/>
        </w:rPr>
      </w:pPr>
      <w:r>
        <w:rPr>
          <w:rFonts w:ascii="Tahoma;sans-serif" w:hAnsi="Tahoma;sans-serif"/>
          <w:i/>
          <w:color w:val="000000"/>
          <w:sz w:val="14"/>
        </w:rPr>
        <w:t>Note: Figures above represent 100% of Regency's consolidated entities and its pro-rata share of unconsolidated real estate partnerships, with the exception of items that are net of noncontrolling interests including per share data, "Development and Redevelopment spend", "Acquisitions", and "Dispositions".</w:t>
      </w:r>
    </w:p>
    <w:p>
      <w:pPr>
        <w:pStyle w:val="TextBody"/>
        <w:bidi w:val="0"/>
        <w:spacing w:before="120" w:after="283"/>
        <w:jc w:val="left"/>
        <w:rPr>
          <w:rFonts w:ascii="Tahoma" w:hAnsi="Tahoma"/>
          <w:i/>
          <w:color w:val="000000"/>
          <w:sz w:val="14"/>
        </w:rPr>
      </w:pPr>
      <w:r>
        <w:rPr>
          <w:rFonts w:ascii="Tahoma" w:hAnsi="Tahoma"/>
          <w:i/>
          <w:color w:val="000000"/>
          <w:sz w:val="14"/>
        </w:rPr>
        <w:t>(1)</w:t>
      </w:r>
    </w:p>
    <w:p>
      <w:pPr>
        <w:pStyle w:val="TextBody"/>
        <w:bidi w:val="0"/>
        <w:spacing w:before="120" w:after="283"/>
        <w:jc w:val="left"/>
        <w:rPr>
          <w:rFonts w:ascii="Tahoma;sans-serif" w:hAnsi="Tahoma;sans-serif"/>
          <w:i/>
          <w:color w:val="000000"/>
          <w:sz w:val="14"/>
        </w:rPr>
      </w:pPr>
      <w:r>
        <w:rPr>
          <w:rFonts w:ascii="Tahoma;sans-serif" w:hAnsi="Tahoma;sans-serif"/>
          <w:i/>
          <w:color w:val="000000"/>
          <w:sz w:val="14"/>
        </w:rPr>
        <w:t>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pStyle w:val="TextBody"/>
        <w:bidi w:val="0"/>
        <w:spacing w:before="60" w:after="283"/>
        <w:jc w:val="left"/>
        <w:rPr>
          <w:rFonts w:ascii="Tahoma" w:hAnsi="Tahoma"/>
          <w:i/>
          <w:color w:val="000000"/>
          <w:sz w:val="14"/>
        </w:rPr>
      </w:pPr>
      <w:r>
        <w:rPr>
          <w:rFonts w:ascii="Tahoma" w:hAnsi="Tahoma"/>
          <w:i/>
          <w:color w:val="000000"/>
          <w:sz w:val="14"/>
        </w:rPr>
        <w:t>(2)</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Includes above and below market rent amortization and straight-line rents, and excludes debt and derivative mark to market amortization.</w:t>
      </w:r>
    </w:p>
    <w:p>
      <w:pPr>
        <w:pStyle w:val="TextBody"/>
        <w:bidi w:val="0"/>
        <w:spacing w:before="60" w:after="283"/>
        <w:jc w:val="left"/>
        <w:rPr>
          <w:rFonts w:ascii="Tahoma" w:hAnsi="Tahoma"/>
          <w:i/>
          <w:color w:val="000000"/>
          <w:sz w:val="14"/>
        </w:rPr>
      </w:pPr>
      <w:r>
        <w:rPr>
          <w:rFonts w:ascii="Tahoma" w:hAnsi="Tahoma"/>
          <w:i/>
          <w:color w:val="000000"/>
          <w:sz w:val="14"/>
        </w:rPr>
        <w:t>(3)</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Represents 'General &amp; administrative, net' before gains or losses on deferred compensation plan, as reported on supplemental pages 6 and 7 and calculated on a pro rata basis.</w:t>
      </w:r>
    </w:p>
    <w:p>
      <w:pPr>
        <w:pStyle w:val="TextBody"/>
        <w:bidi w:val="0"/>
        <w:spacing w:before="60" w:after="283"/>
        <w:jc w:val="left"/>
        <w:rPr>
          <w:rFonts w:ascii="Tahoma" w:hAnsi="Tahoma"/>
          <w:i/>
          <w:color w:val="000000"/>
          <w:sz w:val="14"/>
        </w:rPr>
      </w:pPr>
      <w:r>
        <w:rPr>
          <w:rFonts w:ascii="Tahoma" w:hAnsi="Tahoma"/>
          <w:i/>
          <w:color w:val="000000"/>
          <w:sz w:val="14"/>
        </w:rPr>
        <w:t>(4)</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Includes debt and derivative mark to market amortization, and is net of interest income.</w:t>
      </w:r>
    </w:p>
    <w:p>
      <w:pPr>
        <w:pStyle w:val="TextBody"/>
        <w:bidi w:val="0"/>
        <w:jc w:val="right"/>
        <w:rPr/>
      </w:pPr>
      <w:r>
        <w:rPr/>
        <w:drawing>
          <wp:inline distT="0" distB="0" distL="0" distR="0">
            <wp:extent cx="476250" cy="257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iv</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Conference Call Information</w:t>
      </w:r>
    </w:p>
    <w:p>
      <w:pPr>
        <w:pStyle w:val="TextBody"/>
        <w:bidi w:val="0"/>
        <w:spacing w:before="120" w:after="283"/>
        <w:jc w:val="left"/>
        <w:rPr>
          <w:rFonts w:ascii="Times New Roman" w:hAnsi="Times New Roman"/>
          <w:sz w:val="20"/>
        </w:rPr>
      </w:pPr>
      <w:r>
        <w:rPr>
          <w:rFonts w:ascii="Tahoma;sans-serif" w:hAnsi="Tahoma;sans-serif"/>
          <w:color w:val="000000"/>
          <w:sz w:val="20"/>
        </w:rPr>
        <w:t>To discuss Regency’s first quarter results and provide further business updates, management will host a conference call on Wednesday, April 30</w:t>
      </w:r>
      <w:r>
        <w:rPr>
          <w:rFonts w:ascii="Tahoma;sans-serif" w:hAnsi="Tahoma;sans-serif"/>
          <w:color w:val="000000"/>
          <w:sz w:val="13"/>
        </w:rPr>
        <w:t>th</w:t>
      </w:r>
      <w:r>
        <w:rPr>
          <w:rFonts w:ascii="Times New Roman" w:hAnsi="Times New Roman"/>
          <w:color w:val="000000"/>
          <w:sz w:val="20"/>
        </w:rPr>
        <w:t xml:space="preserve"> </w:t>
      </w:r>
      <w:r>
        <w:rPr>
          <w:rFonts w:ascii="Tahoma;sans-serif" w:hAnsi="Tahoma;sans-serif"/>
          <w:color w:val="000000"/>
          <w:sz w:val="20"/>
        </w:rPr>
        <w:t>at 11:00 a.m. ET. Dial-in and webcast information is below.</w:t>
      </w:r>
    </w:p>
    <w:p>
      <w:pPr>
        <w:pStyle w:val="TextBody"/>
        <w:bidi w:val="0"/>
        <w:spacing w:before="240" w:after="283"/>
        <w:jc w:val="left"/>
        <w:rPr>
          <w:rFonts w:ascii="Tahoma;sans-serif" w:hAnsi="Tahoma;sans-serif"/>
          <w:b/>
          <w:color w:val="000000"/>
          <w:sz w:val="20"/>
          <w:u w:val="single"/>
        </w:rPr>
      </w:pPr>
      <w:r>
        <w:rPr>
          <w:rFonts w:ascii="Tahoma;sans-serif" w:hAnsi="Tahoma;sans-serif"/>
          <w:b/>
          <w:color w:val="000000"/>
          <w:sz w:val="20"/>
          <w:u w:val="single"/>
        </w:rPr>
        <w:t>First Quarter 2025 Earnings Conference Call</w:t>
      </w:r>
    </w:p>
    <w:tbl>
      <w:tblPr>
        <w:tblW w:w="3842" w:type="dxa"/>
        <w:jc w:val="left"/>
        <w:tblInd w:w="0" w:type="dxa"/>
        <w:tblLayout w:type="fixed"/>
        <w:tblCellMar>
          <w:top w:w="28" w:type="dxa"/>
          <w:left w:w="28" w:type="dxa"/>
          <w:bottom w:w="28" w:type="dxa"/>
          <w:right w:w="28" w:type="dxa"/>
        </w:tblCellMar>
      </w:tblPr>
      <w:tblGrid>
        <w:gridCol w:w="931"/>
        <w:gridCol w:w="2911"/>
      </w:tblGrid>
      <w:tr>
        <w:trPr/>
        <w:tc>
          <w:tcPr>
            <w:tcW w:w="93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Date:</w:t>
            </w:r>
          </w:p>
        </w:tc>
        <w:tc>
          <w:tcPr>
            <w:tcW w:w="291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Wednesday, April 30, 2025</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Time:</w:t>
            </w:r>
          </w:p>
        </w:tc>
        <w:tc>
          <w:tcPr>
            <w:tcW w:w="291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11:00 a.m. ET</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Dial#:</w:t>
            </w:r>
          </w:p>
        </w:tc>
        <w:tc>
          <w:tcPr>
            <w:tcW w:w="291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877-407-0789 or 201-689-8562</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Webcast:</w:t>
            </w:r>
          </w:p>
        </w:tc>
        <w:tc>
          <w:tcPr>
            <w:tcW w:w="291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sz w:val="20"/>
              </w:rPr>
            </w:pPr>
            <w:r>
              <w:rPr>
                <w:rFonts w:ascii="Tahoma;sans-serif" w:hAnsi="Tahoma;sans-serif"/>
                <w:sz w:val="20"/>
              </w:rPr>
              <w:t>First Quarter 2025 Webcast Link</w:t>
            </w:r>
          </w:p>
        </w:tc>
      </w:tr>
    </w:tbl>
    <w:p>
      <w:pPr>
        <w:pStyle w:val="TextBody"/>
        <w:bidi w:val="0"/>
        <w:spacing w:before="240" w:after="283"/>
        <w:jc w:val="left"/>
        <w:rPr>
          <w:rFonts w:ascii="Times New Roman" w:hAnsi="Times New Roman"/>
          <w:sz w:val="20"/>
        </w:rPr>
      </w:pPr>
      <w:r>
        <w:rPr>
          <w:rFonts w:ascii="Tahoma;sans-serif" w:hAnsi="Tahoma;sans-serif"/>
          <w:b/>
          <w:color w:val="000000"/>
          <w:sz w:val="20"/>
          <w:u w:val="single"/>
        </w:rPr>
        <w:t xml:space="preserve">Replay: </w:t>
      </w:r>
      <w:r>
        <w:rPr>
          <w:rFonts w:ascii="Tahoma;sans-serif" w:hAnsi="Tahoma;sans-serif"/>
          <w:color w:val="000000"/>
          <w:sz w:val="20"/>
        </w:rPr>
        <w:t xml:space="preserve">Webcast Archive – </w:t>
      </w:r>
      <w:r>
        <w:rPr>
          <w:rFonts w:ascii="Tahoma;sans-serif" w:hAnsi="Tahoma;sans-serif"/>
          <w:sz w:val="20"/>
        </w:rPr>
        <w:t>Investor Relations</w:t>
      </w:r>
      <w:r>
        <w:rPr>
          <w:rFonts w:ascii="Times New Roman" w:hAnsi="Times New Roman"/>
          <w:color w:val="000000"/>
          <w:sz w:val="20"/>
        </w:rPr>
        <w:t xml:space="preserve"> </w:t>
      </w:r>
      <w:r>
        <w:rPr>
          <w:rFonts w:ascii="Tahoma;sans-serif" w:hAnsi="Tahoma;sans-serif"/>
          <w:color w:val="000000"/>
          <w:sz w:val="20"/>
        </w:rPr>
        <w:t xml:space="preserve">page under </w:t>
      </w:r>
      <w:r>
        <w:rPr>
          <w:rFonts w:ascii="Tahoma;sans-serif" w:hAnsi="Tahoma;sans-serif"/>
          <w:sz w:val="20"/>
        </w:rPr>
        <w:t>Events &amp; Webcasts</w:t>
      </w:r>
    </w:p>
    <w:p>
      <w:pPr>
        <w:pStyle w:val="TextBody"/>
        <w:bidi w:val="0"/>
        <w:jc w:val="right"/>
        <w:rPr/>
      </w:pPr>
      <w:r>
        <w:rPr/>
        <w:drawing>
          <wp:inline distT="0" distB="0" distL="0" distR="0">
            <wp:extent cx="476250" cy="257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360" w:after="283"/>
        <w:jc w:val="center"/>
        <w:rPr>
          <w:rFonts w:ascii="Tahoma;sans-serif" w:hAnsi="Tahoma;sans-serif"/>
          <w:b/>
          <w:color w:val="000000"/>
          <w:sz w:val="20"/>
        </w:rPr>
      </w:pPr>
      <w:r>
        <w:rPr>
          <w:rFonts w:ascii="Tahoma;sans-serif" w:hAnsi="Tahoma;sans-serif"/>
          <w:b/>
          <w:color w:val="000000"/>
          <w:sz w:val="20"/>
        </w:rPr>
        <w:t>About Regency Centers Corporation (Nasdaq: REG)</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w:t>
      </w:r>
      <w:r>
        <w:rPr>
          <w:rFonts w:ascii="Tahoma;sans-serif" w:hAnsi="Tahoma;sans-serif"/>
          <w:sz w:val="20"/>
        </w:rPr>
        <w:t>RegencyCenters.com.</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Reconciliation of Net Income Attributable to Common Shareholders to Nareit FFO, Core Operating Earnings, and Adjusted Funds from Operations – </w:t>
      </w:r>
      <w:r>
        <w:rPr>
          <w:rFonts w:ascii="Tahoma;sans-serif" w:hAnsi="Tahoma;sans-serif"/>
          <w:b/>
          <w:i/>
          <w:color w:val="000000"/>
          <w:sz w:val="20"/>
        </w:rPr>
        <w:t>Actual (in thousands, except per share amounts)</w:t>
      </w:r>
    </w:p>
    <w:p>
      <w:pPr>
        <w:pStyle w:val="TextBody"/>
        <w:bidi w:val="0"/>
        <w:jc w:val="left"/>
        <w:rPr/>
      </w:pPr>
      <w:r>
        <w:rPr/>
        <w:t> </w:t>
      </w:r>
    </w:p>
    <w:tbl>
      <w:tblPr>
        <w:tblW w:w="7688" w:type="dxa"/>
        <w:jc w:val="left"/>
        <w:tblInd w:w="0" w:type="dxa"/>
        <w:tblLayout w:type="fixed"/>
        <w:tblCellMar>
          <w:top w:w="28" w:type="dxa"/>
          <w:left w:w="28" w:type="dxa"/>
          <w:bottom w:w="28" w:type="dxa"/>
          <w:right w:w="28" w:type="dxa"/>
        </w:tblCellMar>
      </w:tblPr>
      <w:tblGrid>
        <w:gridCol w:w="5071"/>
        <w:gridCol w:w="181"/>
        <w:gridCol w:w="601"/>
        <w:gridCol w:w="151"/>
        <w:gridCol w:w="146"/>
        <w:gridCol w:w="146"/>
        <w:gridCol w:w="601"/>
        <w:gridCol w:w="791"/>
      </w:tblGrid>
      <w:tr>
        <w:trPr/>
        <w:tc>
          <w:tcPr>
            <w:tcW w:w="50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March 31, 2025 and 2024</w:t>
            </w:r>
          </w:p>
        </w:tc>
        <w:tc>
          <w:tcPr>
            <w:tcW w:w="18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Net Income Attributable to Common Shareholders to Nareit FFO:</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106,174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106,361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Nareit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 (excluding FF&amp;E)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104,034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104,372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Gain on sale of real estate, net of tax</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(11,408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Exchangeable operating partnership units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Nareit FFO</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199,967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FFO per share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185,872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Nareit FFO to Core Operating Earnings: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FFO</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199,967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Core Operating Earnings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Not Comparable Items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Merger transition costs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Loss on early extinguishment of debt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Certain Non-Cash Items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Straight-line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Uncollectible straight-line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Above/below market rent amortization,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Debt and derivative mark-to-market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Core Operating Earnings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199,443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193,068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 per share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185,872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For Diluted Earnings per Share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181,813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184,770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For Diluted FFO and Core Operating Earnings per Share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185,872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Core Operating Earnings to Adjusted Funds from Operations: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199,443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193,068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Adjustments to reconcile to Adjusted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capital expenditures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(20,852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cost and derivative adjustments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2,140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Stock-based compensation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Adjusted Funds from Operations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183,262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178,996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 w:hAnsi="Tahoma"/>
          <w:color w:val="000000"/>
          <w:sz w:val="16"/>
        </w:rPr>
      </w:pPr>
      <w:r>
        <w:rPr>
          <w:rFonts w:ascii="Tahoma" w:hAnsi="Tahoma"/>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Regency's consolidated entities and its pro-rata share of unconsolidated real estate partnerships, net of pro-rata share attributable to noncontrolling interests.</w:t>
      </w:r>
    </w:p>
    <w:p>
      <w:pPr>
        <w:pStyle w:val="TextBody"/>
        <w:bidi w:val="0"/>
        <w:jc w:val="left"/>
        <w:rPr/>
      </w:pPr>
      <w:r>
        <w:rPr/>
        <w:t> </w:t>
      </w:r>
    </w:p>
    <w:p>
      <w:pPr>
        <w:pStyle w:val="TextBody"/>
        <w:bidi w:val="0"/>
        <w:jc w:val="right"/>
        <w:rPr/>
      </w:pPr>
      <w:r>
        <w:rPr/>
        <w:drawing>
          <wp:inline distT="0" distB="0" distL="0" distR="0">
            <wp:extent cx="476250" cy="257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left"/>
        <w:rPr>
          <w:rFonts w:ascii="Times New Roman" w:hAnsi="Times New Roman"/>
          <w:sz w:val="20"/>
        </w:rPr>
      </w:pPr>
      <w:r>
        <w:rPr>
          <w:rFonts w:ascii="Tahoma;sans-serif" w:hAnsi="Tahoma;sans-serif"/>
          <w:b/>
          <w:color w:val="000000"/>
          <w:sz w:val="20"/>
        </w:rPr>
        <w:t xml:space="preserve">Reconciliation of Net Income Attributable to Common Shareholders to Pro-Rata Same Property NOI - </w:t>
      </w:r>
      <w:r>
        <w:rPr>
          <w:rFonts w:ascii="Tahoma;sans-serif" w:hAnsi="Tahoma;sans-serif"/>
          <w:b/>
          <w:i/>
          <w:color w:val="000000"/>
          <w:sz w:val="20"/>
        </w:rPr>
        <w:t>Actual (in thousands)</w:t>
      </w:r>
    </w:p>
    <w:p>
      <w:pPr>
        <w:pStyle w:val="TextBody"/>
        <w:bidi w:val="0"/>
        <w:jc w:val="left"/>
        <w:rPr/>
      </w:pPr>
      <w:r>
        <w:rPr/>
        <w:t> </w:t>
      </w:r>
    </w:p>
    <w:tbl>
      <w:tblPr>
        <w:tblW w:w="7203" w:type="dxa"/>
        <w:jc w:val="left"/>
        <w:tblInd w:w="0" w:type="dxa"/>
        <w:tblLayout w:type="fixed"/>
        <w:tblCellMar>
          <w:top w:w="28" w:type="dxa"/>
          <w:left w:w="28" w:type="dxa"/>
          <w:bottom w:w="28" w:type="dxa"/>
          <w:right w:w="28" w:type="dxa"/>
        </w:tblCellMar>
      </w:tblPr>
      <w:tblGrid>
        <w:gridCol w:w="5381"/>
        <w:gridCol w:w="676"/>
        <w:gridCol w:w="1146"/>
      </w:tblGrid>
      <w:tr>
        <w:trPr/>
        <w:tc>
          <w:tcPr>
            <w:tcW w:w="53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March 31, 2025 and 2024</w:t>
            </w:r>
          </w:p>
        </w:tc>
        <w:tc>
          <w:tcPr>
            <w:tcW w:w="1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$106,174</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106,361</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Less: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Management, transaction, and other fees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(6,812)</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(6,396)</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Other </w:t>
            </w:r>
            <w:r>
              <w:rPr>
                <w:rFonts w:ascii="Tahoma;sans-serif" w:hAnsi="Tahoma;sans-serif"/>
                <w:color w:val="000000"/>
                <w:sz w:val="9"/>
              </w:rPr>
              <w:t>(1)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(13,689)</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ahoma;sans-serif" w:hAnsi="Tahoma;sans-serif"/>
                <w:color w:val="000000"/>
                <w:sz w:val="14"/>
              </w:rPr>
            </w:pPr>
            <w:r>
              <w:rPr>
                <w:rFonts w:ascii="Tahoma;sans-serif" w:hAnsi="Tahoma;sans-serif"/>
                <w:color w:val="000000"/>
                <w:sz w:val="14"/>
              </w:rPr>
              <w:t>(12,587)</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ahoma;sans-serif" w:hAnsi="Tahoma;sans-serif"/>
                <w:color w:val="000000"/>
                <w:sz w:val="14"/>
              </w:rPr>
            </w:pPr>
            <w:r>
              <w:rPr>
                <w:rFonts w:ascii="Tahoma;sans-serif" w:hAnsi="Tahoma;sans-serif"/>
                <w:color w:val="000000"/>
                <w:sz w:val="14"/>
              </w:rPr>
              <w:t>Plus: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96,774</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97,585</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General and administrative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21,600</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26,132</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operating expense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1,688</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2,643</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expense, net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48,673</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29,214</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Equity in income of investments in real estate partnerships excluded from NOI </w:t>
            </w:r>
            <w:r>
              <w:rPr>
                <w:rFonts w:ascii="Tahoma;sans-serif" w:hAnsi="Tahoma;sans-serif"/>
                <w:color w:val="000000"/>
                <w:sz w:val="9"/>
              </w:rPr>
              <w:t>(2)</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13,451</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13,689</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Net income attributable to noncontrolling interests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2,266</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2,884</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Preferred stock dividends</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3,413</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NOI</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273,538</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262,938</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Less non-same property NOI </w:t>
            </w:r>
            <w:r>
              <w:rPr>
                <w:rFonts w:ascii="Tahoma;sans-serif" w:hAnsi="Tahoma;sans-serif"/>
                <w:color w:val="000000"/>
                <w:sz w:val="9"/>
              </w:rPr>
              <w:t>(3)</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285</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(946)</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$273,823</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261,992</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4.5%</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Termination Fees</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$271,498</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260,220</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4.3%</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Termination Fees or Redevelopments</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$234,112</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rFonts w:ascii="Tahoma;sans-serif" w:hAnsi="Tahoma;sans-serif"/>
                <w:color w:val="000000"/>
                <w:sz w:val="14"/>
              </w:rPr>
            </w:pPr>
            <w:r>
              <w:rPr>
                <w:rFonts w:ascii="Tahoma;sans-serif" w:hAnsi="Tahoma;sans-serif"/>
                <w:color w:val="000000"/>
                <w:sz w:val="14"/>
              </w:rPr>
              <w:t>226,005</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ahoma;sans-serif" w:hAnsi="Tahoma;sans-serif"/>
                <w:i/>
                <w:color w:val="000000"/>
                <w:sz w:val="14"/>
              </w:rPr>
            </w:pPr>
            <w:r>
              <w:rPr>
                <w:rFonts w:ascii="Tahoma;sans-serif" w:hAnsi="Tahoma;sans-serif"/>
                <w:i/>
                <w:color w:val="000000"/>
                <w:sz w:val="14"/>
              </w:rPr>
              <w:t>% change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3.6%</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 w:hAnsi="Tahoma"/>
          <w:color w:val="000000"/>
          <w:sz w:val="16"/>
        </w:rPr>
      </w:pPr>
      <w:r>
        <w:rPr>
          <w:rFonts w:ascii="Tahoma" w:hAnsi="Tahoma"/>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straight-line rental income and expense, net of reserves, above and below market rent amortization, other fees, and noncontrolling interests.</w:t>
      </w:r>
    </w:p>
    <w:p>
      <w:pPr>
        <w:pStyle w:val="TextBody"/>
        <w:bidi w:val="0"/>
        <w:spacing w:before="60" w:after="283"/>
        <w:jc w:val="left"/>
        <w:rPr>
          <w:rFonts w:ascii="Tahoma" w:hAnsi="Tahoma"/>
          <w:color w:val="000000"/>
          <w:sz w:val="16"/>
        </w:rPr>
      </w:pPr>
      <w:r>
        <w:rPr>
          <w:rFonts w:ascii="Tahoma" w:hAnsi="Tahoma"/>
          <w:color w:val="000000"/>
          <w:sz w:val="16"/>
        </w:rPr>
        <w:t>(2)</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non-NOI expenses incurred at our unconsolidated real estate partnerships, such as, but not limited to, straight-line rental income, above and below market rent amortization, depreciation and amortization, interest expense, and real estate gains and impairments.</w:t>
      </w:r>
    </w:p>
    <w:p>
      <w:pPr>
        <w:pStyle w:val="TextBody"/>
        <w:bidi w:val="0"/>
        <w:spacing w:before="60" w:after="283"/>
        <w:jc w:val="left"/>
        <w:rPr>
          <w:rFonts w:ascii="Tahoma" w:hAnsi="Tahoma"/>
          <w:color w:val="000000"/>
          <w:sz w:val="16"/>
        </w:rPr>
      </w:pPr>
      <w:r>
        <w:rPr>
          <w:rFonts w:ascii="Tahoma" w:hAnsi="Tahoma"/>
          <w:color w:val="000000"/>
          <w:sz w:val="16"/>
        </w:rPr>
        <w:t>(3)</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revenues and expenses attributable to Non-Same Property, Projects in Development, corporate activities, and noncontrolling interests.</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Same Property NOI is a key non-GAAP pro-rata measure used by management in evaluating the operating performance of Regency’s properties. The Company provides a reconciliation of Net Income Attributable to Common Shareholders to pro-rata Same Property NOI.</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Reported results are preliminary and not final until the filing of the Company’s Form 10-Q with the SEC and, therefore, remain subject to adjustment.</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The Company has published forward-looking statements and additional financial information in its first quarter 2025 supplemental package that may help investors estimate earnings. A copy of the Company’s first quarter 2025 supplemental package will be available on the Company's website at </w:t>
      </w:r>
      <w:r>
        <w:rPr>
          <w:rFonts w:ascii="Tahoma;sans-serif" w:hAnsi="Tahoma;sans-serif"/>
          <w:sz w:val="20"/>
        </w:rPr>
        <w:t>investors.regencycenters.com</w:t>
      </w:r>
      <w:r>
        <w:rPr>
          <w:rFonts w:ascii="Times New Roman" w:hAnsi="Times New Roman"/>
          <w:color w:val="000000"/>
          <w:sz w:val="20"/>
        </w:rPr>
        <w:t xml:space="preserve"> </w:t>
      </w:r>
      <w:r>
        <w:rPr>
          <w:rFonts w:ascii="Tahoma;sans-serif" w:hAnsi="Tahoma;sans-serif"/>
          <w:color w:val="000000"/>
          <w:sz w:val="20"/>
        </w:rPr>
        <w:t>or by written request to: Investor Relations, Regency Centers Corporation, One Independent Drive, Suite 114, Jacksonville, Florida, 32202. The supplemental package contains more detailed financial and property results including financial statements, an outstanding debt summary, acquisition and development activity, investments in partnerships, information pertaining to securities issued other than common stock, property details, a significant tenant rent report and a lease expiration table in addition to earnings and valuation guidance assumptions. The information provided in the supplemental package is unaudited and includes non-GAAP measures, and there can be no assurance that the information will not vary from the final information in the Company’s Form 10-Q for the period ended March 31, 2025. Regency may, but assumes no obligation to, update information in the supplemental package from time to time.</w:t>
      </w:r>
    </w:p>
    <w:p>
      <w:pPr>
        <w:pStyle w:val="TextBody"/>
        <w:bidi w:val="0"/>
        <w:jc w:val="right"/>
        <w:rPr/>
      </w:pPr>
      <w:r>
        <w:rPr/>
        <w:drawing>
          <wp:inline distT="0" distB="0" distL="0" distR="0">
            <wp:extent cx="476250" cy="257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240" w:after="283"/>
        <w:jc w:val="center"/>
        <w:rPr>
          <w:rFonts w:ascii="Tahoma;sans-serif" w:hAnsi="Tahoma;sans-serif"/>
          <w:color w:val="000000"/>
          <w:sz w:val="17"/>
        </w:rPr>
      </w:pPr>
      <w:r>
        <w:rPr>
          <w:rFonts w:ascii="Tahoma;sans-serif" w:hAnsi="Tahoma;sans-serif"/>
          <w:color w:val="000000"/>
          <w:sz w:val="17"/>
        </w:rPr>
        <w:t>###</w:t>
      </w:r>
    </w:p>
    <w:p>
      <w:pPr>
        <w:pStyle w:val="TextBody"/>
        <w:bidi w:val="0"/>
        <w:spacing w:before="240" w:after="120"/>
        <w:jc w:val="left"/>
        <w:rPr>
          <w:rFonts w:ascii="Times New Roman" w:hAnsi="Times New Roman"/>
          <w:sz w:val="20"/>
        </w:rPr>
      </w:pPr>
      <w:r>
        <w:rPr>
          <w:rFonts w:ascii="Tahoma;sans-serif" w:hAnsi="Tahoma;sans-serif"/>
          <w:b/>
          <w:color w:val="000000"/>
          <w:sz w:val="17"/>
        </w:rPr>
        <w:t>Non-GAAP Financial Measures</w:t>
      </w:r>
      <w:r>
        <w:rPr>
          <w:rFonts w:ascii="Times New Roman" w:hAnsi="Times New Roman"/>
          <w:color w:val="000000"/>
          <w:sz w:val="20"/>
        </w:rPr>
        <w:t xml:space="preserve"> </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We believe these non-GAAP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w:t>
      </w:r>
    </w:p>
    <w:p>
      <w:pPr>
        <w:pStyle w:val="TextBody"/>
        <w:bidi w:val="0"/>
        <w:spacing w:before="60" w:after="120"/>
        <w:jc w:val="left"/>
        <w:rPr>
          <w:rFonts w:ascii="Times New Roman" w:hAnsi="Times New Roman"/>
          <w:sz w:val="20"/>
        </w:rPr>
      </w:pPr>
      <w:r>
        <w:rPr>
          <w:rFonts w:ascii="Tahoma;sans-serif" w:hAnsi="Tahoma;sans-serif"/>
          <w:color w:val="000000"/>
          <w:sz w:val="17"/>
        </w:rPr>
        <w:t>We do not consider non-GAAP measures an alternative to financial measures determined in accordance with GAAP, rather they supplement GAAP measures by providing additional information we believe to be useful to our shareholders. The principal limitation of these non-GAAP financial measures is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w:t>
      </w:r>
      <w:r>
        <w:rPr>
          <w:rFonts w:ascii="Times New Roman" w:hAnsi="Times New Roman"/>
          <w:color w:val="000000"/>
          <w:sz w:val="20"/>
        </w:rPr>
        <w:t xml:space="preserve"> </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Nareit FFO is a commonly used measure of REIT performance, which the National Association of Real Estate Investment Trusts (“Nareit”) defines as net income, computed in accordance with GAAP, excluding gains on sale and impairments of real estate, net of tax, plus depreciation and amortization related to real estate, and after adjustments for unconsolidated real estate partnerships. Regency computes Nareit FFO for all periods presented in accordance with Nareit's definition. Since Nareit FFO excludes depreciation and amortization and gains on sales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Shareholders to Nareit FFO.</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Core Operating Earnings is an additional performance measure that excludes from Nareit FFO: (i) transaction related income or expenses; (ii) gains or losses from the early extinguishment of debt; (iii) certain non-cash components of earnings derived from above and below market rent amortization, straight-line rents, and amortization of mark-to-market of debt and derivative adjustments; and (iv) other amounts as they occur. The Company provides a reconciliation of Net Income Attributable to Common Shareholders to Nareit FFO to Core Operating Earnings.</w:t>
      </w:r>
    </w:p>
    <w:p>
      <w:pPr>
        <w:pStyle w:val="TextBody"/>
        <w:bidi w:val="0"/>
        <w:spacing w:before="0" w:after="120"/>
        <w:jc w:val="left"/>
        <w:rPr>
          <w:rFonts w:ascii="Times New Roman" w:hAnsi="Times New Roman"/>
          <w:sz w:val="20"/>
        </w:rPr>
      </w:pPr>
      <w:r>
        <w:rPr>
          <w:rFonts w:ascii="Tahoma;sans-serif" w:hAnsi="Tahoma;sans-serif"/>
          <w:color w:val="000000"/>
          <w:sz w:val="17"/>
        </w:rPr>
        <w:t>Adjusted Funds From Operations</w:t>
      </w:r>
      <w:r>
        <w:rPr>
          <w:rFonts w:ascii="Times New Roman" w:hAnsi="Times New Roman"/>
          <w:color w:val="000000"/>
          <w:sz w:val="20"/>
        </w:rPr>
        <w:t xml:space="preserve"> </w:t>
      </w:r>
      <w:r>
        <w:rPr>
          <w:rFonts w:ascii="Tahoma;sans-serif" w:hAnsi="Tahoma;sans-serif"/>
          <w:color w:val="000000"/>
          <w:sz w:val="17"/>
        </w:rPr>
        <w:t>is an additional performance measure used by Regency that reflects cash available to fund the Company’s business needs and distribution to shareholders. AFFO is calculated by adjusting Core Operating Earnings ("COE") for (i) capital expenditures necessary to maintain and lease the Company’s portfolio of properties, (ii) debt cost and derivative adjustments and (iii) stock-based compensation. The Company provides a reconciliation of Net Income Attributable to Common Shareholders to Nareit FFO, to Core Operating Earnings, and to Adjusted Funds from Operations.</w:t>
      </w:r>
    </w:p>
    <w:p>
      <w:pPr>
        <w:pStyle w:val="TextBody"/>
        <w:bidi w:val="0"/>
        <w:spacing w:before="60" w:after="120"/>
        <w:jc w:val="left"/>
        <w:rPr>
          <w:rFonts w:ascii="Times New Roman" w:hAnsi="Times New Roman"/>
          <w:sz w:val="20"/>
        </w:rPr>
      </w:pPr>
      <w:r>
        <w:rPr>
          <w:rFonts w:ascii="Tahoma;sans-serif" w:hAnsi="Tahoma;sans-serif"/>
          <w:b/>
          <w:color w:val="000000"/>
          <w:sz w:val="17"/>
          <w:u w:val="single"/>
        </w:rPr>
        <w:t>Pro-rata information:</w:t>
      </w:r>
      <w:r>
        <w:rPr>
          <w:rFonts w:ascii="Times New Roman" w:hAnsi="Times New Roman"/>
          <w:color w:val="000000"/>
          <w:sz w:val="20"/>
        </w:rPr>
        <w:t xml:space="preserve"> </w:t>
      </w:r>
      <w:r>
        <w:rPr>
          <w:rFonts w:ascii="Tahoma;sans-serif" w:hAnsi="Tahoma;sans-serif"/>
          <w:color w:val="000000"/>
          <w:sz w:val="17"/>
        </w:rPr>
        <w:t>includes 100% of the Company’s consolidated properties plus its economic share (based on the ownership interest) in the unconsolidated real estate investment partnerships. The Company provides Pro-rata financial information because Regency believes it assists investors and analysts in estimating the economic interest in the consolidated and unconsolidated real estate investment partnerships, when read in conjunction with the Company’s reported results under GAAP. The Company believes presenting its Pro-rata share of assets, liabilities, operating results, and other metrics, along with certain other non-GAAP financial measures, makes comparisons of its operating results to those of other REITs more meaningful. The Pro-rata information provided is not, nor is it intended to be, presented in accordance with GAAP. The Pro-rata supplemental details of assets and liabilities and supplemental details of operations reflect the Company’s proportionate economic ownership of the assets, liabilities, and operating results of the properties in our portfolio.</w:t>
      </w:r>
      <w:r>
        <w:rPr>
          <w:rFonts w:ascii="Times New Roman" w:hAnsi="Times New Roman"/>
          <w:color w:val="000000"/>
          <w:sz w:val="20"/>
        </w:rPr>
        <w:t xml:space="preserve"> </w:t>
      </w:r>
    </w:p>
    <w:p>
      <w:pPr>
        <w:pStyle w:val="TextBody"/>
        <w:bidi w:val="0"/>
        <w:spacing w:before="60" w:after="120"/>
        <w:jc w:val="left"/>
        <w:rPr>
          <w:rFonts w:ascii="Times New Roman" w:hAnsi="Times New Roman"/>
          <w:sz w:val="20"/>
        </w:rPr>
      </w:pPr>
      <w:r>
        <w:rPr>
          <w:rFonts w:ascii="Tahoma;sans-serif" w:hAnsi="Tahoma;sans-serif"/>
          <w:color w:val="000000"/>
          <w:sz w:val="17"/>
        </w:rPr>
        <w:t>The Pro-rata information is prepared on a basis consistent with the comparable consolidated amounts and is intended to more accurately reflect the Company’s proportionate economic interest in the assets, liabilities, and operating results of properties in its portfolio. The Company does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The Company’s share of invested capital establishes the ownership interests Regency uses to prepare its Pro-rata share.</w:t>
      </w:r>
      <w:r>
        <w:rPr>
          <w:rFonts w:ascii="Times New Roman" w:hAnsi="Times New Roman"/>
          <w:color w:val="000000"/>
          <w:sz w:val="20"/>
        </w:rPr>
        <w:t xml:space="preserve"> </w:t>
      </w:r>
    </w:p>
    <w:p>
      <w:pPr>
        <w:pStyle w:val="TextBody"/>
        <w:bidi w:val="0"/>
        <w:spacing w:before="60" w:after="120"/>
        <w:jc w:val="left"/>
        <w:rPr>
          <w:rFonts w:ascii="Times New Roman" w:hAnsi="Times New Roman"/>
          <w:sz w:val="20"/>
        </w:rPr>
      </w:pPr>
      <w:r>
        <w:rPr>
          <w:rFonts w:ascii="Tahoma;sans-serif" w:hAnsi="Tahoma;sans-serif"/>
          <w:color w:val="000000"/>
          <w:sz w:val="17"/>
        </w:rPr>
        <w:t>The presentation of Pro-rata information has limitations which include, but are not limited to, the following:</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 xml:space="preserve">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 </w:t>
      </w:r>
    </w:p>
    <w:p>
      <w:pPr>
        <w:pStyle w:val="TextBody"/>
        <w:bidi w:val="0"/>
        <w:spacing w:before="0" w:after="120"/>
        <w:jc w:val="left"/>
        <w:rPr>
          <w:color w:val="000000"/>
        </w:rPr>
      </w:pPr>
      <w:r>
        <w:rPr>
          <w:color w:val="000000"/>
        </w:rPr>
        <w: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 xml:space="preserve">Other companies in our industry may calculate their Pro-rata interest differently, limiting the comparability of Pro-rata information. </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Because of these limitations, the Pro-rata financial information should not be considered independently or as a substitute for the financial statements as reported under GAAP. The Company compensates for these limitations by relying primarily on our GAAP financial statements, using the Pro-rata information as a supplement.</w:t>
      </w:r>
    </w:p>
    <w:p>
      <w:pPr>
        <w:pStyle w:val="TextBody"/>
        <w:bidi w:val="0"/>
        <w:spacing w:before="60" w:after="360"/>
        <w:jc w:val="left"/>
        <w:rPr/>
      </w:pPr>
      <w:r>
        <w:rPr/>
        <w:t> </w:t>
      </w:r>
    </w:p>
    <w:p>
      <w:pPr>
        <w:pStyle w:val="TextBody"/>
        <w:bidi w:val="0"/>
        <w:spacing w:before="0" w:after="360"/>
        <w:jc w:val="left"/>
        <w:rPr/>
      </w:pPr>
      <w:r>
        <w:rPr/>
        <w:t> </w:t>
      </w:r>
    </w:p>
    <w:p>
      <w:pPr>
        <w:pStyle w:val="TextBody"/>
        <w:bidi w:val="0"/>
        <w:jc w:val="right"/>
        <w:rPr/>
      </w:pPr>
      <w:r>
        <w:rPr/>
        <w:drawing>
          <wp:inline distT="0" distB="0" distL="0" distR="0">
            <wp:extent cx="476250" cy="257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viii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Forward-Looking Statements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2025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2024 (“2024 Form 10-K”) under Item 1A, as supplemented by the discussion in Item 1A of Part II of our Quarterly Report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the Current Economic and Geopolitical Environments</w:t>
      </w:r>
    </w:p>
    <w:p>
      <w:pPr>
        <w:pStyle w:val="TextBody"/>
        <w:bidi w:val="0"/>
        <w:spacing w:before="0" w:after="120"/>
        <w:jc w:val="left"/>
        <w:rPr>
          <w:rFonts w:ascii="Times New Roman" w:hAnsi="Times New Roman"/>
          <w:sz w:val="20"/>
        </w:rPr>
      </w:pPr>
      <w:r>
        <w:rPr>
          <w:rFonts w:ascii="Tahoma;sans-serif" w:hAnsi="Tahoma;sans-serif"/>
          <w:color w:val="000000"/>
          <w:sz w:val="17"/>
        </w:rPr>
        <w:t xml:space="preserve">Interest rates in the current economic environment may adversely impact our cost to borrow, real estate valuation, and stock price. Economic challenges and policy changes may adversely impact our tenants and our business. Unfavorable developments that may affect the banking and financial services industry could adversely affect our business, liquidity and financial condition, and overall results of operations. Current geopolitical challenges could impact the U.S. economy and consumer spending and our results of operations and financial condition. </w:t>
      </w:r>
      <w:r>
        <w:rPr>
          <w:rFonts w:ascii="Tahoma;sans-serif" w:hAnsi="Tahoma;sans-serif"/>
          <w:color w:val="000000"/>
          <w:sz w:val="16"/>
        </w:rPr>
        <w:t>Evolving political and economic events and uncertainties, including tariffs, retaliatory tariffs, international trade disputes, and immigration policies could adversely impact the businesses of our tenants and our business</w:t>
      </w:r>
      <w:r>
        <w:rPr>
          <w:rFonts w:ascii="Tahoma;sans-serif" w:hAnsi="Tahoma;sans-serif"/>
          <w:color w:val="000000"/>
          <w:sz w:val="13"/>
        </w:rPr>
        <w:t>.</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Pandemics or other Public Health Crises</w:t>
      </w:r>
    </w:p>
    <w:p>
      <w:pPr>
        <w:pStyle w:val="TextBody"/>
        <w:bidi w:val="0"/>
        <w:spacing w:before="0" w:after="120"/>
        <w:jc w:val="left"/>
        <w:rPr>
          <w:rFonts w:ascii="Times New Roman" w:hAnsi="Times New Roman"/>
          <w:sz w:val="20"/>
        </w:rPr>
      </w:pPr>
      <w:r>
        <w:rPr>
          <w:rFonts w:ascii="Tahoma;sans-serif" w:hAnsi="Tahoma;sans-serif"/>
          <w:color w:val="000000"/>
          <w:sz w:val="17"/>
        </w:rPr>
        <w:t>Pandemics or other public health crises may adversely affect our tenants financial condition, the profitability of our properties, and our access to the capital markets and could have a material adverse effect on our business, results of operations, cash flows and financial condition.</w:t>
      </w:r>
      <w:r>
        <w:rPr>
          <w:rFonts w:ascii="Times New Roman" w:hAnsi="Times New Roman"/>
          <w:color w:val="000000"/>
          <w:sz w:val="20"/>
        </w:rPr>
        <w:t xml:space="preserve"> </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Operating Retail-Based Shopping Centers</w:t>
      </w:r>
    </w:p>
    <w:p>
      <w:pPr>
        <w:pStyle w:val="TextBody"/>
        <w:bidi w:val="0"/>
        <w:spacing w:before="0" w:after="120"/>
        <w:jc w:val="left"/>
        <w:rPr>
          <w:rFonts w:ascii="Times New Roman" w:hAnsi="Times New Roman"/>
          <w:sz w:val="20"/>
        </w:rPr>
      </w:pPr>
      <w:r>
        <w:rPr>
          <w:rFonts w:ascii="Tahoma;sans-serif" w:hAnsi="Tahoma;sans-serif"/>
          <w:color w:val="000000"/>
          <w:sz w:val="17"/>
        </w:rPr>
        <w:t>Economic and market conditions may adversely affect the retail industry and consequently reduce our revenues and cash flow, and increase our operating expenses. Shifts in retail trends, sales, and delivery methods between brick-and-mortar stores, e-commerce, home delivery, and curbside pick-up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regulations may have a material negative effect on us.</w:t>
      </w:r>
      <w:r>
        <w:rPr>
          <w:rFonts w:ascii="Times New Roman" w:hAnsi="Times New Roman"/>
          <w:color w:val="000000"/>
          <w:sz w:val="20"/>
        </w:rPr>
        <w:t xml:space="preserve"> </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Real Estate Investments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the Environment Affecting Our Properties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Climate change may adversely impact our properties, some of which may be more vulnerable due to their geographic location, and may lead to additional compliance obligations and costs. Costs of environmental remediation may adversely impact our financial performance and reduce our cash flow.</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Corporate Matters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An increased focus on metrics and reporting related to environmental, social, and governance (“ESG”) factors by investors and other stakeholders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p>
    <w:p>
      <w:pPr>
        <w:pStyle w:val="TextBody"/>
        <w:bidi w:val="0"/>
        <w:spacing w:before="60" w:after="120"/>
        <w:jc w:val="left"/>
        <w:rPr/>
      </w:pPr>
      <w:r>
        <w:rPr/>
        <w:t> </w:t>
      </w:r>
    </w:p>
    <w:p>
      <w:pPr>
        <w:pStyle w:val="TextBody"/>
        <w:bidi w:val="0"/>
        <w:jc w:val="right"/>
        <w:rPr/>
      </w:pPr>
      <w:r>
        <w:rPr/>
        <w:drawing>
          <wp:inline distT="0" distB="0" distL="0" distR="0">
            <wp:extent cx="476250" cy="257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ix</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Our Partnerships and Joint Ventures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Funding Strategies and Capital Structure</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Our ability to sell properties and fund acquisitions and developments may be adversely impacted by higher market capitalization rates and lower NOI at our properties which may adversely affect results of operations and financial condition.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Information Management and Technology</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The unauthorized access, use, theft or destruction of tenant or employee personal, financial or other data, or of Regency's proprietary or confidential information stored in our information systems or by third parties on our behalf, could impact operations, and expose us to potential liabilities and material adverse financial impact. Any actual or perceived failure to comply with new or existing laws, regulations and other requirements relating to the privacy, security and processing of personal information could adversely affect our business, results of operations, or financial condition. The use of technology based on artificial intelligence presents risks relating to confidentiality, creation of inaccurate and flawed outputs and emerging regulatory risk, any or all of which may adversely affect our business and results of operations.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Taxes and the Parent Company’s Qualification as a REIT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If the Parent Company fails to qualify as a REIT for federal income tax purposes, it would be subject to federal income tax at regular corporate rates. Dividends paid by REITs generally do not qualify for reduced tax rates. Certain non-U.S. stockholders may be subject to U.S. federal income tax on gain recognized on a disposition of our common stock if the Parent Company does not qualify as a “domestically controlled” REIT.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the Company’s Stock</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Restrictions on the ownership of the Parent Company’s capital stock to preserve its REIT status may delay or prevent a change in control. The issuance of the Parent Company's capital stock may delay or prevent a change in control. Ownership in the Parent Company may be diluted in the future. The Parent Company’s amended and restated bylaws provides that the courts located in the State of Florida will be the sole and exclusive forum for substantially all disputes between us and our stockholders, which could limit our stockholders’ ability to obtain a favorable judicial forum for disputes with us or our directors, officers, or employees. There is no assurance that we will continue to pay dividends at current or historical rates.</w:t>
      </w:r>
    </w:p>
    <w:p>
      <w:pPr>
        <w:pStyle w:val="TextBody"/>
        <w:bidi w:val="0"/>
        <w:jc w:val="right"/>
        <w:rPr/>
      </w:pPr>
      <w:r>
        <w:rPr/>
        <w:drawing>
          <wp:inline distT="0" distB="0" distL="0" distR="0">
            <wp:extent cx="476250" cy="2571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x</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9" w:name="summaryfininfo"/>
      <w:bookmarkEnd w:id="9"/>
      <w:r>
        <w:rPr>
          <w:rFonts w:ascii="Tahoma;sans-serif" w:hAnsi="Tahoma;sans-serif"/>
          <w:b/>
          <w:color w:val="000000"/>
          <w:sz w:val="20"/>
        </w:rPr>
        <w:t>Financial Results Summary</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(in thousands, except per share data)</w:t>
      </w:r>
    </w:p>
    <w:p>
      <w:pPr>
        <w:pStyle w:val="TextBody"/>
        <w:bidi w:val="0"/>
        <w:jc w:val="both"/>
        <w:rPr/>
      </w:pPr>
      <w:r>
        <w:rPr/>
        <w:t> </w:t>
      </w:r>
    </w:p>
    <w:tbl>
      <w:tblPr>
        <w:tblW w:w="7138" w:type="dxa"/>
        <w:jc w:val="left"/>
        <w:tblInd w:w="0" w:type="dxa"/>
        <w:tblLayout w:type="fixed"/>
        <w:tblCellMar>
          <w:top w:w="28" w:type="dxa"/>
          <w:left w:w="28" w:type="dxa"/>
          <w:bottom w:w="28" w:type="dxa"/>
          <w:right w:w="28" w:type="dxa"/>
        </w:tblCellMar>
      </w:tblPr>
      <w:tblGrid>
        <w:gridCol w:w="5541"/>
        <w:gridCol w:w="676"/>
        <w:gridCol w:w="921"/>
      </w:tblGrid>
      <w:tr>
        <w:trPr/>
        <w:tc>
          <w:tcPr>
            <w:tcW w:w="55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Financial Results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Net income attributable to common shareholders (page 5)</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$106,174</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$106,361</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Net income per diluted share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$0.58</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$0.58</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Nareit Funds From Operations (Nareit FFO) (page 9)</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$210,749</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$199,967</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Nareit FFO per diluted share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$1.15</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$1.08</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Core Operating Earnings (page 9)</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$199,443</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$193,068</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Core Operating Earnings per diluted share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$1.04</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Same Property NOI without termination fees (page 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$271,498</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$260,220</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 growth</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EBITDAre (page 10)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$259,452</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$249,596</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Dividends declared per common share and unit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$0.705</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$0.670</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Payout ratio of Core Operating Earnings per share (diluted)</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64.7%</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64.4%</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Diluted share and unit count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Weighted average shares (diluted) - Net income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181,813</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184,770</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Weighted average shares and units (diluted) - Nareit FFO and Core Operating Earnings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182,910</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185,872</w:t>
            </w:r>
          </w:p>
        </w:tc>
      </w:tr>
    </w:tbl>
    <w:p>
      <w:pPr>
        <w:pStyle w:val="TextBody"/>
        <w:bidi w:val="0"/>
        <w:jc w:val="both"/>
        <w:rPr>
          <w:rFonts w:ascii="Tahoma;sans-serif" w:hAnsi="Tahoma;sans-serif"/>
          <w:color w:val="000000"/>
          <w:sz w:val="20"/>
        </w:rPr>
      </w:pPr>
      <w:r>
        <w:rPr>
          <w:rFonts w:ascii="Tahoma;sans-serif" w:hAnsi="Tahoma;sans-serif"/>
          <w:color w:val="000000"/>
          <w:sz w:val="20"/>
        </w:rPr>
        <w:t>__________________________________________________________________________________________________</w:t>
      </w:r>
    </w:p>
    <w:p>
      <w:pPr>
        <w:pStyle w:val="TextBody"/>
        <w:bidi w:val="0"/>
        <w:jc w:val="both"/>
        <w:rPr/>
      </w:pPr>
      <w:r>
        <w:rPr/>
        <w:t> </w:t>
      </w:r>
    </w:p>
    <w:tbl>
      <w:tblPr>
        <w:tblW w:w="7580" w:type="dxa"/>
        <w:jc w:val="left"/>
        <w:tblInd w:w="0" w:type="dxa"/>
        <w:tblLayout w:type="fixed"/>
        <w:tblCellMar>
          <w:top w:w="28" w:type="dxa"/>
          <w:left w:w="28" w:type="dxa"/>
          <w:bottom w:w="28" w:type="dxa"/>
          <w:right w:w="28" w:type="dxa"/>
        </w:tblCellMar>
      </w:tblPr>
      <w:tblGrid>
        <w:gridCol w:w="4001"/>
        <w:gridCol w:w="871"/>
        <w:gridCol w:w="871"/>
        <w:gridCol w:w="871"/>
        <w:gridCol w:w="966"/>
      </w:tblGrid>
      <w:tr>
        <w:trPr/>
        <w:tc>
          <w:tcPr>
            <w:tcW w:w="400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3/31/2025</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12/31/2024</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12/31/2023</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12/31/2022</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Capital Information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Market price per common share</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$73.76</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$73.93</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$67.00</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$62.50</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Common shares outstanding</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181,526</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181,361</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184,581</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171,125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Exchangeable units held by noncontrolling interests</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1,097</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1,097</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1,107</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741</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Common shares and equivalents issued and outstanding</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182,623</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182,458</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185,688</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171,866</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Market equity value of common shares and equivalents</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$13,470,272</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$13,489,128</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$12,441,131</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$10,741,627</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Preferred stock</w:t>
            </w:r>
            <w:r>
              <w:rPr>
                <w:rFonts w:ascii="Tahoma;sans-serif" w:hAnsi="Tahoma;sans-serif"/>
                <w:color w:val="000000"/>
                <w:sz w:val="9"/>
              </w:rPr>
              <w:t>(1)</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$225,000</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$225,000</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$225,000</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Outstanding debt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5,208,574</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4,984,071</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4,688,805</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4,225,014</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Less: cash</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(78,537)</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(61,884)</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(91,354)</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(68,776)</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 stock</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$5,355,037</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$5,147,187</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$4,822,451</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$4,156,238</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market capitalization</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$18,825,309</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$18,636,315</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$17,263,582</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$14,897,865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u w:val="single"/>
              </w:rPr>
              <w:t>Debt metrics (pro-rata; trailing 12 months "TTM")</w:t>
            </w:r>
            <w:r>
              <w:rPr>
                <w:rFonts w:ascii="Tahoma;sans-serif" w:hAnsi="Tahoma;sans-serif"/>
                <w:b/>
                <w:color w:val="000000"/>
                <w:sz w:val="9"/>
              </w:rPr>
              <w:t>(2)</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Preferreds-to-Operating EBITDAre</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5.3x</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5.2x</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5.4x</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5.0x</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i/>
                <w:color w:val="000000"/>
                <w:sz w:val="14"/>
              </w:rPr>
            </w:pPr>
            <w:r>
              <w:rPr>
                <w:rFonts w:ascii="Tahoma;sans-serif" w:hAnsi="Tahoma;sans-serif"/>
                <w:i/>
                <w:color w:val="000000"/>
                <w:sz w:val="14"/>
              </w:rPr>
              <w:t>Net Debt and Preferreds-to-Operating EBITDAre, adjusted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5.1x</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Fixed charge coverage</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4.3x</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4.3x</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4.7x</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4.7x</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 w:after="283"/>
        <w:jc w:val="left"/>
        <w:rPr>
          <w:rFonts w:ascii="Tahoma" w:hAnsi="Tahoma"/>
          <w:color w:val="000000"/>
          <w:sz w:val="14"/>
        </w:rPr>
      </w:pPr>
      <w:r>
        <w:rPr>
          <w:rFonts w:ascii="Tahoma" w:hAnsi="Tahoma"/>
          <w:color w:val="000000"/>
          <w:sz w:val="14"/>
        </w:rPr>
        <w:t>(1)</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 xml:space="preserve">Regency has outstanding 4.6M shares of 6.25% Series A Cumulative Redeemable Preferred Stock with a liquidation preference of $115M and callable on demand, and 4.4M shares of 5.875% Series B Cumulative Redeemable Preferred Stock with a liquidation preference of $110M and callable on demand. </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 light of the merger with UBP on August 18, 2023, adjusted debt metric calculations include legacy Regency results for the trailing 12 months and the annualized contribution from UBP post merger.</w:t>
      </w:r>
    </w:p>
    <w:p>
      <w:pPr>
        <w:pStyle w:val="TextBody"/>
        <w:bidi w:val="0"/>
        <w:jc w:val="right"/>
        <w:rPr/>
      </w:pPr>
      <w:r>
        <w:rPr/>
        <w:drawing>
          <wp:inline distT="0" distB="0" distL="0" distR="0">
            <wp:extent cx="466725" cy="247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0" w:name="summaryreinfo"/>
      <w:bookmarkEnd w:id="10"/>
      <w:r>
        <w:rPr>
          <w:rFonts w:ascii="Tahoma;sans-serif" w:hAnsi="Tahoma;sans-serif"/>
          <w:b/>
          <w:color w:val="000000"/>
          <w:sz w:val="20"/>
        </w:rPr>
        <w:t>Real Estate Portfolio Summary</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(GLA in thousands)</w:t>
      </w:r>
    </w:p>
    <w:p>
      <w:pPr>
        <w:pStyle w:val="TextBody"/>
        <w:bidi w:val="0"/>
        <w:jc w:val="left"/>
        <w:rPr/>
      </w:pPr>
      <w:r>
        <w:rPr/>
        <w:t> </w:t>
      </w:r>
    </w:p>
    <w:tbl>
      <w:tblPr>
        <w:tblW w:w="9696" w:type="dxa"/>
        <w:jc w:val="left"/>
        <w:tblInd w:w="0" w:type="dxa"/>
        <w:tblLayout w:type="fixed"/>
        <w:tblCellMar>
          <w:top w:w="28" w:type="dxa"/>
          <w:left w:w="28" w:type="dxa"/>
          <w:bottom w:w="28" w:type="dxa"/>
          <w:right w:w="28" w:type="dxa"/>
        </w:tblCellMar>
      </w:tblPr>
      <w:tblGrid>
        <w:gridCol w:w="5746"/>
        <w:gridCol w:w="721"/>
        <w:gridCol w:w="796"/>
        <w:gridCol w:w="721"/>
        <w:gridCol w:w="721"/>
        <w:gridCol w:w="991"/>
      </w:tblGrid>
      <w:tr>
        <w:trPr/>
        <w:tc>
          <w:tcPr>
            <w:tcW w:w="57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3"/>
                <w:u w:val="single"/>
              </w:rPr>
            </w:pPr>
            <w:r>
              <w:rPr>
                <w:rFonts w:ascii="Tahoma;sans-serif" w:hAnsi="Tahoma;sans-serif"/>
                <w:b/>
                <w:color w:val="000000"/>
                <w:sz w:val="13"/>
                <w:u w:val="single"/>
              </w:rPr>
              <w:t>Consolidated and 100% of Real Estate Partnerships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3/31/2025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12/31/2024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9/30/2024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6/30/2024</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3/31/2024</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482</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retail operating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472</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473</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same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470</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397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397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398</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400</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properties in redevelopment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Number of properties in development</w:t>
            </w:r>
            <w:r>
              <w:rPr>
                <w:rFonts w:ascii="Tahoma;sans-serif" w:hAnsi="Tahoma;sans-serif"/>
                <w:color w:val="000000"/>
                <w:sz w:val="9"/>
              </w:rPr>
              <w:t>(1)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w:t>
            </w:r>
          </w:p>
        </w:tc>
      </w:tr>
      <w:tr>
        <w:trPr/>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Gross Leasable Area (GLA) - All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57,654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57,315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57,172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56,880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57,013</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including retailer-owned stores - All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61,401</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61,062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60,919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60,627</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60,760</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Retail operating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56,863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56,523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56,364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55,960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56,091</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Same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55,735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50,219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50,272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50,383</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50,597</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Properties in redevelopment</w:t>
            </w:r>
            <w:r>
              <w:rPr>
                <w:rFonts w:ascii="Tahoma;sans-serif" w:hAnsi="Tahoma;sans-serif"/>
                <w:color w:val="000000"/>
                <w:sz w:val="9"/>
              </w:rPr>
              <w:t>(2)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2,039</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2,036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2,306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2,003</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2,003</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Properties in development</w:t>
            </w:r>
            <w:r>
              <w:rPr>
                <w:rFonts w:ascii="Tahoma;sans-serif" w:hAnsi="Tahoma;sans-serif"/>
                <w:color w:val="000000"/>
                <w:sz w:val="9"/>
              </w:rPr>
              <w:t>(1)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752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752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750</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863</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865</w:t>
            </w:r>
          </w:p>
        </w:tc>
      </w:tr>
      <w:tr>
        <w:trPr/>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3"/>
                <w:u w:val="single"/>
              </w:rPr>
            </w:pPr>
            <w:r>
              <w:rPr>
                <w:rFonts w:ascii="Tahoma;sans-serif" w:hAnsi="Tahoma;sans-serif"/>
                <w:b/>
                <w:color w:val="000000"/>
                <w:sz w:val="13"/>
                <w:u w:val="single"/>
              </w:rPr>
              <w:t>Consolidated and Pro-Rata Share of Real Estate Partnerships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All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49,217</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48,814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48,842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48,600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48,732</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including retailer-owned stores - All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52,963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52,561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52,589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52,346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52,479</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Retail operating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48,502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48,100</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48,112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47,757</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47,887</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Same properties</w:t>
            </w:r>
            <w:r>
              <w:rPr>
                <w:rFonts w:ascii="Tahoma;sans-serif" w:hAnsi="Tahoma;sans-serif"/>
                <w:color w:val="000000"/>
                <w:sz w:val="9"/>
              </w:rPr>
              <w:t>(3)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47,597</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47,577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47,632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47,646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47,627</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Anchor Spaces (≥ 10,000 SF)</w:t>
            </w:r>
            <w:r>
              <w:rPr>
                <w:rFonts w:ascii="Tahoma;sans-serif" w:hAnsi="Tahoma;sans-serif"/>
                <w:color w:val="000000"/>
                <w:sz w:val="9"/>
              </w:rPr>
              <w:t>(3)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29,274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29,275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29,308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29,293</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29,285</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Shop Spaces (&lt; 10,000 SF)</w:t>
            </w:r>
            <w:r>
              <w:rPr>
                <w:rFonts w:ascii="Tahoma;sans-serif" w:hAnsi="Tahoma;sans-serif"/>
                <w:color w:val="000000"/>
                <w:sz w:val="9"/>
              </w:rPr>
              <w:t>(3)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18,323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18,302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18,325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18,353</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18,342</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Properties in redevelopment</w:t>
            </w:r>
            <w:r>
              <w:rPr>
                <w:rFonts w:ascii="Tahoma;sans-serif" w:hAnsi="Tahoma;sans-serif"/>
                <w:color w:val="000000"/>
                <w:sz w:val="9"/>
              </w:rPr>
              <w:t>(2)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1,992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1,989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2,258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1,955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1,955</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Properties in development</w:t>
            </w:r>
            <w:r>
              <w:rPr>
                <w:rFonts w:ascii="Tahoma;sans-serif" w:hAnsi="Tahoma;sans-serif"/>
                <w:color w:val="000000"/>
                <w:sz w:val="9"/>
              </w:rPr>
              <w:t>(1)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675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675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672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785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788</w:t>
            </w:r>
          </w:p>
        </w:tc>
      </w:tr>
      <w:tr>
        <w:trPr/>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 leased - All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95.0%</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 leased - Retail operating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95.4%</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95.4%</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 leased - Same properties</w:t>
            </w:r>
            <w:r>
              <w:rPr>
                <w:rFonts w:ascii="Tahoma;sans-serif" w:hAnsi="Tahoma;sans-serif"/>
                <w:color w:val="000000"/>
                <w:sz w:val="9"/>
              </w:rPr>
              <w:t>(3)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95.5%</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Anchor Spaces (≥ 10,000 SF)</w:t>
            </w:r>
            <w:r>
              <w:rPr>
                <w:rFonts w:ascii="Tahoma;sans-serif" w:hAnsi="Tahoma;sans-serif"/>
                <w:color w:val="000000"/>
                <w:sz w:val="9"/>
              </w:rPr>
              <w:t>(3)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98.3%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98.4%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97.0%</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Shop Spaces (&lt; 10,000 SF)</w:t>
            </w:r>
            <w:r>
              <w:rPr>
                <w:rFonts w:ascii="Tahoma;sans-serif" w:hAnsi="Tahoma;sans-serif"/>
                <w:color w:val="000000"/>
                <w:sz w:val="9"/>
              </w:rPr>
              <w:t>(3)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93.7%</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92.8%</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93.0%</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 commenced - Same properties</w:t>
            </w:r>
            <w:r>
              <w:rPr>
                <w:rFonts w:ascii="Tahoma;sans-serif" w:hAnsi="Tahoma;sans-serif"/>
                <w:color w:val="000000"/>
                <w:sz w:val="9"/>
              </w:rPr>
              <w:t>(3)(4)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92.4%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92.0%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91.8%</w:t>
            </w:r>
          </w:p>
        </w:tc>
      </w:tr>
      <w:tr>
        <w:trPr/>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Same property NOI Growth without Termination Fees - YTD (see page 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1.4%</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Same property NOI Growth without Termination Fees or Redevelopments - YTD (see page 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3.6%</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1.1%</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Rent spreads - Trailing 12 months</w:t>
            </w:r>
            <w:r>
              <w:rPr>
                <w:rFonts w:ascii="Tahoma;sans-serif" w:hAnsi="Tahoma;sans-serif"/>
                <w:color w:val="000000"/>
                <w:sz w:val="9"/>
              </w:rPr>
              <w:t>(5)</w:t>
            </w:r>
            <w:r>
              <w:rPr>
                <w:rFonts w:ascii="Times New Roman" w:hAnsi="Times New Roman"/>
                <w:color w:val="000000"/>
                <w:sz w:val="13"/>
              </w:rPr>
              <w:t> </w:t>
            </w:r>
            <w:r>
              <w:rPr>
                <w:rFonts w:ascii="Tahoma;sans-serif" w:hAnsi="Tahoma;sans-serif"/>
                <w:color w:val="000000"/>
                <w:sz w:val="13"/>
              </w:rPr>
              <w:t>(see page 19)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10.3%</w:t>
            </w:r>
          </w:p>
        </w:tc>
      </w:tr>
      <w:tr>
        <w:trPr/>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ahoma" w:hAnsi="Tahoma"/>
          <w:color w:val="000000"/>
          <w:sz w:val="14"/>
        </w:rPr>
      </w:pPr>
      <w:r>
        <w:rPr>
          <w:rFonts w:ascii="Tahoma" w:hAnsi="Tahoma"/>
          <w:color w:val="000000"/>
          <w:sz w:val="14"/>
        </w:rPr>
        <w:t>(1)</w:t>
      </w:r>
    </w:p>
    <w:p>
      <w:pPr>
        <w:pStyle w:val="TextBody"/>
        <w:bidi w:val="0"/>
        <w:spacing w:before="240" w:after="283"/>
        <w:jc w:val="left"/>
        <w:rPr>
          <w:rFonts w:ascii="Tahoma;sans-serif" w:hAnsi="Tahoma;sans-serif"/>
          <w:color w:val="000000"/>
          <w:sz w:val="14"/>
        </w:rPr>
      </w:pPr>
      <w:r>
        <w:rPr>
          <w:rFonts w:ascii="Tahoma;sans-serif" w:hAnsi="Tahoma;sans-serif"/>
          <w:color w:val="000000"/>
          <w:sz w:val="14"/>
        </w:rPr>
        <w:t xml:space="preserve">Includes current ground-up developments. </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Represents entire center GLA rather than redevelopment portion only. Included in Same Property pool unless noted otherwise.</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Prior periods adjusted for current same property pool.</w:t>
      </w:r>
    </w:p>
    <w:p>
      <w:pPr>
        <w:pStyle w:val="TextBody"/>
        <w:bidi w:val="0"/>
        <w:spacing w:before="20" w:after="283"/>
        <w:jc w:val="left"/>
        <w:rPr>
          <w:rFonts w:ascii="Tahoma" w:hAnsi="Tahoma"/>
          <w:color w:val="000000"/>
          <w:sz w:val="14"/>
        </w:rPr>
      </w:pPr>
      <w:r>
        <w:rPr>
          <w:rFonts w:ascii="Tahoma" w:hAnsi="Tahoma"/>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Excludes leases that are signed but have not yet commenced.</w:t>
      </w:r>
    </w:p>
    <w:p>
      <w:pPr>
        <w:pStyle w:val="TextBody"/>
        <w:bidi w:val="0"/>
        <w:spacing w:before="20" w:after="60"/>
        <w:jc w:val="left"/>
        <w:rPr>
          <w:rFonts w:ascii="Tahoma" w:hAnsi="Tahoma"/>
          <w:color w:val="000000"/>
          <w:sz w:val="14"/>
        </w:rPr>
      </w:pPr>
      <w:r>
        <w:rPr>
          <w:rFonts w:ascii="Tahoma" w:hAnsi="Tahoma"/>
          <w:color w:val="000000"/>
          <w:sz w:val="14"/>
        </w:rPr>
        <w:t>(5)</w:t>
      </w:r>
    </w:p>
    <w:p>
      <w:pPr>
        <w:pStyle w:val="TextBody"/>
        <w:bidi w:val="0"/>
        <w:spacing w:before="20" w:after="60"/>
        <w:jc w:val="left"/>
        <w:rPr>
          <w:rFonts w:ascii="Tahoma;sans-serif" w:hAnsi="Tahoma;sans-serif"/>
          <w:color w:val="000000"/>
          <w:sz w:val="14"/>
        </w:rPr>
      </w:pPr>
      <w:r>
        <w:rPr>
          <w:rFonts w:ascii="Tahoma;sans-serif" w:hAnsi="Tahoma;sans-serif"/>
          <w:color w:val="000000"/>
          <w:sz w:val="14"/>
        </w:rPr>
        <w:t>Retail operating properties only. Rent spreads are calculated on a comparable-space, cash basis for new and renewal leases executed.</w:t>
      </w:r>
    </w:p>
    <w:p>
      <w:pPr>
        <w:pStyle w:val="TextBody"/>
        <w:bidi w:val="0"/>
        <w:jc w:val="left"/>
        <w:rPr>
          <w:rFonts w:ascii="Times New Roman" w:hAnsi="Times New Roman"/>
          <w:sz w:val="20"/>
        </w:rPr>
      </w:pPr>
      <w:r>
        <w:rPr>
          <w:rFonts w:ascii="Tahoma;sans-serif" w:hAnsi="Tahoma;sans-serif"/>
          <w:color w:val="000000"/>
          <w:sz w:val="14"/>
        </w:rPr>
        <w:t>Amounts may not total due to rounding.</w:t>
      </w:r>
      <w:r>
        <w:rPr>
          <w:rFonts w:ascii="Times New Roman" w:hAnsi="Times New Roman"/>
          <w:color w:val="000000"/>
          <w:sz w:val="20"/>
        </w:rPr>
        <w:t xml:space="preserve"> </w:t>
      </w:r>
    </w:p>
    <w:p>
      <w:pPr>
        <w:pStyle w:val="TextBody"/>
        <w:bidi w:val="0"/>
        <w:jc w:val="right"/>
        <w:rPr/>
      </w:pPr>
      <w:r>
        <w:rPr/>
        <w:drawing>
          <wp:inline distT="0" distB="0" distL="0" distR="0">
            <wp:extent cx="466725" cy="247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2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1" w:name="consolbs"/>
      <w:bookmarkEnd w:id="11"/>
      <w:r>
        <w:rPr>
          <w:rFonts w:ascii="Tahoma;sans-serif" w:hAnsi="Tahoma;sans-serif"/>
          <w:b/>
          <w:color w:val="000000"/>
          <w:sz w:val="20"/>
        </w:rPr>
        <w:t>Consolidated Balance Sheets</w:t>
      </w:r>
    </w:p>
    <w:p>
      <w:pPr>
        <w:pStyle w:val="TextBody"/>
        <w:bidi w:val="0"/>
        <w:jc w:val="center"/>
        <w:rPr>
          <w:rFonts w:ascii="Tahoma;sans-serif" w:hAnsi="Tahoma;sans-serif"/>
          <w:color w:val="000000"/>
          <w:sz w:val="20"/>
        </w:rPr>
      </w:pPr>
      <w:r>
        <w:rPr>
          <w:rFonts w:ascii="Tahoma;sans-serif" w:hAnsi="Tahoma;sans-serif"/>
          <w:color w:val="000000"/>
          <w:sz w:val="20"/>
        </w:rPr>
        <w:t>March 31, 2025 and December 31,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8379" w:type="dxa"/>
        <w:jc w:val="left"/>
        <w:tblInd w:w="0" w:type="dxa"/>
        <w:tblLayout w:type="fixed"/>
        <w:tblCellMar>
          <w:top w:w="28" w:type="dxa"/>
          <w:left w:w="28" w:type="dxa"/>
          <w:bottom w:w="28" w:type="dxa"/>
          <w:right w:w="28" w:type="dxa"/>
        </w:tblCellMar>
      </w:tblPr>
      <w:tblGrid>
        <w:gridCol w:w="4556"/>
        <w:gridCol w:w="146"/>
        <w:gridCol w:w="196"/>
        <w:gridCol w:w="916"/>
        <w:gridCol w:w="166"/>
        <w:gridCol w:w="146"/>
        <w:gridCol w:w="146"/>
        <w:gridCol w:w="916"/>
        <w:gridCol w:w="1191"/>
      </w:tblGrid>
      <w:tr>
        <w:trPr/>
        <w:tc>
          <w:tcPr>
            <w:tcW w:w="4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Real estate assets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13,910,190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13,698,419</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3,037,614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2,960,399</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Real estate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10,872,576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10,738,020</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Investments in sales-type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16,291</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389,175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399,044</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Net 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11,278,271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11,153,355</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Properties held for sale,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78,537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61,884</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Tenant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35,306</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Straight-line rent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162,885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157,507</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62,682</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250,210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255,495</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Deferred leasing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85,272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79,911</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Acquired lease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231,526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229,983</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320,317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322,287</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299,717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289,046</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12,560,070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12,391,961</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4,376,240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4,343,700</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Unsecured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65,000</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Total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4,641,240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4,408,700</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340,997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392,302</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Acquired lease intangible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374,606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364,608</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243,923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244,861</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Tenants' security, escrow deposits, and prepaid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82,864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81,183</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5,683,630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5,491,654</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225,000</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1,814</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(28,045</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8,505,489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8,503,227</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2,226</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Distributions in excess of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(2,001,878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(1,980,076</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6,699,578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6,724,146</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40,744</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Limited partners' interests in consolidated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136,278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135,417</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176,862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176,161</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ahoma;sans-serif" w:hAnsi="Tahoma;sans-serif"/>
                <w:color w:val="000000"/>
                <w:sz w:val="16"/>
              </w:rPr>
            </w:pPr>
            <w:r>
              <w:rPr>
                <w:rFonts w:ascii="Tahoma;sans-serif" w:hAnsi="Tahoma;sans-serif"/>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6,876,440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6,900,307</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ahoma;sans-serif" w:hAnsi="Tahoma;sans-serif"/>
                <w:color w:val="000000"/>
                <w:sz w:val="16"/>
              </w:rPr>
            </w:pPr>
            <w:r>
              <w:rPr>
                <w:rFonts w:ascii="Tahoma;sans-serif" w:hAnsi="Tahoma;sans-serif"/>
                <w:color w:val="000000"/>
                <w:sz w:val="16"/>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12,560,070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12,391,961</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These consolidated balance sheets should be read in conjunction with the Company's most recent Form 10-Q and Form 10-K filed with the Securities and Exchange Commission.</w:t>
      </w:r>
    </w:p>
    <w:p>
      <w:pPr>
        <w:pStyle w:val="TextBody"/>
        <w:bidi w:val="0"/>
        <w:jc w:val="right"/>
        <w:rPr/>
      </w:pPr>
      <w:r>
        <w:rPr/>
        <w:drawing>
          <wp:inline distT="0" distB="0" distL="0" distR="0">
            <wp:extent cx="466725" cy="2476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2" w:name="suppdetailsbsjv"/>
      <w:bookmarkEnd w:id="12"/>
      <w:r>
        <w:rPr>
          <w:rFonts w:ascii="Tahoma;sans-serif" w:hAnsi="Tahoma;sans-serif"/>
          <w:b/>
          <w:color w:val="000000"/>
          <w:sz w:val="20"/>
        </w:rPr>
        <w:t>Supplemental Details of Assets and Liabilities (Real Estate Partnerships Only)</w:t>
      </w:r>
    </w:p>
    <w:p>
      <w:pPr>
        <w:pStyle w:val="TextBody"/>
        <w:bidi w:val="0"/>
        <w:jc w:val="center"/>
        <w:rPr>
          <w:rFonts w:ascii="Tahoma;sans-serif" w:hAnsi="Tahoma;sans-serif"/>
          <w:color w:val="000000"/>
          <w:sz w:val="20"/>
        </w:rPr>
      </w:pPr>
      <w:r>
        <w:rPr>
          <w:rFonts w:ascii="Tahoma;sans-serif" w:hAnsi="Tahoma;sans-serif"/>
          <w:color w:val="000000"/>
          <w:sz w:val="20"/>
        </w:rPr>
        <w:t>March 31, 2025 and December 31,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9607" w:type="dxa"/>
        <w:jc w:val="left"/>
        <w:tblInd w:w="0" w:type="dxa"/>
        <w:tblLayout w:type="fixed"/>
        <w:tblCellMar>
          <w:top w:w="28" w:type="dxa"/>
          <w:left w:w="28" w:type="dxa"/>
          <w:bottom w:w="28" w:type="dxa"/>
          <w:right w:w="28" w:type="dxa"/>
        </w:tblCellMar>
      </w:tblPr>
      <w:tblGrid>
        <w:gridCol w:w="3916"/>
        <w:gridCol w:w="146"/>
        <w:gridCol w:w="196"/>
        <w:gridCol w:w="751"/>
        <w:gridCol w:w="166"/>
        <w:gridCol w:w="146"/>
        <w:gridCol w:w="146"/>
        <w:gridCol w:w="751"/>
        <w:gridCol w:w="166"/>
        <w:gridCol w:w="146"/>
        <w:gridCol w:w="196"/>
        <w:gridCol w:w="826"/>
        <w:gridCol w:w="146"/>
        <w:gridCol w:w="146"/>
        <w:gridCol w:w="146"/>
        <w:gridCol w:w="826"/>
        <w:gridCol w:w="7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Noncontrolling 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Share of Unconsolidated</w:t>
              <w:br/>
              <w:t>Real Estate Partnerships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Real estate assets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(113,949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(111,047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1,371,418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1,385,178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521,178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519,397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Real estate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(95,024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(92,810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850,240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865,781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Investments in sales-type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36,444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Net 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(97,867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(95,608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887,180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902,225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(62,278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(65,217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22,323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Tenant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3,771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Straight-line rent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22,813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28,706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Deferred leasing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17,586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Acquired lease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8,612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4,834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31,476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(168,739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(169,539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996,205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1,015,762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567,334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575,371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28,104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Acquired lease intangible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5,491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3,267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Tenants' security, escrow deposits, and prepaid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4,485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607,030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616,718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jc w:val="left"/>
        <w:rPr>
          <w:rFonts w:ascii="Tahoma;sans-serif" w:hAnsi="Tahoma;sans-serif"/>
          <w:b/>
          <w:color w:val="000000"/>
          <w:sz w:val="16"/>
          <w:u w:val="single"/>
        </w:rPr>
      </w:pPr>
      <w:r>
        <w:rPr>
          <w:rFonts w:ascii="Tahoma;sans-serif" w:hAnsi="Tahoma;sans-serif"/>
          <w:b/>
          <w:color w:val="000000"/>
          <w:sz w:val="16"/>
          <w:u w:val="single"/>
        </w:rPr>
        <w:t>Note</w:t>
      </w:r>
    </w:p>
    <w:p>
      <w:pPr>
        <w:pStyle w:val="TextBody"/>
        <w:bidi w:val="0"/>
        <w:jc w:val="left"/>
        <w:rPr>
          <w:rFonts w:ascii="Tahoma;sans-serif" w:hAnsi="Tahoma;sans-serif"/>
          <w:color w:val="000000"/>
          <w:sz w:val="16"/>
        </w:rPr>
      </w:pPr>
      <w:r>
        <w:rPr>
          <w:rFonts w:ascii="Tahoma;sans-serif" w:hAnsi="Tahoma;sans-serif"/>
          <w:color w:val="000000"/>
          <w:sz w:val="16"/>
        </w:rPr>
        <w:t>Noncontrolling interests represent limited partners' interests in consolidated Real Estate Partnerships' activities and Share of Unconsolidated Real Estate Partnerships represents the Company's share of investments in unconsolidated Real Estate Partnerships' activities, of which each are included on a single line presentation in the Company's consolidated financial statements in accordance with GAAP.</w:t>
      </w:r>
    </w:p>
    <w:p>
      <w:pPr>
        <w:pStyle w:val="TextBody"/>
        <w:bidi w:val="0"/>
        <w:jc w:val="right"/>
        <w:rPr/>
      </w:pPr>
      <w:r>
        <w:rPr/>
        <w:drawing>
          <wp:inline distT="0" distB="0" distL="0" distR="0">
            <wp:extent cx="466725" cy="247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4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3" w:name="consolops"/>
      <w:bookmarkEnd w:id="13"/>
      <w:r>
        <w:rPr>
          <w:rFonts w:ascii="Tahoma;sans-serif" w:hAnsi="Tahoma;sans-serif"/>
          <w:b/>
          <w:color w:val="000000"/>
          <w:sz w:val="20"/>
        </w:rPr>
        <w:t>Consolidated Statements of Operations</w:t>
      </w:r>
    </w:p>
    <w:p>
      <w:pPr>
        <w:pStyle w:val="TextBody"/>
        <w:bidi w:val="0"/>
        <w:jc w:val="center"/>
        <w:rPr>
          <w:rFonts w:ascii="Tahoma;sans-serif" w:hAnsi="Tahoma;sans-serif"/>
          <w:color w:val="000000"/>
          <w:sz w:val="20"/>
        </w:rPr>
      </w:pPr>
      <w:r>
        <w:rPr>
          <w:rFonts w:ascii="Tahoma;sans-serif" w:hAnsi="Tahoma;sans-serif"/>
          <w:color w:val="000000"/>
          <w:sz w:val="20"/>
        </w:rPr>
        <w:t>For the Periods Ended March 31, 2025 and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rFonts w:ascii="Tahoma;sans-serif" w:hAnsi="Tahoma;sans-serif"/>
          <w:color w:val="000000"/>
          <w:sz w:val="20"/>
        </w:rPr>
      </w:pPr>
      <w:r>
        <w:rPr>
          <w:rFonts w:ascii="Tahoma;sans-serif" w:hAnsi="Tahoma;sans-serif"/>
          <w:color w:val="000000"/>
          <w:sz w:val="20"/>
        </w:rPr>
        <w:t>(unaudited)</w:t>
      </w:r>
    </w:p>
    <w:p>
      <w:pPr>
        <w:pStyle w:val="TextBody"/>
        <w:bidi w:val="0"/>
        <w:jc w:val="left"/>
        <w:rPr/>
      </w:pPr>
      <w:r>
        <w:rPr/>
        <w:t> </w:t>
      </w:r>
    </w:p>
    <w:tbl>
      <w:tblPr>
        <w:tblW w:w="7885" w:type="dxa"/>
        <w:jc w:val="left"/>
        <w:tblInd w:w="0" w:type="dxa"/>
        <w:tblLayout w:type="fixed"/>
        <w:tblCellMar>
          <w:top w:w="28" w:type="dxa"/>
          <w:left w:w="28" w:type="dxa"/>
          <w:bottom w:w="28" w:type="dxa"/>
          <w:right w:w="28" w:type="dxa"/>
        </w:tblCellMar>
      </w:tblPr>
      <w:tblGrid>
        <w:gridCol w:w="4746"/>
        <w:gridCol w:w="146"/>
        <w:gridCol w:w="196"/>
        <w:gridCol w:w="691"/>
        <w:gridCol w:w="166"/>
        <w:gridCol w:w="146"/>
        <w:gridCol w:w="146"/>
        <w:gridCol w:w="691"/>
        <w:gridCol w:w="166"/>
        <w:gridCol w:w="79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371,079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353,106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Management, transaction, and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380,912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363,852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96,774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97,585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Property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63,274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44,307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234,881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233,941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Provision for impairment of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Gain on sale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Loss on early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Net investment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Income before equity in income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ahoma;sans-serif" w:hAnsi="Tahoma;sans-serif"/>
                <w:color w:val="000000"/>
                <w:sz w:val="16"/>
              </w:rPr>
              <w:t>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97,358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100,697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Equity in income of 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111,853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112,658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Limited partners' interests in consolidated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109,587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109,774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Preferred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106,174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106,361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These consolidated statements of operations should be read in conjunction with the Company's most recent Form 10-Q and Form 10-K filed with the Securities and Exchange Commission.</w:t>
      </w:r>
    </w:p>
    <w:p>
      <w:pPr>
        <w:pStyle w:val="TextBody"/>
        <w:bidi w:val="0"/>
        <w:jc w:val="right"/>
        <w:rPr/>
      </w:pPr>
      <w:r>
        <w:rPr/>
        <w:drawing>
          <wp:inline distT="0" distB="0" distL="0" distR="0">
            <wp:extent cx="466725" cy="247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5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4" w:name="suppdetailsops"/>
      <w:bookmarkEnd w:id="14"/>
      <w:r>
        <w:rPr>
          <w:rFonts w:ascii="Tahoma;sans-serif" w:hAnsi="Tahoma;sans-serif"/>
          <w:b/>
          <w:color w:val="000000"/>
          <w:sz w:val="20"/>
        </w:rPr>
        <w:t>Supplemental Details of Operations (Consolidated Only)</w:t>
      </w:r>
    </w:p>
    <w:p>
      <w:pPr>
        <w:pStyle w:val="TextBody"/>
        <w:bidi w:val="0"/>
        <w:jc w:val="center"/>
        <w:rPr>
          <w:rFonts w:ascii="Tahoma;sans-serif" w:hAnsi="Tahoma;sans-serif"/>
          <w:color w:val="000000"/>
          <w:sz w:val="20"/>
        </w:rPr>
      </w:pPr>
      <w:r>
        <w:rPr>
          <w:rFonts w:ascii="Tahoma;sans-serif" w:hAnsi="Tahoma;sans-serif"/>
          <w:color w:val="000000"/>
          <w:sz w:val="20"/>
        </w:rPr>
        <w:t>For the Periods Ended March 31, 2025 and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6284" w:type="dxa"/>
        <w:jc w:val="left"/>
        <w:tblInd w:w="0" w:type="dxa"/>
        <w:tblLayout w:type="fixed"/>
        <w:tblCellMar>
          <w:top w:w="28" w:type="dxa"/>
          <w:left w:w="28" w:type="dxa"/>
          <w:bottom w:w="28" w:type="dxa"/>
          <w:right w:w="28" w:type="dxa"/>
        </w:tblCellMar>
      </w:tblPr>
      <w:tblGrid>
        <w:gridCol w:w="701"/>
        <w:gridCol w:w="3531"/>
        <w:gridCol w:w="181"/>
        <w:gridCol w:w="601"/>
        <w:gridCol w:w="166"/>
        <w:gridCol w:w="146"/>
        <w:gridCol w:w="601"/>
        <w:gridCol w:w="166"/>
        <w:gridCol w:w="191"/>
      </w:tblGrid>
      <w:tr>
        <w:trPr/>
        <w:tc>
          <w:tcPr>
            <w:tcW w:w="701"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Revenues: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Base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254,556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244,135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Recoveries from tenants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91,481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85,023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Percentage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Termination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Uncollectible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Straight-line rent on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Above/below market rent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Lease income,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371,079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353,106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property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Property management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Asset management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Leasing commissions and other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Management, transaction, and other fees</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6,812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6,396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5"/>
              </w:rPr>
            </w:pPr>
            <w:r>
              <w:rPr>
                <w:rFonts w:ascii="Tahoma;sans-serif" w:hAnsi="Tahoma;sans-serif"/>
                <w:color w:val="000000"/>
                <w:sz w:val="15"/>
              </w:rPr>
              <w:t>Total revenues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380,912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363,852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Operating Expenses: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Depreciation and amortization (including FF&amp;E)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96,774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97,585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Operating and maintenance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64,121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58,439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Ground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Termination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Straight-line rent on ground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Above/below market ground rent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Property operating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68,459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63,274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Real estate taxes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46,360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44,307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Gross general &amp; administrative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22,314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22,999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Stock-based compensation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Capitalized direct overhead costs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5"/>
              </w:rPr>
            </w:pPr>
            <w:r>
              <w:rPr>
                <w:rFonts w:ascii="Tahoma;sans-serif" w:hAnsi="Tahoma;sans-serif"/>
                <w:color w:val="000000"/>
                <w:sz w:val="15"/>
              </w:rPr>
              <w:t xml:space="preserve">General &amp; administrative, net </w:t>
            </w:r>
            <w:r>
              <w:rPr>
                <w:rFonts w:ascii="Tahoma;sans-serif" w:hAnsi="Tahoma;sans-serif"/>
                <w:color w:val="000000"/>
                <w:sz w:val="1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22,121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Tahoma;sans-serif" w:hAnsi="Tahoma;sans-serif"/>
                <w:color w:val="000000"/>
                <w:sz w:val="15"/>
              </w:rPr>
              <w:t xml:space="preserve">(Income) Loss on deferred compensation plan </w:t>
            </w:r>
            <w:r>
              <w:rPr>
                <w:rFonts w:ascii="Tahoma;sans-serif" w:hAnsi="Tahoma;sans-serif"/>
                <w:color w:val="000000"/>
                <w:sz w:val="1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General &amp; administrative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expenses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Development pursuit costs (income),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Merger transition costs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Other operating expenses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5"/>
              </w:rPr>
            </w:pPr>
            <w:r>
              <w:rPr>
                <w:rFonts w:ascii="Tahoma;sans-serif" w:hAnsi="Tahoma;sans-serif"/>
                <w:color w:val="000000"/>
                <w:sz w:val="15"/>
              </w:rPr>
              <w:t>Total operating expenses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234,881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233,941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Other Expense, net: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Gross interest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48,141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Derivative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Debt cost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Debt and derivative mark-to-market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Capitalized interest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Interest 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Interest expense,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48,013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42,868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Gain on sale of real estate, net of tax</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Loss on early extinguishment of debt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Tahoma;sans-serif" w:hAnsi="Tahoma;sans-serif"/>
                <w:color w:val="000000"/>
                <w:sz w:val="15"/>
              </w:rPr>
              <w:t xml:space="preserve">Net investment expense (income) </w:t>
            </w:r>
            <w:r>
              <w:rPr>
                <w:rFonts w:ascii="Tahoma;sans-serif" w:hAnsi="Tahoma;sans-serif"/>
                <w:color w:val="000000"/>
                <w:sz w:val="1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Total other expense, net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48,673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29,214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5"/>
              </w:rPr>
              <w:t>Consolidated NOI</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247,796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239,334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ahoma;sans-serif" w:hAnsi="Tahoma;sans-serif"/>
          <w:color w:val="000000"/>
          <w:sz w:val="14"/>
        </w:rPr>
      </w:pPr>
      <w:r>
        <w:rPr>
          <w:rFonts w:ascii="Tahoma;sans-serif" w:hAnsi="Tahoma;sans-serif"/>
          <w:color w:val="000000"/>
          <w:sz w:val="14"/>
        </w:rPr>
        <w:t>* Component of Net Operating Income</w:t>
      </w:r>
    </w:p>
    <w:p>
      <w:pPr>
        <w:pStyle w:val="TextBody"/>
        <w:bidi w:val="0"/>
        <w:spacing w:before="20" w:after="283"/>
        <w:jc w:val="left"/>
        <w:rPr>
          <w:rFonts w:ascii="Tahoma" w:hAnsi="Tahoma"/>
          <w:color w:val="000000"/>
          <w:sz w:val="14"/>
        </w:rPr>
      </w:pPr>
      <w:r>
        <w:rPr>
          <w:rFonts w:ascii="Tahoma" w:hAnsi="Tahoma"/>
          <w:color w:val="000000"/>
          <w:sz w:val="14"/>
        </w:rPr>
        <w:t>(1)</w:t>
      </w:r>
    </w:p>
    <w:p>
      <w:pPr>
        <w:pStyle w:val="TextBody"/>
        <w:bidi w:val="0"/>
        <w:spacing w:before="20" w:after="283"/>
        <w:jc w:val="left"/>
        <w:rPr/>
      </w:pPr>
      <w:r>
        <w:rPr>
          <w:rFonts w:ascii="Tahoma;sans-serif" w:hAnsi="Tahoma;sans-serif"/>
          <w:color w:val="000000"/>
          <w:sz w:val="14"/>
        </w:rPr>
        <w:t xml:space="preserve">General &amp; administrative, net is referenced and reflected as G&amp;A expense, net in earnings guidance on page </w:t>
      </w:r>
      <w:hyperlink w:anchor="guidance">
        <w:r>
          <w:rPr>
            <w:rStyle w:val="InternetLink"/>
          </w:rPr>
          <w:t>27</w:t>
        </w:r>
      </w:hyperlink>
      <w:r>
        <w:rPr>
          <w:rFonts w:ascii="Tahoma;sans-serif" w:hAnsi="Tahoma;sans-serif"/>
          <w:color w:val="000000"/>
          <w:sz w:val="14"/>
        </w:rPr>
        <w:t>.</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The change in value of participant obligations within Regency’s non-qualified deferred compensation plan is included in General and administrative expense, which is offset by changes in value of assets held in the plan which is included in Net investment (income) expense.</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These consolidated supplemental details of operations should be read in conjunction with the Company's most recent Form 10-Q and Form 10-K filed with the Securities and Exchange Commission.</w:t>
      </w:r>
    </w:p>
    <w:p>
      <w:pPr>
        <w:pStyle w:val="TextBody"/>
        <w:bidi w:val="0"/>
        <w:jc w:val="right"/>
        <w:rPr/>
      </w:pPr>
      <w:r>
        <w:rPr/>
        <w:drawing>
          <wp:inline distT="0" distB="0" distL="0" distR="0">
            <wp:extent cx="466725" cy="247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6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5" w:name="suppdetailsopsjv"/>
      <w:bookmarkEnd w:id="15"/>
      <w:r>
        <w:rPr>
          <w:rFonts w:ascii="Tahoma;sans-serif" w:hAnsi="Tahoma;sans-serif"/>
          <w:b/>
          <w:color w:val="000000"/>
          <w:sz w:val="20"/>
        </w:rPr>
        <w:t>Supplemental Details of Operations (Real Estate Partnerships Only)</w:t>
      </w:r>
    </w:p>
    <w:p>
      <w:pPr>
        <w:pStyle w:val="TextBody"/>
        <w:bidi w:val="0"/>
        <w:jc w:val="center"/>
        <w:rPr>
          <w:rFonts w:ascii="Tahoma;sans-serif" w:hAnsi="Tahoma;sans-serif"/>
          <w:color w:val="000000"/>
          <w:sz w:val="20"/>
        </w:rPr>
      </w:pPr>
      <w:r>
        <w:rPr>
          <w:rFonts w:ascii="Tahoma;sans-serif" w:hAnsi="Tahoma;sans-serif"/>
          <w:color w:val="000000"/>
          <w:sz w:val="20"/>
        </w:rPr>
        <w:t>For the Periods Ended March 31, 2025 and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7542" w:type="dxa"/>
        <w:jc w:val="left"/>
        <w:tblInd w:w="0" w:type="dxa"/>
        <w:tblLayout w:type="fixed"/>
        <w:tblCellMar>
          <w:top w:w="28" w:type="dxa"/>
          <w:left w:w="28" w:type="dxa"/>
          <w:bottom w:w="28" w:type="dxa"/>
          <w:right w:w="28" w:type="dxa"/>
        </w:tblCellMar>
      </w:tblPr>
      <w:tblGrid>
        <w:gridCol w:w="701"/>
        <w:gridCol w:w="3246"/>
        <w:gridCol w:w="188"/>
        <w:gridCol w:w="516"/>
        <w:gridCol w:w="157"/>
        <w:gridCol w:w="152"/>
        <w:gridCol w:w="516"/>
        <w:gridCol w:w="151"/>
        <w:gridCol w:w="146"/>
        <w:gridCol w:w="186"/>
        <w:gridCol w:w="541"/>
        <w:gridCol w:w="155"/>
        <w:gridCol w:w="150"/>
        <w:gridCol w:w="541"/>
        <w:gridCol w:w="196"/>
      </w:tblGrid>
      <w:tr>
        <w:trPr/>
        <w:tc>
          <w:tcPr>
            <w:tcW w:w="701"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Noncontrolling Interests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Share of Unconsolidated</w:t>
              <w:br/>
              <w:t>Real Estate Partnerships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Revenues:</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27,801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26,166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Recoveries from tenants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8,818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Percentage rent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Termination fees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Uncollectible lease income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lease income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Straight-line rent on lease income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Above/below market rent amortization</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198</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Lease income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40,141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36,841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property income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Asset management fees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4"/>
              </w:rPr>
            </w:pPr>
            <w:r>
              <w:rPr>
                <w:rFonts w:ascii="Tahoma;sans-serif" w:hAnsi="Tahoma;sans-serif"/>
                <w:color w:val="000000"/>
                <w:sz w:val="14"/>
              </w:rPr>
              <w:t>Total revenues</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(3,133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40,239</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36,853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Operating Expenses:</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Depreciation and amortization (including FF&amp;E)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8,755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and maintenance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6,117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Ground rent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Straight-line rent on ground rent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Above/below market ground rent amortization</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Property operating expense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Real estate taxes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General &amp; administrative, net </w:t>
            </w:r>
            <w:r>
              <w:rPr>
                <w:rFonts w:ascii="Tahoma;sans-serif" w:hAnsi="Tahoma;sans-serif"/>
                <w:color w:val="000000"/>
                <w:sz w:val="9"/>
              </w:rPr>
              <w:t>(1)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operating expenses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4"/>
              </w:rPr>
            </w:pPr>
            <w:r>
              <w:rPr>
                <w:rFonts w:ascii="Tahoma;sans-serif" w:hAnsi="Tahoma;sans-serif"/>
                <w:color w:val="000000"/>
                <w:sz w:val="14"/>
              </w:rPr>
              <w:t>Total operating expenses</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20,618</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19,804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Other Expense, net:</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Gross interest expense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cost amortization</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and derivative mark-to-market amortization</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Capitalized interest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Interest income</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(158</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Interest expense, net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Gain on sale of real estate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Total other expense, net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(379</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5,088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4"/>
              </w:rPr>
              <w:t>Share of NOI</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(2,204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27,946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25,650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ahoma;sans-serif" w:hAnsi="Tahoma;sans-serif"/>
          <w:color w:val="000000"/>
          <w:sz w:val="14"/>
        </w:rPr>
      </w:pPr>
      <w:r>
        <w:rPr>
          <w:rFonts w:ascii="Tahoma;sans-serif" w:hAnsi="Tahoma;sans-serif"/>
          <w:color w:val="000000"/>
          <w:sz w:val="14"/>
        </w:rPr>
        <w:t>* Component of Net Operating Income</w:t>
      </w:r>
    </w:p>
    <w:p>
      <w:pPr>
        <w:pStyle w:val="TextBody"/>
        <w:bidi w:val="0"/>
        <w:spacing w:before="20" w:after="283"/>
        <w:jc w:val="left"/>
        <w:rPr>
          <w:rFonts w:ascii="Tahoma" w:hAnsi="Tahoma"/>
          <w:color w:val="000000"/>
          <w:sz w:val="14"/>
        </w:rPr>
      </w:pPr>
      <w:r>
        <w:rPr>
          <w:rFonts w:ascii="Tahoma" w:hAnsi="Tahoma"/>
          <w:color w:val="000000"/>
          <w:sz w:val="14"/>
        </w:rPr>
        <w:t>(1)</w:t>
      </w:r>
    </w:p>
    <w:p>
      <w:pPr>
        <w:pStyle w:val="TextBody"/>
        <w:bidi w:val="0"/>
        <w:spacing w:before="20" w:after="283"/>
        <w:jc w:val="left"/>
        <w:rPr/>
      </w:pPr>
      <w:r>
        <w:rPr>
          <w:rFonts w:ascii="Tahoma;sans-serif" w:hAnsi="Tahoma;sans-serif"/>
          <w:color w:val="000000"/>
          <w:sz w:val="14"/>
        </w:rPr>
        <w:t xml:space="preserve">General &amp; administrative, net is referenced and reflected as G&amp;A expense, net in earnings guidance on page </w:t>
      </w:r>
      <w:hyperlink w:anchor="guidance">
        <w:r>
          <w:rPr>
            <w:rStyle w:val="InternetLink"/>
          </w:rPr>
          <w:t>27</w:t>
        </w:r>
      </w:hyperlink>
      <w:r>
        <w:rPr>
          <w:rFonts w:ascii="Tahoma;sans-serif" w:hAnsi="Tahoma;sans-serif"/>
          <w:color w:val="000000"/>
          <w:sz w:val="14"/>
        </w:rPr>
        <w:t>.</w:t>
      </w:r>
    </w:p>
    <w:p>
      <w:pPr>
        <w:pStyle w:val="TextBody"/>
        <w:bidi w:val="0"/>
        <w:jc w:val="left"/>
        <w:rPr/>
      </w:pPr>
      <w:r>
        <w:rPr/>
        <w:t> </w:t>
      </w:r>
    </w:p>
    <w:p>
      <w:pPr>
        <w:pStyle w:val="TextBody"/>
        <w:bidi w:val="0"/>
        <w:jc w:val="left"/>
        <w:rPr>
          <w:rFonts w:ascii="Tahoma;sans-serif" w:hAnsi="Tahoma;sans-serif"/>
          <w:b/>
          <w:color w:val="000000"/>
          <w:sz w:val="16"/>
          <w:u w:val="single"/>
        </w:rPr>
      </w:pPr>
      <w:r>
        <w:rPr>
          <w:rFonts w:ascii="Tahoma;sans-serif" w:hAnsi="Tahoma;sans-serif"/>
          <w:b/>
          <w:color w:val="000000"/>
          <w:sz w:val="16"/>
          <w:u w:val="single"/>
        </w:rPr>
        <w:t>Note</w:t>
      </w:r>
    </w:p>
    <w:p>
      <w:pPr>
        <w:pStyle w:val="TextBody"/>
        <w:bidi w:val="0"/>
        <w:jc w:val="left"/>
        <w:rPr>
          <w:rFonts w:ascii="Tahoma;sans-serif" w:hAnsi="Tahoma;sans-serif"/>
          <w:color w:val="000000"/>
          <w:sz w:val="16"/>
        </w:rPr>
      </w:pPr>
      <w:r>
        <w:rPr>
          <w:rFonts w:ascii="Tahoma;sans-serif" w:hAnsi="Tahoma;sans-serif"/>
          <w:color w:val="000000"/>
          <w:sz w:val="16"/>
        </w:rPr>
        <w:t>Noncontrolling interests represent limited partners’ interests in consolidated Real Estate Partnerships’ activities and Share of Share of Unconsolidated Real Estate Partnerships represents the Company’s share of investments in unconsolidated Real Estate Partnerships’ activities, of which each are included on a single line presentation in the Company’s consolidated financial statements in accordance with GAAP.</w:t>
      </w:r>
    </w:p>
    <w:p>
      <w:pPr>
        <w:pStyle w:val="TextBody"/>
        <w:bidi w:val="0"/>
        <w:jc w:val="right"/>
        <w:rPr/>
      </w:pPr>
      <w:r>
        <w:rPr/>
        <w:drawing>
          <wp:inline distT="0" distB="0" distL="0" distR="0">
            <wp:extent cx="466725" cy="247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7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6" w:name="spnoi"/>
      <w:bookmarkEnd w:id="16"/>
      <w:r>
        <w:rPr>
          <w:rFonts w:ascii="Tahoma;sans-serif" w:hAnsi="Tahoma;sans-serif"/>
          <w:b/>
          <w:color w:val="000000"/>
          <w:sz w:val="20"/>
        </w:rPr>
        <w:t>Supplemental Details of Same Property NOI (Pro-Rata)</w:t>
      </w:r>
    </w:p>
    <w:p>
      <w:pPr>
        <w:pStyle w:val="TextBody"/>
        <w:bidi w:val="0"/>
        <w:jc w:val="center"/>
        <w:rPr>
          <w:rFonts w:ascii="Tahoma;sans-serif" w:hAnsi="Tahoma;sans-serif"/>
          <w:color w:val="000000"/>
          <w:sz w:val="20"/>
        </w:rPr>
      </w:pPr>
      <w:r>
        <w:rPr>
          <w:rFonts w:ascii="Tahoma;sans-serif" w:hAnsi="Tahoma;sans-serif"/>
          <w:color w:val="000000"/>
          <w:sz w:val="20"/>
        </w:rPr>
        <w:t>For the Periods Ended March 31, 2025 and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tbl>
      <w:tblPr>
        <w:tblW w:w="7942" w:type="dxa"/>
        <w:jc w:val="left"/>
        <w:tblInd w:w="0" w:type="dxa"/>
        <w:tblLayout w:type="fixed"/>
        <w:tblCellMar>
          <w:top w:w="28" w:type="dxa"/>
          <w:left w:w="28" w:type="dxa"/>
          <w:bottom w:w="28" w:type="dxa"/>
          <w:right w:w="28" w:type="dxa"/>
        </w:tblCellMar>
      </w:tblPr>
      <w:tblGrid>
        <w:gridCol w:w="5381"/>
        <w:gridCol w:w="181"/>
        <w:gridCol w:w="601"/>
        <w:gridCol w:w="241"/>
        <w:gridCol w:w="146"/>
        <w:gridCol w:w="601"/>
        <w:gridCol w:w="791"/>
      </w:tblGrid>
      <w:tr>
        <w:trPr/>
        <w:tc>
          <w:tcPr>
            <w:tcW w:w="53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Detail:</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Real Estate Revenues: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279,486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269,154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Recoveries from tenants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99,937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93,597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Percentage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7,413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8,523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Termination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Uncollectible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4,683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4,602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property 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2,675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Total real estate revenues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396,135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378,999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Real Estate Operating Expenses: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and maintenance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68,026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64,199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Termination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Real estate taxes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50,564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48,501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Ground rent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Total real estate operating expenses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122,312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117,007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273,823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261,992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 change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without Termination Fees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271,498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260,220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 change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without Termination Fees or Redevelopments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234,112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226,005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 change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i/>
                <w:color w:val="000000"/>
                <w:sz w:val="14"/>
              </w:rPr>
            </w:pPr>
            <w:r>
              <w:rPr>
                <w:rFonts w:ascii="Tahoma;sans-serif" w:hAnsi="Tahoma;sans-serif"/>
                <w:i/>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38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Percent Contribution to Same Property NOI Performance:</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5381"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5381"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Uncollectible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5381"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Net expense recoveries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5381"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lease / property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5381"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Percentage rent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538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without Termination Fees (% impact)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4.3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Net Income Attributable to Common Shareholders to Same Property NOI:</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106,174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106,361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Less: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Management, transaction, and other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(6,396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Other </w:t>
            </w:r>
            <w:r>
              <w:rPr>
                <w:rFonts w:ascii="Tahoma;sans-serif" w:hAnsi="Tahoma;sans-serif"/>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(13,689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(12,587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Plus: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96,774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97,585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General and administrative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21,600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26,132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operating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2,643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expense,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48,673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29,214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Equity in income of investments in real estate partnerships excluded from NOI </w:t>
            </w:r>
            <w:r>
              <w:rPr>
                <w:rFonts w:ascii="Tahoma;sans-serif" w:hAnsi="Tahoma;sans-serif"/>
                <w:color w:val="000000"/>
                <w:sz w:val="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13,451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13,689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Net income attributable to noncontrolling interests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2,884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Preferred stock dividends and issuance costs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4"/>
              </w:rPr>
            </w:pPr>
            <w:r>
              <w:rPr>
                <w:rFonts w:ascii="Tahoma;sans-serif" w:hAnsi="Tahoma;sans-serif"/>
                <w:color w:val="000000"/>
                <w:sz w:val="14"/>
              </w:rPr>
              <w:t>NOI</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273,538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262,938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Less non-same property NOI </w:t>
            </w:r>
            <w:r>
              <w:rPr>
                <w:rFonts w:ascii="Tahoma;sans-serif" w:hAnsi="Tahoma;sans-serif"/>
                <w:color w:val="000000"/>
                <w:sz w:val="9"/>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3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273,823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261,992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 w:hAnsi="Tahoma"/>
          <w:color w:val="000000"/>
          <w:sz w:val="14"/>
        </w:rPr>
      </w:pPr>
      <w:r>
        <w:rPr>
          <w:rFonts w:ascii="Tahoma" w:hAnsi="Tahoma"/>
          <w:color w:val="000000"/>
          <w:sz w:val="14"/>
        </w:rPr>
        <w:t>(1)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Includes straight-line rental income and expense, net of reserves, above and below market rent amortization, other fees, and noncontrolling interests.</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non-NOI income and expenses incurred at our unconsolidated Real Estate Partnerships, such as, but not limited to, straight-line rental income, above and below market rent amortization, depreciation and amortization, interest expense, and real estate gains and impairments.</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revenues and expenses attributable to Non-Same Property, Projects in Development, corporate activities, and noncontrolling interests.</w:t>
      </w:r>
    </w:p>
    <w:p>
      <w:pPr>
        <w:pStyle w:val="TextBody"/>
        <w:bidi w:val="0"/>
        <w:jc w:val="right"/>
        <w:rPr/>
      </w:pPr>
      <w:r>
        <w:rPr/>
        <w:drawing>
          <wp:inline distT="0" distB="0" distL="0" distR="0">
            <wp:extent cx="466725" cy="247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8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7" w:name="recons"/>
      <w:bookmarkEnd w:id="17"/>
      <w:r>
        <w:rPr>
          <w:rFonts w:ascii="Tahoma;sans-serif" w:hAnsi="Tahoma;sans-serif"/>
          <w:b/>
          <w:color w:val="000000"/>
          <w:sz w:val="20"/>
        </w:rPr>
        <w:t>Reconciliations of Non-GAAP Financial Measures</w:t>
      </w:r>
    </w:p>
    <w:p>
      <w:pPr>
        <w:pStyle w:val="TextBody"/>
        <w:bidi w:val="0"/>
        <w:jc w:val="center"/>
        <w:rPr>
          <w:rFonts w:ascii="Tahoma;sans-serif" w:hAnsi="Tahoma;sans-serif"/>
          <w:color w:val="000000"/>
          <w:sz w:val="20"/>
        </w:rPr>
      </w:pPr>
      <w:r>
        <w:rPr>
          <w:rFonts w:ascii="Tahoma;sans-serif" w:hAnsi="Tahoma;sans-serif"/>
          <w:color w:val="000000"/>
          <w:sz w:val="20"/>
        </w:rPr>
        <w:t>For the Periods Ended March 31, 2025 and 2024</w:t>
      </w:r>
    </w:p>
    <w:p>
      <w:pPr>
        <w:pStyle w:val="TextBody"/>
        <w:bidi w:val="0"/>
        <w:jc w:val="center"/>
        <w:rPr>
          <w:rFonts w:ascii="Tahoma;sans-serif" w:hAnsi="Tahoma;sans-serif"/>
          <w:color w:val="000000"/>
          <w:sz w:val="20"/>
        </w:rPr>
      </w:pPr>
      <w:r>
        <w:rPr>
          <w:rFonts w:ascii="Tahoma;sans-serif" w:hAnsi="Tahoma;sans-serif"/>
          <w:color w:val="000000"/>
          <w:sz w:val="20"/>
        </w:rPr>
        <w:t>(in thousands, except per share data)</w:t>
      </w:r>
    </w:p>
    <w:p>
      <w:pPr>
        <w:pStyle w:val="TextBody"/>
        <w:bidi w:val="0"/>
        <w:jc w:val="both"/>
        <w:rPr/>
      </w:pPr>
      <w:r>
        <w:rPr/>
        <w:t> </w:t>
      </w:r>
    </w:p>
    <w:tbl>
      <w:tblPr>
        <w:tblW w:w="7943" w:type="dxa"/>
        <w:jc w:val="left"/>
        <w:tblInd w:w="0" w:type="dxa"/>
        <w:tblLayout w:type="fixed"/>
        <w:tblCellMar>
          <w:top w:w="28" w:type="dxa"/>
          <w:left w:w="28" w:type="dxa"/>
          <w:bottom w:w="28" w:type="dxa"/>
          <w:right w:w="28" w:type="dxa"/>
        </w:tblCellMar>
      </w:tblPr>
      <w:tblGrid>
        <w:gridCol w:w="5197"/>
        <w:gridCol w:w="210"/>
        <w:gridCol w:w="742"/>
        <w:gridCol w:w="166"/>
        <w:gridCol w:w="146"/>
        <w:gridCol w:w="691"/>
        <w:gridCol w:w="791"/>
      </w:tblGrid>
      <w:tr>
        <w:trPr/>
        <w:tc>
          <w:tcPr>
            <w:tcW w:w="519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Three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Net Income Attributable to Common Shareholders to Nareit FFO: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Income Attributable to Common Shareholders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106,174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106,361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 xml:space="preserve">Adjustments to reconcile to Nareit Funds From Operations </w:t>
            </w:r>
            <w:r>
              <w:rPr>
                <w:rFonts w:ascii="Tahoma;sans-serif" w:hAnsi="Tahoma;sans-serif"/>
                <w:color w:val="000000"/>
                <w:sz w:val="11"/>
              </w:rPr>
              <w:t>(1)</w:t>
            </w:r>
            <w:r>
              <w:rPr>
                <w:rFonts w:ascii="Tahoma;sans-serif" w:hAnsi="Tahoma;sans-serif"/>
                <w:color w:val="000000"/>
                <w:sz w:val="16"/>
              </w:rPr>
              <w:t>:</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Depreciation and amortization (excluding FF&amp;E)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104,034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104,372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Gain on sale of real estate, net of tax</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(11,408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Exchangeable operating partnership units</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b/>
                <w:color w:val="000000"/>
                <w:sz w:val="16"/>
              </w:rPr>
            </w:pPr>
            <w:r>
              <w:rPr>
                <w:rFonts w:ascii="Tahoma;sans-serif" w:hAnsi="Tahoma;sans-serif"/>
                <w:b/>
                <w:color w:val="000000"/>
                <w:sz w:val="16"/>
              </w:rPr>
              <w:t>Nareit FFO</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210,749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199,967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Nareit FFO per share (diluted)</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Weighted average shares (diluted)</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185,872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Nareit FFO to Core Operating Earnings:</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Nareit FFO</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210,749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199,967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 xml:space="preserve">Adjustments to reconcile to Core Operating Earnings </w:t>
            </w:r>
            <w:r>
              <w:rPr>
                <w:rFonts w:ascii="Tahoma;sans-serif" w:hAnsi="Tahoma;sans-serif"/>
                <w:color w:val="000000"/>
                <w:sz w:val="11"/>
              </w:rPr>
              <w:t>(1)</w:t>
            </w:r>
            <w:r>
              <w:rPr>
                <w:rFonts w:ascii="Tahoma;sans-serif" w:hAnsi="Tahoma;sans-serif"/>
                <w:color w:val="000000"/>
                <w:sz w:val="16"/>
              </w:rPr>
              <w:t>:</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Not Comparable Items</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Merger transition costs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Loss on early extinguishment of debt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Certain Non-Cash Items</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Straight-line rent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Uncollectible straight-line rent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656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Above/below market rent amortization, net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Debt and derivative mark-to-market amortization</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b/>
                <w:color w:val="000000"/>
                <w:sz w:val="16"/>
              </w:rPr>
            </w:pPr>
            <w:r>
              <w:rPr>
                <w:rFonts w:ascii="Tahoma;sans-serif" w:hAnsi="Tahoma;sans-serif"/>
                <w:b/>
                <w:color w:val="000000"/>
                <w:sz w:val="16"/>
              </w:rPr>
              <w:t>Core Operating Earnings</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199,443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193,068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Core Operating Earnings per share (diluted)</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Weighted average shares (diluted)</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185,872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Core Operating Earnings to AFFO:</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Core Operating Earnings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199,443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193,068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ahoma;sans-serif" w:hAnsi="Tahoma;sans-serif"/>
                <w:color w:val="000000"/>
                <w:sz w:val="16"/>
              </w:rPr>
              <w:t xml:space="preserve">Adjustments to reconcile to AFFO </w:t>
            </w:r>
            <w:r>
              <w:rPr>
                <w:rFonts w:ascii="Tahoma;sans-serif" w:hAnsi="Tahoma;sans-serif"/>
                <w:color w:val="000000"/>
                <w:sz w:val="11"/>
              </w:rPr>
              <w:t>(1)</w:t>
            </w:r>
            <w:r>
              <w:rPr>
                <w:rFonts w:ascii="Tahoma;sans-serif" w:hAnsi="Tahoma;sans-serif"/>
                <w:color w:val="000000"/>
                <w:sz w:val="16"/>
              </w:rPr>
              <w:t>:</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Operating capital expenditures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(20,852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Debt cost and derivative adjustments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2,140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Stock-based compensation</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ahoma;sans-serif" w:hAnsi="Tahoma;sans-serif"/>
                <w:b/>
                <w:color w:val="000000"/>
                <w:sz w:val="16"/>
              </w:rPr>
            </w:pPr>
            <w:r>
              <w:rPr>
                <w:rFonts w:ascii="Tahoma;sans-serif" w:hAnsi="Tahoma;sans-serif"/>
                <w:b/>
                <w:color w:val="000000"/>
                <w:sz w:val="16"/>
              </w:rPr>
              <w:t>AFFO</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183,262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178,996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pPr>
      <w:r>
        <w:rPr>
          <w:rFonts w:ascii="Tahoma;sans-serif" w:hAnsi="Tahoma;sans-serif"/>
          <w:color w:val="000000"/>
          <w:sz w:val="14"/>
        </w:rPr>
        <w:t>Includes Regency’s consolidated entities and its pro-rata share of unconsolidated Real Estate Partnerships, net of pro-rata share attributable to noncontrolling interests, which can be found on page 4</w:t>
      </w:r>
      <w:r>
        <w:rPr>
          <w:color w:val="000000"/>
        </w:rPr>
        <w:t xml:space="preserve"> </w:t>
      </w:r>
      <w:r>
        <w:rPr>
          <w:rFonts w:ascii="Tahoma;sans-serif" w:hAnsi="Tahoma;sans-serif"/>
          <w:color w:val="000000"/>
          <w:sz w:val="14"/>
        </w:rPr>
        <w:t>and 7.</w:t>
      </w:r>
    </w:p>
    <w:p>
      <w:pPr>
        <w:pStyle w:val="TextBody"/>
        <w:bidi w:val="0"/>
        <w:jc w:val="right"/>
        <w:rPr/>
      </w:pPr>
      <w:r>
        <w:rPr/>
        <w:drawing>
          <wp:inline distT="0" distB="0" distL="0" distR="0">
            <wp:extent cx="466725" cy="247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9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8" w:name="capex"/>
      <w:bookmarkEnd w:id="18"/>
      <w:r>
        <w:rPr>
          <w:rFonts w:ascii="Tahoma;sans-serif" w:hAnsi="Tahoma;sans-serif"/>
          <w:b/>
          <w:color w:val="000000"/>
          <w:sz w:val="20"/>
        </w:rPr>
        <w:t>Capital Expenditures and Additional Disclosures</w:t>
      </w:r>
    </w:p>
    <w:p>
      <w:pPr>
        <w:pStyle w:val="TextBody"/>
        <w:bidi w:val="0"/>
        <w:jc w:val="center"/>
        <w:rPr>
          <w:rFonts w:ascii="Tahoma;sans-serif" w:hAnsi="Tahoma;sans-serif"/>
          <w:color w:val="000000"/>
          <w:sz w:val="20"/>
        </w:rPr>
      </w:pPr>
      <w:r>
        <w:rPr>
          <w:rFonts w:ascii="Tahoma;sans-serif" w:hAnsi="Tahoma;sans-serif"/>
          <w:color w:val="000000"/>
          <w:sz w:val="20"/>
        </w:rPr>
        <w:t>For the Periods Ended March 31, 2025 and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7344" w:type="dxa"/>
        <w:jc w:val="left"/>
        <w:tblInd w:w="0" w:type="dxa"/>
        <w:tblLayout w:type="fixed"/>
        <w:tblCellMar>
          <w:top w:w="28" w:type="dxa"/>
          <w:left w:w="28" w:type="dxa"/>
          <w:bottom w:w="28" w:type="dxa"/>
          <w:right w:w="28" w:type="dxa"/>
        </w:tblCellMar>
      </w:tblPr>
      <w:tblGrid>
        <w:gridCol w:w="4351"/>
        <w:gridCol w:w="146"/>
        <w:gridCol w:w="196"/>
        <w:gridCol w:w="691"/>
        <w:gridCol w:w="166"/>
        <w:gridCol w:w="146"/>
        <w:gridCol w:w="146"/>
        <w:gridCol w:w="691"/>
        <w:gridCol w:w="8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Three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Operating Properties </w:t>
            </w:r>
            <w:r>
              <w:rPr>
                <w:rFonts w:ascii="Tahoma;sans-serif" w:hAnsi="Tahoma;sans-serif"/>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 allowance and landlord work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14,681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Leasing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4,175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Leasing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18,856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Building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6"/>
              </w:rPr>
            </w:pPr>
            <w:r>
              <w:rPr>
                <w:rFonts w:ascii="Tahoma;sans-serif" w:hAnsi="Tahoma;sans-serif"/>
                <w:b/>
                <w:color w:val="000000"/>
                <w:sz w:val="16"/>
              </w:rPr>
              <w:t>Operating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20,852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Development &amp; Redevelopment Properties </w:t>
            </w:r>
            <w:r>
              <w:rPr>
                <w:rFonts w:ascii="Tahoma;sans-serif" w:hAnsi="Tahoma;sans-serif"/>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Ground-up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15,875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25,198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6"/>
              </w:rPr>
            </w:pPr>
            <w:r>
              <w:rPr>
                <w:rFonts w:ascii="Tahoma;sans-serif" w:hAnsi="Tahoma;sans-serif"/>
                <w:b/>
                <w:color w:val="000000"/>
                <w:sz w:val="16"/>
              </w:rPr>
              <w:t>Development &amp; Redevelopment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66,906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41,073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Reconciliation of Net Income to Nareit EBITDA</w:t>
            </w:r>
            <w:r>
              <w:rPr>
                <w:rFonts w:ascii="Tahoma;sans-serif" w:hAnsi="Tahoma;sans-serif"/>
                <w:b/>
                <w:i/>
                <w:color w:val="000000"/>
                <w:sz w:val="16"/>
              </w:rPr>
              <w:t>re</w:t>
            </w:r>
            <w:r>
              <w:rPr>
                <w:rFonts w:ascii="Tahoma;sans-serif" w:hAnsi="Tahoma;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111,853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112,658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Adjustments to reconcile to Nareit EBITDA</w:t>
            </w:r>
            <w:r>
              <w:rPr>
                <w:rFonts w:ascii="Tahoma;sans-serif" w:hAnsi="Tahoma;sans-serif"/>
                <w:i/>
                <w:color w:val="000000"/>
                <w:sz w:val="16"/>
              </w:rPr>
              <w:t xml:space="preserve">re </w:t>
            </w:r>
            <w:r>
              <w:rPr>
                <w:rFonts w:ascii="Tahoma;sans-serif" w:hAnsi="Tahoma;sans-serif"/>
                <w:color w:val="000000"/>
                <w:sz w:val="11"/>
              </w:rPr>
              <w:t>(2)</w:t>
            </w: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50,789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105,529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105,830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Gain on sale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(11,408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sz w:val="16"/>
              </w:rPr>
            </w:pPr>
            <w:r>
              <w:rPr>
                <w:rFonts w:ascii="Tahoma;sans-serif" w:hAnsi="Tahoma;sans-serif"/>
                <w:b/>
                <w:color w:val="000000"/>
                <w:sz w:val="16"/>
              </w:rPr>
              <w:t>Nareit EBITDA</w:t>
            </w:r>
            <w:r>
              <w:rPr>
                <w:rFonts w:ascii="Tahoma;sans-serif" w:hAnsi="Tahoma;sans-serif"/>
                <w:b/>
                <w:i/>
                <w:color w:val="000000"/>
                <w:sz w:val="16"/>
              </w:rPr>
              <w:t>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272,043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258,049</w:t>
            </w:r>
          </w:p>
        </w:tc>
        <w:tc>
          <w:tcPr>
            <w:tcW w:w="8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Nareit EBITDAre to Operating EBITDAre: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Nareit EBITDAre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272,043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258,049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Adjustments to reconcile to Operating EBITDA</w:t>
            </w:r>
            <w:r>
              <w:rPr>
                <w:rFonts w:ascii="Tahoma;sans-serif" w:hAnsi="Tahoma;sans-serif"/>
                <w:i/>
                <w:color w:val="000000"/>
                <w:sz w:val="16"/>
              </w:rPr>
              <w:t xml:space="preserve">re </w:t>
            </w:r>
            <w:r>
              <w:rPr>
                <w:rFonts w:ascii="Tahoma;sans-serif" w:hAnsi="Tahoma;sans-serif"/>
                <w:color w:val="000000"/>
                <w:sz w:val="11"/>
              </w:rPr>
              <w:t>(2)</w:t>
            </w: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Merger transition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Loss on early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Straight-line rent,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(5,729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Above/below market rent amortization,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(5,465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sz w:val="16"/>
              </w:rPr>
            </w:pPr>
            <w:r>
              <w:rPr>
                <w:rFonts w:ascii="Tahoma;sans-serif" w:hAnsi="Tahoma;sans-serif"/>
                <w:b/>
                <w:color w:val="000000"/>
                <w:sz w:val="16"/>
              </w:rPr>
              <w:t>Operating EBITDA</w:t>
            </w:r>
            <w:r>
              <w:rPr>
                <w:rFonts w:ascii="Tahoma;sans-serif" w:hAnsi="Tahoma;sans-serif"/>
                <w:b/>
                <w:i/>
                <w:color w:val="000000"/>
                <w:sz w:val="16"/>
              </w:rPr>
              <w:t>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259,452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249,596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Includes Regency's consolidated entities and its pro-rata share of unconsolidated Real Estate Partnerships, net of pro-rata share attributable to noncontrolling interests.</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Regency's consolidated entities and its pro-rata share of unconsolidated Real Estate Partnerships.</w:t>
      </w:r>
    </w:p>
    <w:p>
      <w:pPr>
        <w:pStyle w:val="TextBody"/>
        <w:bidi w:val="0"/>
        <w:jc w:val="right"/>
        <w:rPr/>
      </w:pPr>
      <w:r>
        <w:rPr/>
        <w:drawing>
          <wp:inline distT="0" distB="0" distL="0" distR="0">
            <wp:extent cx="466725" cy="247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10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9" w:name="consoldebt"/>
      <w:bookmarkEnd w:id="19"/>
      <w:r>
        <w:rPr>
          <w:rFonts w:ascii="Tahoma;sans-serif" w:hAnsi="Tahoma;sans-serif"/>
          <w:b/>
          <w:color w:val="000000"/>
          <w:sz w:val="20"/>
        </w:rPr>
        <w:t>Summary of Consolidated Debt</w:t>
      </w:r>
    </w:p>
    <w:p>
      <w:pPr>
        <w:pStyle w:val="TextBody"/>
        <w:bidi w:val="0"/>
        <w:jc w:val="center"/>
        <w:rPr>
          <w:rFonts w:ascii="Tahoma;sans-serif" w:hAnsi="Tahoma;sans-serif"/>
          <w:color w:val="000000"/>
          <w:sz w:val="20"/>
        </w:rPr>
      </w:pPr>
      <w:r>
        <w:rPr>
          <w:rFonts w:ascii="Tahoma;sans-serif" w:hAnsi="Tahoma;sans-serif"/>
          <w:color w:val="000000"/>
          <w:sz w:val="20"/>
        </w:rPr>
        <w:t>March 31, 2025 and December 31,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5854" w:type="dxa"/>
        <w:jc w:val="left"/>
        <w:tblInd w:w="0" w:type="dxa"/>
        <w:tblLayout w:type="fixed"/>
        <w:tblCellMar>
          <w:top w:w="28" w:type="dxa"/>
          <w:left w:w="28" w:type="dxa"/>
          <w:bottom w:w="28" w:type="dxa"/>
          <w:right w:w="28" w:type="dxa"/>
        </w:tblCellMar>
      </w:tblPr>
      <w:tblGrid>
        <w:gridCol w:w="2781"/>
        <w:gridCol w:w="146"/>
        <w:gridCol w:w="196"/>
        <w:gridCol w:w="826"/>
        <w:gridCol w:w="146"/>
        <w:gridCol w:w="146"/>
        <w:gridCol w:w="196"/>
        <w:gridCol w:w="826"/>
        <w:gridCol w:w="5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Total Debt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12/31/2024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Fixed rate mortgage loans</w:t>
            </w:r>
            <w:r>
              <w:rPr>
                <w:rFonts w:ascii="Tahoma;sans-serif" w:hAnsi="Tahoma;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641,578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610,234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 rate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9,586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 rate unsecured public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3,526,977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3,526,128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 rate unsecured private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198,119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197,752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Unsecured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Revolving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65,000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4,641,240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4,408,700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7"/>
        <w:gridCol w:w="146"/>
        <w:gridCol w:w="315"/>
        <w:gridCol w:w="972"/>
        <w:gridCol w:w="146"/>
        <w:gridCol w:w="146"/>
        <w:gridCol w:w="205"/>
        <w:gridCol w:w="977"/>
        <w:gridCol w:w="166"/>
        <w:gridCol w:w="146"/>
        <w:gridCol w:w="185"/>
        <w:gridCol w:w="1051"/>
        <w:gridCol w:w="166"/>
        <w:gridCol w:w="146"/>
        <w:gridCol w:w="146"/>
        <w:gridCol w:w="826"/>
        <w:gridCol w:w="166"/>
        <w:gridCol w:w="146"/>
        <w:gridCol w:w="2047"/>
      </w:tblGrid>
      <w:tr>
        <w:trPr/>
        <w:tc>
          <w:tcPr>
            <w:tcW w:w="2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2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Schedule of Maturities by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Scheduled Principal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Mortgage Loan Maturities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Unsecured Maturities </w:t>
            </w:r>
            <w:r>
              <w:rPr>
                <w:rFonts w:ascii="Tahoma;sans-serif" w:hAnsi="Tahoma;sans-serif"/>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Weighted Average Contractual Interest Rate on Maturities</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273,635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3.90%</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147,848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358,293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3.94%</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226,308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758,866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3.67%</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565,000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628,108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4.86%</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97,120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524,906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3.19%</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604,658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3.70%</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3.68%</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3.68%</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0.00%</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400,072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5.25%</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&gt;10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1,050,271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4.74%</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Unamortized debt premium/(discount),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611,816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3,990,096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4,641,240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4.16%</w:t>
            </w:r>
          </w:p>
        </w:tc>
      </w:tr>
    </w:tbl>
    <w:p>
      <w:pPr>
        <w:pStyle w:val="TextBody"/>
        <w:bidi w:val="0"/>
        <w:jc w:val="left"/>
        <w:rPr/>
      </w:pPr>
      <w:r>
        <w:rPr/>
        <w:t> </w:t>
      </w:r>
    </w:p>
    <w:p>
      <w:pPr>
        <w:pStyle w:val="TextBody"/>
        <w:bidi w:val="0"/>
        <w:jc w:val="left"/>
        <w:rPr/>
      </w:pPr>
      <w:r>
        <w:rPr/>
        <w:t> </w:t>
      </w:r>
    </w:p>
    <w:tbl>
      <w:tblPr>
        <w:tblW w:w="6615" w:type="dxa"/>
        <w:jc w:val="left"/>
        <w:tblInd w:w="0" w:type="dxa"/>
        <w:tblLayout w:type="fixed"/>
        <w:tblCellMar>
          <w:top w:w="28" w:type="dxa"/>
          <w:left w:w="28" w:type="dxa"/>
          <w:bottom w:w="28" w:type="dxa"/>
          <w:right w:w="28" w:type="dxa"/>
        </w:tblCellMar>
      </w:tblPr>
      <w:tblGrid>
        <w:gridCol w:w="4276"/>
        <w:gridCol w:w="146"/>
        <w:gridCol w:w="856"/>
        <w:gridCol w:w="146"/>
        <w:gridCol w:w="1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u w:val="single"/>
              </w:rPr>
            </w:pPr>
            <w:r>
              <w:rPr>
                <w:rFonts w:ascii="Tahoma;sans-serif" w:hAnsi="Tahoma;sans-serif"/>
                <w:b/>
                <w:color w:val="000000"/>
                <w:sz w:val="16"/>
                <w:u w:val="single"/>
              </w:rPr>
              <w:t>Percentage of 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ahoma;sans-serif" w:hAnsi="Tahoma;sans-serif"/>
                <w:b/>
                <w:color w:val="000000"/>
                <w:sz w:val="16"/>
              </w:rPr>
            </w:pPr>
            <w:r>
              <w:rPr>
                <w:rFonts w:ascii="Tahoma;sans-serif" w:hAnsi="Tahoma;sans-serif"/>
                <w:b/>
                <w:color w:val="000000"/>
                <w:sz w:val="16"/>
              </w:rPr>
              <w:t>12/31/2024</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98.3%</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Current Weighted Average Contractual Interest Rates:</w:t>
            </w:r>
            <w:r>
              <w:rPr>
                <w:rFonts w:ascii="Tahoma;sans-serif" w:hAnsi="Tahoma;sans-serif"/>
                <w:b/>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4.1%</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5.5%</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Current Weighted Average Effective Interest Rate:</w:t>
            </w:r>
            <w:r>
              <w:rPr>
                <w:rFonts w:ascii="Tahoma;sans-serif" w:hAnsi="Tahoma;sans-serif"/>
                <w:b/>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u w:val="single"/>
              </w:rPr>
            </w:pPr>
            <w:r>
              <w:rPr>
                <w:rFonts w:ascii="Tahoma;sans-serif" w:hAnsi="Tahoma;sans-serif"/>
                <w:b/>
                <w:color w:val="000000"/>
                <w:sz w:val="16"/>
                <w:u w:val="single"/>
              </w:rPr>
              <w:t>Average Years to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7.4</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Includes variable rate mortgage loans that have been fixed through interest rate swaps.</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unsecured public and private placement debt and any drawn balance on unsecured revolving line of credit.</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Interest rates are calculated as of the quarter end.</w:t>
      </w:r>
    </w:p>
    <w:p>
      <w:pPr>
        <w:pStyle w:val="TextBody"/>
        <w:bidi w:val="0"/>
        <w:spacing w:before="20" w:after="283"/>
        <w:jc w:val="left"/>
        <w:rPr>
          <w:rFonts w:ascii="Tahoma" w:hAnsi="Tahoma"/>
          <w:color w:val="000000"/>
          <w:sz w:val="14"/>
        </w:rPr>
      </w:pPr>
      <w:r>
        <w:rPr>
          <w:rFonts w:ascii="Tahoma" w:hAnsi="Tahoma"/>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Effective interest rates are calculated in accordance with US GAAP, as of the quarter end, and include the impact of debt premium/(discount) amortization, issuance cost amortization, interest rate swaps, and facility fees.</w:t>
      </w:r>
    </w:p>
    <w:p>
      <w:pPr>
        <w:pStyle w:val="TextBody"/>
        <w:bidi w:val="0"/>
        <w:jc w:val="right"/>
        <w:rPr/>
      </w:pPr>
      <w:r>
        <w:rPr/>
        <w:drawing>
          <wp:inline distT="0" distB="0" distL="0" distR="0">
            <wp:extent cx="466725" cy="247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11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0" w:name="consoldebtdetail"/>
      <w:bookmarkEnd w:id="20"/>
      <w:r>
        <w:rPr>
          <w:rFonts w:ascii="Tahoma;sans-serif" w:hAnsi="Tahoma;sans-serif"/>
          <w:b/>
          <w:color w:val="000000"/>
          <w:sz w:val="20"/>
        </w:rPr>
        <w:t>Details of Consolidated Debt</w:t>
      </w:r>
    </w:p>
    <w:p>
      <w:pPr>
        <w:pStyle w:val="TextBody"/>
        <w:bidi w:val="0"/>
        <w:jc w:val="center"/>
        <w:rPr>
          <w:rFonts w:ascii="Tahoma;sans-serif" w:hAnsi="Tahoma;sans-serif"/>
          <w:color w:val="000000"/>
          <w:sz w:val="20"/>
        </w:rPr>
      </w:pPr>
      <w:r>
        <w:rPr>
          <w:rFonts w:ascii="Tahoma;sans-serif" w:hAnsi="Tahoma;sans-serif"/>
          <w:color w:val="000000"/>
          <w:sz w:val="20"/>
        </w:rPr>
        <w:t>March 31, 2025 and December 31,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76"/>
        <w:gridCol w:w="2217"/>
        <w:gridCol w:w="1454"/>
        <w:gridCol w:w="210"/>
        <w:gridCol w:w="146"/>
        <w:gridCol w:w="571"/>
        <w:gridCol w:w="555"/>
        <w:gridCol w:w="166"/>
        <w:gridCol w:w="586"/>
        <w:gridCol w:w="151"/>
        <w:gridCol w:w="146"/>
        <w:gridCol w:w="166"/>
        <w:gridCol w:w="586"/>
        <w:gridCol w:w="675"/>
      </w:tblGrid>
      <w:tr>
        <w:trPr/>
        <w:tc>
          <w:tcPr>
            <w:tcW w:w="2576"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Contractual</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Effective</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Lender</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Collateral</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Rate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Rate</w:t>
            </w:r>
            <w:r>
              <w:rPr>
                <w:rFonts w:ascii="Tahoma;sans-serif" w:hAnsi="Tahoma;sans-serif"/>
                <w:b/>
                <w:color w:val="000000"/>
                <w:sz w:val="8"/>
                <w:u w:val="single"/>
              </w:rPr>
              <w:t>(1)</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Maturity</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3/31/2025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12/31/2024</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9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Secured Debt - Fixed Rate Mortgage Loans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Prudential Insurance Company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Country Walk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11/05/25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Metropolitan Life Insurance Company</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Westbury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88,000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88,000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M&amp;T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Cos Cob Plaza &amp; Greenwich Commons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8,316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8,409</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PNC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Longmeadow Shops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5.56%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Santander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Baederwood Shoppes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12/19/26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24,365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24,365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TD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Black Rock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12/31/26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15,094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15,148</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Meadtown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8,995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9,070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Midland Park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17,024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17,166</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Valley Ridge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16,249</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Cedar Hill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6,758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6,815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Willa Springs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16,700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16,700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Alden Bridge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26,000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26,000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Bethany Park Place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10,200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Blossom Valley</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22,300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Dunwoody Hall</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13,800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Hasley Canyon Village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PNC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Fellsway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06/02/27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34,157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34,300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M&amp;T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Ridgeway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07/01/27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41,631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41,940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New York Life Insurance</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Oak Shade Town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3,253</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Provident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Washington Commons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4.83%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8,425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8,494</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TD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Brick Walk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09/19/28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30,497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30,591</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New York Life Insurance</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Von's Circle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5.20%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3,475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Putnam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10/17/28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16,822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American United Life Insurance Company</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Ferry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04/01/29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8,387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8,471</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M&amp;T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Old Kings Market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4.82%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04/03/29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22,482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22,607</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Lakeview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10,613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10,680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State Farm</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Brentwood Place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09/01/29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43,500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Prudential Insurance Company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Shops at Erwin Mill</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12,000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12,000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McLean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5.74%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11/18/29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5.05%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513</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4.55%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1,650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Security Life of Denver Insurance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Newfield Green</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08/01/31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18,599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18,737</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American United Life Insurance Company</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Village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11/01/31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19,597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19,705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RGA Reinsurance Company</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Boonton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10,358</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Dock-Dockside &amp; The Dock-Railside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32,714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32,908</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High Ridge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5.55%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02/20/32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City of Rollingwood</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Shops at Mira Vista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151</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First County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Old Greenwich CVS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06/01/37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846</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JTS Capital</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High Ridge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8,825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PNC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Circle Marina Shops &amp; Mrktplc.</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03/17/25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24,000</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2"/>
              </w:rPr>
            </w:pPr>
            <w:r>
              <w:rPr>
                <w:rFonts w:ascii="Tahoma;sans-serif" w:hAnsi="Tahoma;sans-serif"/>
                <w:color w:val="000000"/>
                <w:sz w:val="12"/>
              </w:rPr>
              <w:t>Unamortized premiums on assumed debt of acquired properties, net of issuance costs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(11,261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(7,492</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rFonts w:ascii="Tahoma;sans-serif" w:hAnsi="Tahoma;sans-serif"/>
                <w:color w:val="000000"/>
                <w:sz w:val="12"/>
              </w:rPr>
            </w:pPr>
            <w:r>
              <w:rPr>
                <w:rFonts w:ascii="Tahoma;sans-serif" w:hAnsi="Tahoma;sans-serif"/>
                <w:color w:val="000000"/>
                <w:sz w:val="12"/>
              </w:rPr>
              <w:t>)</w:t>
            </w:r>
          </w:p>
        </w:tc>
      </w:tr>
      <w:tr>
        <w:trPr/>
        <w:tc>
          <w:tcPr>
            <w:tcW w:w="479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Arial" w:hAnsi="Arial"/>
                <w:b/>
                <w:color w:val="000000"/>
                <w:sz w:val="12"/>
              </w:rPr>
              <w:t>Total Fixed Rate Mortgage Loans</w:t>
            </w:r>
          </w:p>
        </w:tc>
        <w:tc>
          <w:tcPr>
            <w:tcW w:w="14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4.10%</w:t>
            </w:r>
          </w:p>
        </w:tc>
        <w:tc>
          <w:tcPr>
            <w:tcW w:w="2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4.46%</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641,578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610,234</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Unsecured Debt</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(8/17/15)</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11/01/25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250,000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250,000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Placement (5/11/16)</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Placement (8/11/16)</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(1/17/17)</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525,000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525,000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(3/9/18)</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(8/13/19)</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2.95%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09/15/29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(5/13/20)</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06/15/30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(1/18/24)</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5.25%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(8/15/24)</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01/15/35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325,000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(1/17/17)</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02/01/47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(3/6/19)</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03/15/49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Revolving Line of Credit</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Variable-rate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Adjusted SOFR + 0.715%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8"/>
              </w:rPr>
            </w:pPr>
            <w:r>
              <w:rPr>
                <w:rFonts w:ascii="Tahoma;sans-serif" w:hAnsi="Tahoma;sans-serif"/>
                <w:b/>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265,000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65,000</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2"/>
              </w:rPr>
            </w:pPr>
            <w:r>
              <w:rPr>
                <w:rFonts w:ascii="Tahoma;sans-serif" w:hAnsi="Tahoma;sans-serif"/>
                <w:color w:val="000000"/>
                <w:sz w:val="12"/>
              </w:rPr>
              <w:t>Unamortized debt discount and issuance costs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(24,904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(26,120</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rFonts w:ascii="Tahoma;sans-serif" w:hAnsi="Tahoma;sans-serif"/>
                <w:color w:val="000000"/>
                <w:sz w:val="12"/>
              </w:rPr>
            </w:pPr>
            <w:r>
              <w:rPr>
                <w:rFonts w:ascii="Tahoma;sans-serif" w:hAnsi="Tahoma;sans-serif"/>
                <w:color w:val="000000"/>
                <w:sz w:val="12"/>
              </w:rPr>
              <w:t>)</w:t>
            </w:r>
          </w:p>
        </w:tc>
      </w:tr>
      <w:tr>
        <w:trPr/>
        <w:tc>
          <w:tcPr>
            <w:tcW w:w="479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ahoma;sans-serif" w:hAnsi="Tahoma;sans-serif"/>
                <w:b/>
                <w:color w:val="000000"/>
                <w:sz w:val="12"/>
              </w:rPr>
              <w:t>Total Unsecured Debt, Net of Discounts</w:t>
            </w:r>
          </w:p>
        </w:tc>
        <w:tc>
          <w:tcPr>
            <w:tcW w:w="14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4.10%</w:t>
            </w:r>
          </w:p>
        </w:tc>
        <w:tc>
          <w:tcPr>
            <w:tcW w:w="2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4.25%</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3,990,096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3,788,880</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Variable Rate Mortgage Loans</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PNC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Market at Springwoods Village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SOFR + 1.40%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3,750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Wells Fargo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Orangetown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SOFR + 2.33%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10/01/28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5,855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5,885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Unamortized debt discount and issuance costs</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(49</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rFonts w:ascii="Tahoma;sans-serif" w:hAnsi="Tahoma;sans-serif"/>
                <w:color w:val="000000"/>
                <w:sz w:val="12"/>
              </w:rPr>
            </w:pPr>
            <w:r>
              <w:rPr>
                <w:rFonts w:ascii="Tahoma;sans-serif" w:hAnsi="Tahoma;sans-serif"/>
                <w:color w:val="000000"/>
                <w:sz w:val="12"/>
              </w:rPr>
              <w:t>)</w:t>
            </w:r>
          </w:p>
        </w:tc>
      </w:tr>
      <w:tr>
        <w:trPr/>
        <w:tc>
          <w:tcPr>
            <w:tcW w:w="479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ahoma;sans-serif" w:hAnsi="Tahoma;sans-serif"/>
                <w:b/>
                <w:color w:val="000000"/>
                <w:sz w:val="12"/>
              </w:rPr>
              <w:t>Total Variable Rate Mortgage Loans</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6.38%</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6.78%</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9,566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9,586</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4.44%</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4,641,240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4,408,700</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ahoma" w:hAnsi="Tahoma"/>
          <w:color w:val="000000"/>
          <w:sz w:val="14"/>
        </w:rPr>
      </w:pPr>
      <w:r>
        <w:rPr>
          <w:rFonts w:ascii="Tahoma" w:hAnsi="Tahoma"/>
          <w:color w:val="000000"/>
          <w:sz w:val="14"/>
        </w:rPr>
        <w:t>(1)</w:t>
      </w:r>
    </w:p>
    <w:p>
      <w:pPr>
        <w:pStyle w:val="TextBody"/>
        <w:bidi w:val="0"/>
        <w:spacing w:before="180" w:after="283"/>
        <w:jc w:val="left"/>
        <w:rPr>
          <w:rFonts w:ascii="Tahoma;sans-serif" w:hAnsi="Tahoma;sans-serif"/>
          <w:color w:val="000000"/>
          <w:sz w:val="14"/>
        </w:rPr>
      </w:pPr>
      <w:r>
        <w:rPr>
          <w:rFonts w:ascii="Tahoma;sans-serif" w:hAnsi="Tahoma;sans-serif"/>
          <w:color w:val="000000"/>
          <w:sz w:val="14"/>
        </w:rPr>
        <w:t>Effective interest rates are calculated in accordance with US GAAP, as of the quarter end, and include the impact of debt premium/(discount) amortization, issuance cost amortization, interest rate swaps, and facility and unused fees.</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The interest rate is SOFR plus a 0.10% market adjustment ("Adjusted SOFR") plus our applicable margin of 0.715%. Rate applies to drawn balance only. Additional annual facility fee of 0.125% applies to entire $1.5 billion line of credit. Expiration is subject to two additional six-month periods at the Company’s option.</w:t>
      </w:r>
    </w:p>
    <w:p>
      <w:pPr>
        <w:pStyle w:val="TextBody"/>
        <w:bidi w:val="0"/>
        <w:jc w:val="right"/>
        <w:rPr/>
      </w:pPr>
      <w:r>
        <w:rPr/>
        <w:drawing>
          <wp:inline distT="0" distB="0" distL="0" distR="0">
            <wp:extent cx="466725" cy="2476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12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1" w:name="covenants"/>
      <w:bookmarkEnd w:id="21"/>
      <w:r>
        <w:rPr>
          <w:rFonts w:ascii="Tahoma;sans-serif" w:hAnsi="Tahoma;sans-serif"/>
          <w:b/>
          <w:color w:val="000000"/>
          <w:sz w:val="20"/>
        </w:rPr>
        <w:t>Summary of Unsecured Debt Covenants and Leverage Ratios</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p>
      <w:pPr>
        <w:pStyle w:val="TextBody"/>
        <w:bidi w:val="0"/>
        <w:jc w:val="both"/>
        <w:rPr/>
      </w:pPr>
      <w:r>
        <w:rPr/>
        <w:t> </w:t>
      </w:r>
    </w:p>
    <w:tbl>
      <w:tblPr>
        <w:tblW w:w="5715" w:type="dxa"/>
        <w:jc w:val="left"/>
        <w:tblInd w:w="0" w:type="dxa"/>
        <w:tblLayout w:type="fixed"/>
        <w:tblCellMar>
          <w:top w:w="28" w:type="dxa"/>
          <w:left w:w="28" w:type="dxa"/>
          <w:bottom w:w="28" w:type="dxa"/>
          <w:right w:w="28" w:type="dxa"/>
        </w:tblCellMar>
      </w:tblPr>
      <w:tblGrid>
        <w:gridCol w:w="2281"/>
        <w:gridCol w:w="146"/>
        <w:gridCol w:w="751"/>
        <w:gridCol w:w="146"/>
        <w:gridCol w:w="646"/>
        <w:gridCol w:w="146"/>
        <w:gridCol w:w="586"/>
        <w:gridCol w:w="146"/>
        <w:gridCol w:w="67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Outstanding Unsecured Public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Origination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Balance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08/17/15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11/01/25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02/01/27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03/09/18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08/20/19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09/15/29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06/15/30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08/15/24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02/01/47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03/06/19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03/15/49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382" w:type="dxa"/>
        <w:jc w:val="left"/>
        <w:tblInd w:w="0" w:type="dxa"/>
        <w:tblLayout w:type="fixed"/>
        <w:tblCellMar>
          <w:top w:w="28" w:type="dxa"/>
          <w:left w:w="28" w:type="dxa"/>
          <w:bottom w:w="28" w:type="dxa"/>
          <w:right w:w="28" w:type="dxa"/>
        </w:tblCellMar>
      </w:tblPr>
      <w:tblGrid>
        <w:gridCol w:w="4281"/>
        <w:gridCol w:w="646"/>
        <w:gridCol w:w="146"/>
        <w:gridCol w:w="721"/>
        <w:gridCol w:w="146"/>
        <w:gridCol w:w="796"/>
        <w:gridCol w:w="146"/>
        <w:gridCol w:w="721"/>
        <w:gridCol w:w="146"/>
        <w:gridCol w:w="721"/>
        <w:gridCol w:w="146"/>
        <w:gridCol w:w="766"/>
      </w:tblGrid>
      <w:tr>
        <w:trPr/>
        <w:tc>
          <w:tcPr>
            <w:tcW w:w="42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Unsecured Public Debt Covenants: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6/30/2024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3/31/2024</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rPr>
              <w:t>Fair Market Value Calculation Method Covenants</w:t>
            </w:r>
            <w:r>
              <w:rPr>
                <w:rFonts w:ascii="Tahoma;sans-serif" w:hAnsi="Tahoma;sans-serif"/>
                <w:color w:val="000000"/>
                <w:sz w:val="9"/>
              </w:rPr>
              <w:t>(1)(2)</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Consolidated Debt to Total Consolidated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ahoma;sans-serif" w:hAnsi="Tahoma;sans-serif"/>
                <w:color w:val="000000"/>
                <w:sz w:val="14"/>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Secured Consolidated Debt to Total Consolidated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ahoma;sans-serif" w:hAnsi="Tahoma;sans-serif"/>
                <w:color w:val="000000"/>
                <w:sz w:val="14"/>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Consolidated Income for Debt Service to Consolidated Debt Service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ahoma;sans-serif" w:hAnsi="Tahoma;sans-serif"/>
                <w:color w:val="000000"/>
                <w:sz w:val="14"/>
              </w:rPr>
              <w:t>1.5x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Unencumbered Consolidated Assets to Unsecured Consolidated Debt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&gt;150%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398%</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Ratios: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6/30/2024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3/31/2024</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Consolidated Only</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market capitalization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26.7%</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real estate assets, before depreciation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30.2%</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assets, before depreciation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27.6%</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preferreds to Operating EBITDAre - TTM</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4.9x</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i/>
                <w:color w:val="000000"/>
                <w:sz w:val="14"/>
              </w:rPr>
              <w:t>Net debt and preferreds to Operating EBITDAre - TTM, adjusted</w:t>
            </w:r>
            <w:r>
              <w:rPr>
                <w:rFonts w:ascii="Tahoma;sans-serif" w:hAnsi="Tahoma;sans-serif"/>
                <w:i/>
                <w:color w:val="000000"/>
                <w:sz w:val="9"/>
              </w:rPr>
              <w:t>(3)</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4.8x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4.7x</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Fixed charge coverage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5.0x</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Interest coverage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5.5x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5.6x</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Unsecured assets to total real estate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87.6%</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Unsecured NOI to total NOI - TTM</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89.5%</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Unencumbered assets to unsecured debt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319%</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Total Pro-Rata Share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market capitalization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29.2%</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real estate assets, before depreciation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31.9%</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assets, before depreciation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29.1%</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preferreds to Operating EBITDAre - TTM</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5.4x</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i/>
                <w:color w:val="000000"/>
                <w:sz w:val="14"/>
              </w:rPr>
              <w:t>Net debt and preferreds to Operating EBITDAre - TTM, adjusted</w:t>
            </w:r>
            <w:r>
              <w:rPr>
                <w:rFonts w:ascii="Tahoma;sans-serif" w:hAnsi="Tahoma;sans-serif"/>
                <w:i/>
                <w:color w:val="000000"/>
                <w:sz w:val="9"/>
              </w:rPr>
              <w:t>(3)</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5.2x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i/>
                <w:color w:val="000000"/>
                <w:sz w:val="14"/>
              </w:rPr>
            </w:pPr>
            <w:r>
              <w:rPr>
                <w:rFonts w:ascii="Tahoma;sans-serif" w:hAnsi="Tahoma;sans-serif"/>
                <w:i/>
                <w:color w:val="000000"/>
                <w:sz w:val="14"/>
              </w:rPr>
              <w:t>5.2x</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Fixed charge coverage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4.5x</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Interest coverage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5.1x</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For a complete listing of all Debt Covenants related to the Company’s Senior Unsecured Notes, as well as definitions of the above terms, please refer to the Company’s filings with the Securities and Exchange Commission.</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Current period debt covenants are finalized and submitted after the Company’s most recent Form 10-Q or Form 10-K filing.</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 light of the merger with UBP on August 18, 2023, adjusted debt metric calculations include legacy Regency results for the trailing 12 months and the annualized contribution from UBP post merger.</w:t>
      </w:r>
    </w:p>
    <w:p>
      <w:pPr>
        <w:pStyle w:val="TextBody"/>
        <w:bidi w:val="0"/>
        <w:jc w:val="right"/>
        <w:rPr/>
      </w:pPr>
      <w:r>
        <w:rPr/>
        <w:drawing>
          <wp:inline distT="0" distB="0" distL="0" distR="0">
            <wp:extent cx="466725" cy="2476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13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2" w:name="debtjv"/>
      <w:bookmarkEnd w:id="22"/>
      <w:r>
        <w:rPr>
          <w:rFonts w:ascii="Tahoma;sans-serif" w:hAnsi="Tahoma;sans-serif"/>
          <w:b/>
          <w:color w:val="000000"/>
          <w:sz w:val="20"/>
        </w:rPr>
        <w:t>Summary of Unconsolidated Debt</w:t>
      </w:r>
    </w:p>
    <w:p>
      <w:pPr>
        <w:pStyle w:val="TextBody"/>
        <w:bidi w:val="0"/>
        <w:jc w:val="center"/>
        <w:rPr>
          <w:rFonts w:ascii="Tahoma;sans-serif" w:hAnsi="Tahoma;sans-serif"/>
          <w:color w:val="000000"/>
          <w:sz w:val="20"/>
        </w:rPr>
      </w:pPr>
      <w:r>
        <w:rPr>
          <w:rFonts w:ascii="Tahoma;sans-serif" w:hAnsi="Tahoma;sans-serif"/>
          <w:color w:val="000000"/>
          <w:sz w:val="20"/>
        </w:rPr>
        <w:t>March 31, 2025 and December 31, 2024</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5174" w:type="dxa"/>
        <w:jc w:val="left"/>
        <w:tblInd w:w="0" w:type="dxa"/>
        <w:tblLayout w:type="fixed"/>
        <w:tblCellMar>
          <w:top w:w="28" w:type="dxa"/>
          <w:left w:w="28" w:type="dxa"/>
          <w:bottom w:w="28" w:type="dxa"/>
          <w:right w:w="28" w:type="dxa"/>
        </w:tblCellMar>
      </w:tblPr>
      <w:tblGrid>
        <w:gridCol w:w="2341"/>
        <w:gridCol w:w="146"/>
        <w:gridCol w:w="181"/>
        <w:gridCol w:w="721"/>
        <w:gridCol w:w="146"/>
        <w:gridCol w:w="146"/>
        <w:gridCol w:w="181"/>
        <w:gridCol w:w="721"/>
        <w:gridCol w:w="5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Total Debt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12/31/2024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Mortgage loans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Fixed rate secured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1,420,512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1,459,373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Variable rate secured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69,379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Unsecured credit facility variable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35,800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1,546,957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1,564,552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20"/>
        <w:gridCol w:w="146"/>
        <w:gridCol w:w="229"/>
        <w:gridCol w:w="669"/>
        <w:gridCol w:w="146"/>
        <w:gridCol w:w="146"/>
        <w:gridCol w:w="165"/>
        <w:gridCol w:w="818"/>
        <w:gridCol w:w="151"/>
        <w:gridCol w:w="146"/>
        <w:gridCol w:w="179"/>
        <w:gridCol w:w="652"/>
        <w:gridCol w:w="146"/>
        <w:gridCol w:w="146"/>
        <w:gridCol w:w="146"/>
        <w:gridCol w:w="721"/>
        <w:gridCol w:w="151"/>
        <w:gridCol w:w="146"/>
        <w:gridCol w:w="1208"/>
        <w:gridCol w:w="146"/>
        <w:gridCol w:w="173"/>
        <w:gridCol w:w="713"/>
        <w:gridCol w:w="151"/>
        <w:gridCol w:w="146"/>
        <w:gridCol w:w="1445"/>
      </w:tblGrid>
      <w:tr>
        <w:trPr/>
        <w:tc>
          <w:tcPr>
            <w:tcW w:w="13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Schedule of Maturities by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Scheduled Principal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Mortgage Loan Maturities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Unsecured 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Average Contractual Interest Rate on 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Regency's Pro Rata Share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Regency's Pro Rata Weighted Average Contractual Interest Rate on Maturities</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126,012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131,239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44,162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3.87%</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281,683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336,972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116,077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5.60%</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39,952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13,386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2.41%</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231,235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235,170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81,559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4.98%</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93,500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96,341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34,967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5.16%</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179,317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181,423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70,522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2.88%</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352,240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352,865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137,198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3.13%</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142,270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142,770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58,369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3.10%</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37,497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37,707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13,941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6.27%</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&gt;10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 xml:space="preserve">Unamortized debt premium/(discount) and issuance costs </w:t>
            </w:r>
            <w:r>
              <w:rPr>
                <w:rFonts w:ascii="Tahoma;sans-serif" w:hAnsi="Tahoma;sans-serif"/>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1,468,666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1,546,957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567,334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4.10%</w:t>
            </w:r>
          </w:p>
        </w:tc>
      </w:tr>
    </w:tbl>
    <w:p>
      <w:pPr>
        <w:pStyle w:val="TextBody"/>
        <w:bidi w:val="0"/>
        <w:jc w:val="left"/>
        <w:rPr/>
      </w:pPr>
      <w:r>
        <w:rPr/>
        <w:t> </w:t>
      </w:r>
    </w:p>
    <w:tbl>
      <w:tblPr>
        <w:tblW w:w="5520" w:type="dxa"/>
        <w:jc w:val="left"/>
        <w:tblInd w:w="0" w:type="dxa"/>
        <w:tblLayout w:type="fixed"/>
        <w:tblCellMar>
          <w:top w:w="28" w:type="dxa"/>
          <w:left w:w="28" w:type="dxa"/>
          <w:bottom w:w="28" w:type="dxa"/>
          <w:right w:w="28" w:type="dxa"/>
        </w:tblCellMar>
      </w:tblPr>
      <w:tblGrid>
        <w:gridCol w:w="3466"/>
        <w:gridCol w:w="146"/>
        <w:gridCol w:w="721"/>
        <w:gridCol w:w="146"/>
        <w:gridCol w:w="104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Percentage of 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ahoma;sans-serif" w:hAnsi="Tahoma;sans-serif"/>
                <w:b/>
                <w:color w:val="000000"/>
                <w:sz w:val="14"/>
              </w:rPr>
            </w:pPr>
            <w:r>
              <w:rPr>
                <w:rFonts w:ascii="Tahoma;sans-serif" w:hAnsi="Tahoma;sans-serif"/>
                <w:b/>
                <w:color w:val="000000"/>
                <w:sz w:val="14"/>
              </w:rPr>
              <w:t>12/31/2024</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93.3%</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6.7%</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u w:val="single"/>
              </w:rPr>
              <w:t>Current Weighted Average Contractual Interest Rates:</w:t>
            </w:r>
            <w:r>
              <w:rPr>
                <w:rFonts w:ascii="Tahoma;sans-serif" w:hAnsi="Tahoma;sans-serif"/>
                <w:b/>
                <w:color w:val="000000"/>
                <w:sz w:val="9"/>
                <w:u w:val="single"/>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3.9%</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6.8%</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4.1%</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u w:val="single"/>
              </w:rPr>
              <w:t>Current Weighted Average Effective Interest Rates:</w:t>
            </w:r>
            <w:r>
              <w:rPr>
                <w:rFonts w:ascii="Tahoma;sans-serif" w:hAnsi="Tahoma;sans-serif"/>
                <w:b/>
                <w:color w:val="000000"/>
                <w:sz w:val="9"/>
                <w:u w:val="single"/>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4.2%</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Average Years to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4.5</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Interest rates are calculated as of the quarter end.</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Effective interest rates are calculated in accordance with US GAAP, as of the quarter end, and include the impact of debt premium/(discount) amortization, issuance cost, amortization, interest rate swaps, and facility and unused fees.</w:t>
      </w:r>
    </w:p>
    <w:p>
      <w:pPr>
        <w:pStyle w:val="TextBody"/>
        <w:bidi w:val="0"/>
        <w:jc w:val="right"/>
        <w:rPr/>
      </w:pPr>
      <w:r>
        <w:rPr/>
        <w:drawing>
          <wp:inline distT="0" distB="0" distL="0" distR="0">
            <wp:extent cx="466725" cy="2476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14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3" w:name="investments"/>
      <w:bookmarkEnd w:id="23"/>
      <w:r>
        <w:rPr>
          <w:rFonts w:ascii="Tahoma;sans-serif" w:hAnsi="Tahoma;sans-serif"/>
          <w:b/>
          <w:color w:val="000000"/>
          <w:sz w:val="20"/>
        </w:rPr>
        <w:t>Unconsolidated Real Estate Partnerships</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p>
      <w:pPr>
        <w:pStyle w:val="TextBody"/>
        <w:bidi w:val="0"/>
        <w:jc w:val="center"/>
        <w:rPr/>
      </w:pPr>
      <w:r>
        <w:rPr/>
        <w:t> </w:t>
      </w:r>
    </w:p>
    <w:p>
      <w:pPr>
        <w:pStyle w:val="TextBody"/>
        <w:bidi w:val="0"/>
        <w:jc w:val="both"/>
        <w:rPr/>
      </w:pPr>
      <w:r>
        <w:rPr/>
        <w:t> </w:t>
      </w:r>
    </w:p>
    <w:tbl>
      <w:tblPr>
        <w:tblW w:w="9875" w:type="dxa"/>
        <w:jc w:val="left"/>
        <w:tblInd w:w="0" w:type="dxa"/>
        <w:tblLayout w:type="fixed"/>
        <w:tblCellMar>
          <w:top w:w="28" w:type="dxa"/>
          <w:left w:w="28" w:type="dxa"/>
          <w:bottom w:w="28" w:type="dxa"/>
          <w:right w:w="28" w:type="dxa"/>
        </w:tblCellMar>
      </w:tblPr>
      <w:tblGrid>
        <w:gridCol w:w="2446"/>
        <w:gridCol w:w="871"/>
        <w:gridCol w:w="601"/>
        <w:gridCol w:w="916"/>
        <w:gridCol w:w="916"/>
        <w:gridCol w:w="146"/>
        <w:gridCol w:w="1396"/>
        <w:gridCol w:w="781"/>
        <w:gridCol w:w="931"/>
        <w:gridCol w:w="871"/>
      </w:tblGrid>
      <w:tr>
        <w:trPr/>
        <w:tc>
          <w:tcPr>
            <w:tcW w:w="24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9" w:type="dxa"/>
            <w:gridSpan w:val="4"/>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Regency</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Investment Partner and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Number of</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Ownership</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Share</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Investment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Equity</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u w:val="single"/>
              </w:rPr>
            </w:pPr>
            <w:r>
              <w:rPr>
                <w:rFonts w:ascii="Tahoma;sans-serif" w:hAnsi="Tahoma;sans-serif"/>
                <w:b/>
                <w:color w:val="000000"/>
                <w:sz w:val="16"/>
                <w:u w:val="single"/>
              </w:rPr>
              <w:t>Portfolio Summary Abbreviation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Properties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GLA</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Assets</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Interest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of Debt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3/31/2025</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in Income</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State of Oregon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(JV-C2)</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2,589</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$620,052</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$267,292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$53,458</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$64,367</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$1,174</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(JV-CCV)</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602</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99,155</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22,450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6,540</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667</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3,191</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719,207</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342,126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GRI</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(JV-GRI)</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66</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8,430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1,443,333</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933,362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373,345</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133,755</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10,701</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Publix</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(JV-O)</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215</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26,441</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50.00%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13,074</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446</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Individual Investors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Ballard Blocks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249</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115,000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49.90%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59,153</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331</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Bloom on Third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73</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263,281</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137,896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48,264</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45,166</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483</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Others</w:t>
            </w:r>
            <w:r>
              <w:rPr>
                <w:rFonts w:ascii="Tahoma;sans-serif" w:hAnsi="Tahoma;sans-serif"/>
                <w:color w:val="000000"/>
                <w:sz w:val="11"/>
              </w:rPr>
              <w:t>(1)</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1,091</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241,186</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133,573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11.80% - 83.00%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69,817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67,120</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693</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102</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13,249</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$2,808,448</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$1,546,957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$567,334</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$389,175</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$14,495</w:t>
            </w:r>
          </w:p>
        </w:tc>
      </w:tr>
    </w:tbl>
    <w:p>
      <w:pPr>
        <w:pStyle w:val="TextBody"/>
        <w:bidi w:val="0"/>
        <w:spacing w:before="120" w:after="283"/>
        <w:jc w:val="left"/>
        <w:rPr>
          <w:rFonts w:ascii="Arial" w:hAnsi="Arial"/>
          <w:color w:val="000000"/>
          <w:sz w:val="16"/>
        </w:rPr>
      </w:pPr>
      <w:r>
        <w:rPr>
          <w:rFonts w:ascii="Arial" w:hAnsi="Arial"/>
          <w:color w:val="000000"/>
          <w:sz w:val="16"/>
        </w:rPr>
        <w:t>(1)</w:t>
      </w:r>
    </w:p>
    <w:p>
      <w:pPr>
        <w:pStyle w:val="TextBody"/>
        <w:bidi w:val="0"/>
        <w:spacing w:before="120" w:after="283"/>
        <w:jc w:val="left"/>
        <w:rPr>
          <w:rFonts w:ascii="Arial" w:hAnsi="Arial"/>
          <w:color w:val="000000"/>
          <w:sz w:val="16"/>
        </w:rPr>
      </w:pPr>
      <w:r>
        <w:rPr>
          <w:rFonts w:ascii="Arial" w:hAnsi="Arial"/>
          <w:color w:val="000000"/>
          <w:sz w:val="16"/>
        </w:rPr>
        <w:t>Effective January 1, 2025, Regency acquired its partner’s 33.3% share in a single property partnership for a total purchase price of $10.3 million. Upon acquisition, this property was consolidated into Regency’s financial statements.</w:t>
      </w:r>
    </w:p>
    <w:p>
      <w:pPr>
        <w:pStyle w:val="TextBody"/>
        <w:bidi w:val="0"/>
        <w:spacing w:before="60" w:after="283"/>
        <w:jc w:val="both"/>
        <w:rPr/>
      </w:pPr>
      <w:r>
        <w:rPr/>
        <w:t> </w:t>
      </w:r>
    </w:p>
    <w:p>
      <w:pPr>
        <w:pStyle w:val="TextBody"/>
        <w:bidi w:val="0"/>
        <w:jc w:val="right"/>
        <w:rPr/>
      </w:pPr>
      <w:r>
        <w:rPr/>
        <w:drawing>
          <wp:inline distT="0" distB="0" distL="0" distR="0">
            <wp:extent cx="466725" cy="2476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15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4" w:name="proptransactions"/>
      <w:bookmarkEnd w:id="24"/>
      <w:r>
        <w:rPr>
          <w:rFonts w:ascii="Tahoma;sans-serif" w:hAnsi="Tahoma;sans-serif"/>
          <w:b/>
          <w:color w:val="000000"/>
          <w:sz w:val="20"/>
        </w:rPr>
        <w:t>Property Transactions</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ahoma;sans-serif" w:hAnsi="Tahoma;sans-serif"/>
          <w:b/>
          <w:color w:val="000000"/>
          <w:sz w:val="16"/>
        </w:rPr>
      </w:pPr>
      <w:r>
        <w:rPr>
          <w:rFonts w:ascii="Tahoma;sans-serif" w:hAnsi="Tahoma;sans-serif"/>
          <w:b/>
          <w:color w:val="000000"/>
          <w:sz w:val="16"/>
        </w:rPr>
        <w:t>Acquisitions:</w:t>
      </w:r>
    </w:p>
    <w:tbl>
      <w:tblPr>
        <w:tblW w:w="10205" w:type="dxa"/>
        <w:jc w:val="left"/>
        <w:tblInd w:w="0" w:type="dxa"/>
        <w:tblLayout w:type="fixed"/>
        <w:tblCellMar>
          <w:top w:w="28" w:type="dxa"/>
          <w:left w:w="28" w:type="dxa"/>
          <w:bottom w:w="28" w:type="dxa"/>
          <w:right w:w="28" w:type="dxa"/>
        </w:tblCellMar>
      </w:tblPr>
      <w:tblGrid>
        <w:gridCol w:w="605"/>
        <w:gridCol w:w="1727"/>
        <w:gridCol w:w="1182"/>
        <w:gridCol w:w="956"/>
        <w:gridCol w:w="681"/>
        <w:gridCol w:w="1898"/>
        <w:gridCol w:w="1638"/>
        <w:gridCol w:w="1518"/>
      </w:tblGrid>
      <w:tr>
        <w:trPr/>
        <w:tc>
          <w:tcPr>
            <w:tcW w:w="605"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ahoma;sans-serif" w:hAnsi="Tahoma;sans-serif"/>
                <w:b/>
                <w:color w:val="000000"/>
                <w:sz w:val="16"/>
              </w:rPr>
            </w:pPr>
            <w:r>
              <w:rPr>
                <w:rFonts w:ascii="Tahoma;sans-serif" w:hAnsi="Tahoma;sans-serif"/>
                <w:b/>
                <w:color w:val="000000"/>
                <w:sz w:val="16"/>
              </w:rPr>
              <w:t>Date</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Property Name</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Real Estate Partner</w:t>
              <w:br/>
              <w:t>(REG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Market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GLA</w:t>
            </w:r>
          </w:p>
        </w:tc>
        <w:tc>
          <w:tcPr>
            <w:tcW w:w="1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Regency's Share of Purchase Price</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Weighted Average Cap Rate</w:t>
            </w:r>
          </w:p>
        </w:tc>
        <w:tc>
          <w:tcPr>
            <w:tcW w:w="1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ahoma;sans-serif" w:hAnsi="Tahoma;sans-serif"/>
                <w:b/>
                <w:color w:val="000000"/>
                <w:sz w:val="16"/>
              </w:rPr>
            </w:pPr>
            <w:r>
              <w:rPr>
                <w:rFonts w:ascii="Tahoma;sans-serif" w:hAnsi="Tahoma;sans-serif"/>
                <w:b/>
                <w:color w:val="000000"/>
                <w:sz w:val="16"/>
              </w:rPr>
              <w:t>Anchor(s)</w:t>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Jan-25</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color w:val="000000"/>
                <w:sz w:val="16"/>
              </w:rPr>
              <w:t>Putnam Plaza (JV Buyout)</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Carmel, NY</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189</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$10,332</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Top's Friendly Market</w:t>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Jan-25</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color w:val="000000"/>
                <w:sz w:val="16"/>
              </w:rPr>
              <w:t>Orange Meadow (Outparcel)</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Orange, CT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$4,200</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Mar-25</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color w:val="000000"/>
                <w:sz w:val="16"/>
              </w:rPr>
              <w:t>Brentwood Place</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Nashville, TN</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319</w:t>
            </w:r>
          </w:p>
        </w:tc>
        <w:tc>
          <w:tcPr>
            <w:tcW w:w="18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$118,500</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TJ Maxx, Nordstrom Rack</w:t>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Property Total</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515</w:t>
            </w:r>
          </w:p>
        </w:tc>
        <w:tc>
          <w:tcPr>
            <w:tcW w:w="1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$133,032</w:t>
            </w:r>
          </w:p>
        </w:tc>
        <w:tc>
          <w:tcPr>
            <w:tcW w:w="1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5.4%</w:t>
            </w:r>
          </w:p>
        </w:tc>
        <w:tc>
          <w:tcPr>
            <w:tcW w:w="1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6"/>
        </w:rPr>
      </w:pPr>
      <w:r>
        <w:rPr>
          <w:rFonts w:ascii="Arial" w:hAnsi="Arial"/>
          <w:b/>
          <w:color w:val="000000"/>
          <w:sz w:val="16"/>
        </w:rPr>
        <w:t>Dispositions:</w:t>
      </w:r>
    </w:p>
    <w:tbl>
      <w:tblPr>
        <w:tblW w:w="10205" w:type="dxa"/>
        <w:jc w:val="left"/>
        <w:tblInd w:w="0" w:type="dxa"/>
        <w:tblLayout w:type="fixed"/>
        <w:tblCellMar>
          <w:top w:w="28" w:type="dxa"/>
          <w:left w:w="28" w:type="dxa"/>
          <w:bottom w:w="28" w:type="dxa"/>
          <w:right w:w="28" w:type="dxa"/>
        </w:tblCellMar>
      </w:tblPr>
      <w:tblGrid>
        <w:gridCol w:w="566"/>
        <w:gridCol w:w="1165"/>
        <w:gridCol w:w="1492"/>
        <w:gridCol w:w="601"/>
        <w:gridCol w:w="796"/>
        <w:gridCol w:w="2518"/>
        <w:gridCol w:w="2115"/>
        <w:gridCol w:w="952"/>
      </w:tblGrid>
      <w:tr>
        <w:trPr/>
        <w:tc>
          <w:tcPr>
            <w:tcW w:w="56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ahoma;sans-serif" w:hAnsi="Tahoma;sans-serif"/>
                <w:b/>
                <w:color w:val="000000"/>
                <w:sz w:val="16"/>
              </w:rPr>
            </w:pPr>
            <w:r>
              <w:rPr>
                <w:rFonts w:ascii="Tahoma;sans-serif" w:hAnsi="Tahoma;sans-serif"/>
                <w:b/>
                <w:color w:val="000000"/>
                <w:sz w:val="16"/>
              </w:rPr>
              <w:t>Date</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Property Name</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Real Estate Partner</w:t>
              <w:br/>
              <w:t>(REG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Market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GLA</w:t>
            </w:r>
          </w:p>
        </w:tc>
        <w:tc>
          <w:tcPr>
            <w:tcW w:w="2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Regency's Share of Purchase Price</w:t>
            </w:r>
          </w:p>
        </w:tc>
        <w:tc>
          <w:tcPr>
            <w:tcW w:w="2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Weighted Average Cap Rate</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ahoma;sans-serif" w:hAnsi="Tahoma;sans-serif"/>
                <w:b/>
                <w:color w:val="000000"/>
                <w:sz w:val="16"/>
              </w:rPr>
            </w:pPr>
            <w:r>
              <w:rPr>
                <w:rFonts w:ascii="Tahoma;sans-serif" w:hAnsi="Tahoma;sans-serif"/>
                <w:b/>
                <w:color w:val="000000"/>
                <w:sz w:val="16"/>
              </w:rPr>
              <w:t>Anchor(s)</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Property Total</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0</w:t>
            </w:r>
          </w:p>
        </w:tc>
        <w:tc>
          <w:tcPr>
            <w:tcW w:w="2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$0</w:t>
            </w:r>
          </w:p>
        </w:tc>
        <w:tc>
          <w:tcPr>
            <w:tcW w:w="2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0.0%</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20"/>
              <w:jc w:val="center"/>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right"/>
        <w:rPr/>
      </w:pPr>
      <w:r>
        <w:rPr/>
        <w:drawing>
          <wp:inline distT="0" distB="0" distL="0" distR="0">
            <wp:extent cx="466725" cy="2476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16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5" w:name="devredevinprocess"/>
      <w:bookmarkEnd w:id="25"/>
      <w:r>
        <w:rPr>
          <w:rFonts w:ascii="Tahoma;sans-serif" w:hAnsi="Tahoma;sans-serif"/>
          <w:b/>
          <w:color w:val="000000"/>
          <w:sz w:val="20"/>
        </w:rPr>
        <w:t>Summary of In-Process Developments and Redevelopments</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1"/>
        <w:gridCol w:w="211"/>
        <w:gridCol w:w="917"/>
        <w:gridCol w:w="941"/>
        <w:gridCol w:w="847"/>
        <w:gridCol w:w="632"/>
        <w:gridCol w:w="1499"/>
        <w:gridCol w:w="1069"/>
        <w:gridCol w:w="833"/>
        <w:gridCol w:w="908"/>
        <w:gridCol w:w="877"/>
      </w:tblGrid>
      <w:tr>
        <w:trPr/>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540" w:type="dxa"/>
            <w:gridSpan w:val="4"/>
            <w:tcBorders>
              <w:top w:val="single" w:sz="4" w:space="0" w:color="000000"/>
              <w:left w:val="single" w:sz="4" w:space="0" w:color="000000"/>
              <w:bottom w:val="single" w:sz="4" w:space="0" w:color="000000"/>
            </w:tcBorders>
            <w:shd w:fill="808080" w:val="clear"/>
            <w:tcMar>
              <w:right w:w="0" w:type="dxa"/>
            </w:tcMar>
            <w:vAlign w:val="center"/>
          </w:tcPr>
          <w:p>
            <w:pPr>
              <w:pStyle w:val="TableContents"/>
              <w:bidi w:val="0"/>
              <w:spacing w:before="0" w:after="283"/>
              <w:jc w:val="left"/>
              <w:rPr>
                <w:rFonts w:ascii="Times New Roman" w:hAnsi="Times New Roman"/>
                <w:sz w:val="12"/>
              </w:rPr>
            </w:pPr>
            <w:r>
              <w:rPr>
                <w:rFonts w:ascii="Tahoma;sans-serif" w:hAnsi="Tahoma;sans-serif"/>
                <w:b/>
                <w:color w:val="FFFFFF"/>
                <w:sz w:val="12"/>
              </w:rPr>
              <w:t>In-Process Developments and Redevelopments</w:t>
            </w:r>
            <w:r>
              <w:rPr>
                <w:rFonts w:ascii="Times New Roman" w:hAnsi="Times New Roman"/>
                <w:color w:val="FFFFFF"/>
                <w:sz w:val="12"/>
              </w:rPr>
              <w:t> </w:t>
            </w:r>
            <w:r>
              <w:rPr>
                <w:rFonts w:ascii="Tahoma;sans-serif" w:hAnsi="Tahoma;sans-serif"/>
                <w:b/>
                <w:color w:val="FFFFFF"/>
                <w:sz w:val="8"/>
              </w:rPr>
              <w:t>(1)</w:t>
            </w:r>
          </w:p>
        </w:tc>
        <w:tc>
          <w:tcPr>
            <w:tcW w:w="847"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632"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499"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069"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833"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908"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877" w:type="dxa"/>
            <w:tcBorders>
              <w:top w:val="single" w:sz="4" w:space="0" w:color="000000"/>
              <w:bottom w:val="single" w:sz="4" w:space="0" w:color="000000"/>
              <w:right w:val="single" w:sz="4" w:space="0" w:color="000000"/>
            </w:tcBorders>
            <w:shd w:fill="808080" w:val="clear"/>
            <w:tcMar>
              <w:left w:w="0" w:type="dxa"/>
            </w:tcMar>
            <w:vAlign w:val="center"/>
          </w:tcPr>
          <w:p>
            <w:pPr>
              <w:pStyle w:val="TableContents"/>
              <w:bidi w:val="0"/>
              <w:spacing w:before="0" w:after="283"/>
              <w:jc w:val="left"/>
              <w:rPr/>
            </w:pPr>
            <w:r>
              <w:rPr/>
              <w:t> </w:t>
            </w:r>
          </w:p>
        </w:tc>
      </w:tr>
      <w:tr>
        <w:trPr/>
        <w:tc>
          <w:tcPr>
            <w:tcW w:w="147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Shopping Center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Market</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Grocer/Anchor Tenant</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Center % Leased</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Project Start</w:t>
            </w:r>
          </w:p>
        </w:tc>
        <w:tc>
          <w:tcPr>
            <w:tcW w:w="1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Est Initial Rent Commencement</w:t>
            </w:r>
            <w:r>
              <w:rPr>
                <w:rFonts w:ascii="Tahoma;sans-serif" w:hAnsi="Tahoma;sans-serif"/>
                <w:b/>
                <w:color w:val="000000"/>
                <w:sz w:val="8"/>
                <w:u w:val="single"/>
              </w:rPr>
              <w:t>(a)</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Est Stabilization Year</w:t>
            </w:r>
            <w:r>
              <w:rPr>
                <w:rFonts w:ascii="Tahoma;sans-serif" w:hAnsi="Tahoma;sans-serif"/>
                <w:b/>
                <w:color w:val="000000"/>
                <w:sz w:val="8"/>
                <w:u w:val="single"/>
              </w:rPr>
              <w:t>(b)</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Net Project Costs</w:t>
            </w:r>
            <w:r>
              <w:rPr>
                <w:rFonts w:ascii="Tahoma;sans-serif" w:hAnsi="Tahoma;sans-serif"/>
                <w:b/>
                <w:color w:val="000000"/>
                <w:sz w:val="8"/>
                <w:u w:val="single"/>
              </w:rPr>
              <w:t>(c)</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 of Costs Incurred</w:t>
            </w:r>
          </w:p>
        </w:tc>
        <w:tc>
          <w:tcPr>
            <w:tcW w:w="87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Stabilized Yield</w:t>
            </w:r>
            <w:r>
              <w:rPr>
                <w:rFonts w:ascii="Tahoma;sans-serif" w:hAnsi="Tahoma;sans-serif"/>
                <w:b/>
                <w:color w:val="000000"/>
                <w:sz w:val="8"/>
                <w:u w:val="single"/>
              </w:rPr>
              <w:t>(d)</w:t>
            </w:r>
          </w:p>
        </w:tc>
      </w:tr>
      <w:tr>
        <w:trPr/>
        <w:tc>
          <w:tcPr>
            <w:tcW w:w="3540" w:type="dxa"/>
            <w:gridSpan w:val="4"/>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Ground-up Developments</w:t>
            </w:r>
          </w:p>
        </w:tc>
        <w:tc>
          <w:tcPr>
            <w:tcW w:w="847"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81%</w:t>
            </w:r>
          </w:p>
        </w:tc>
        <w:tc>
          <w:tcPr>
            <w:tcW w:w="63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right"/>
              <w:rPr>
                <w:rFonts w:ascii="Tahoma;sans-serif" w:hAnsi="Tahoma;sans-serif"/>
                <w:color w:val="808080"/>
                <w:sz w:val="20"/>
              </w:rPr>
            </w:pPr>
            <w:r>
              <w:rPr>
                <w:rFonts w:ascii="Tahoma;sans-serif" w:hAnsi="Tahoma;sans-serif"/>
                <w:color w:val="808080"/>
                <w:sz w:val="20"/>
              </w:rPr>
              <w:t>0</w:t>
            </w:r>
          </w:p>
        </w:tc>
        <w:tc>
          <w:tcPr>
            <w:tcW w:w="1499"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$239M</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58%</w:t>
            </w:r>
          </w:p>
        </w:tc>
        <w:tc>
          <w:tcPr>
            <w:tcW w:w="877"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7% +/-</w:t>
            </w:r>
          </w:p>
        </w:tc>
      </w:tr>
      <w:tr>
        <w:trPr/>
        <w:tc>
          <w:tcPr>
            <w:tcW w:w="147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Baybrook East - Phase 1B</w:t>
            </w:r>
            <w:r>
              <w:rPr>
                <w:rFonts w:ascii="Times New Roman" w:hAnsi="Times New Roman"/>
                <w:color w:val="000000"/>
                <w:sz w:val="12"/>
              </w:rPr>
              <w:t> </w:t>
            </w:r>
            <w:r>
              <w:rPr>
                <w:rFonts w:ascii="Tahoma;sans-serif" w:hAnsi="Tahoma;sans-serif"/>
                <w:color w:val="000000"/>
                <w:sz w:val="8"/>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Houston, TX</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H-E-B</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91%</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Q2-2022</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2H-2023</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$10M</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89%</w:t>
            </w:r>
          </w:p>
        </w:tc>
        <w:tc>
          <w:tcPr>
            <w:tcW w:w="87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 +/-</w:t>
            </w:r>
          </w:p>
        </w:tc>
      </w:tr>
      <w:tr>
        <w:trPr/>
        <w:tc>
          <w:tcPr>
            <w:tcW w:w="1471"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Sienna Grande Shops</w:t>
            </w:r>
            <w:r>
              <w:rPr>
                <w:rFonts w:ascii="Times New Roman" w:hAnsi="Times New Roman"/>
                <w:color w:val="000000"/>
                <w:sz w:val="12"/>
              </w:rPr>
              <w:t> </w:t>
            </w:r>
            <w:r>
              <w:rPr>
                <w:rFonts w:ascii="Tahoma;sans-serif" w:hAnsi="Tahoma;sans-serif"/>
                <w:color w:val="000000"/>
                <w:sz w:val="8"/>
              </w:rPr>
              <w:t>(2)(3)</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1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Houston, TX</w:t>
            </w:r>
          </w:p>
        </w:tc>
        <w:tc>
          <w:tcPr>
            <w:tcW w:w="94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Retail</w:t>
            </w:r>
          </w:p>
        </w:tc>
        <w:tc>
          <w:tcPr>
            <w:tcW w:w="847"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65%</w:t>
            </w:r>
          </w:p>
        </w:tc>
        <w:tc>
          <w:tcPr>
            <w:tcW w:w="63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Q2-2023</w:t>
            </w:r>
          </w:p>
        </w:tc>
        <w:tc>
          <w:tcPr>
            <w:tcW w:w="149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1H-2025</w:t>
            </w:r>
          </w:p>
        </w:tc>
        <w:tc>
          <w:tcPr>
            <w:tcW w:w="106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$9M</w:t>
            </w:r>
          </w:p>
        </w:tc>
        <w:tc>
          <w:tcPr>
            <w:tcW w:w="908"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83%</w:t>
            </w:r>
          </w:p>
        </w:tc>
        <w:tc>
          <w:tcPr>
            <w:tcW w:w="87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 +/-</w:t>
            </w:r>
          </w:p>
        </w:tc>
      </w:tr>
      <w:tr>
        <w:trPr/>
        <w:tc>
          <w:tcPr>
            <w:tcW w:w="147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The Shops at SunVet</w:t>
            </w:r>
            <w:r>
              <w:rPr>
                <w:rFonts w:ascii="Times New Roman" w:hAnsi="Times New Roman"/>
                <w:color w:val="000000"/>
                <w:sz w:val="12"/>
              </w:rPr>
              <w:t> </w:t>
            </w:r>
            <w:r>
              <w:rPr>
                <w:rFonts w:ascii="Tahoma;sans-serif" w:hAnsi="Tahoma;sans-serif"/>
                <w:color w:val="000000"/>
                <w:sz w:val="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Long Island, NY</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74%</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Q2-2023</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2H-2025</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$93M</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67%</w:t>
            </w:r>
          </w:p>
        </w:tc>
        <w:tc>
          <w:tcPr>
            <w:tcW w:w="87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471"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The Shops at Stone Bridge</w:t>
            </w:r>
            <w:r>
              <w:rPr>
                <w:rFonts w:ascii="Times New Roman" w:hAnsi="Times New Roman"/>
                <w:color w:val="000000"/>
                <w:sz w:val="12"/>
              </w:rPr>
              <w:t> </w:t>
            </w:r>
            <w:r>
              <w:rPr>
                <w:rFonts w:ascii="Tahoma;sans-serif" w:hAnsi="Tahoma;sans-serif"/>
                <w:color w:val="000000"/>
                <w:sz w:val="8"/>
              </w:rPr>
              <w:t>(2)</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1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Cheshire, CT</w:t>
            </w:r>
          </w:p>
        </w:tc>
        <w:tc>
          <w:tcPr>
            <w:tcW w:w="94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47"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85%</w:t>
            </w:r>
          </w:p>
        </w:tc>
        <w:tc>
          <w:tcPr>
            <w:tcW w:w="63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Q1-2024</w:t>
            </w:r>
          </w:p>
        </w:tc>
        <w:tc>
          <w:tcPr>
            <w:tcW w:w="149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1H-2026</w:t>
            </w:r>
          </w:p>
        </w:tc>
        <w:tc>
          <w:tcPr>
            <w:tcW w:w="106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$68M</w:t>
            </w:r>
          </w:p>
        </w:tc>
        <w:tc>
          <w:tcPr>
            <w:tcW w:w="908"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57%</w:t>
            </w:r>
          </w:p>
        </w:tc>
        <w:tc>
          <w:tcPr>
            <w:tcW w:w="87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47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Jordan Ranch Market</w:t>
            </w:r>
            <w:r>
              <w:rPr>
                <w:rFonts w:ascii="Times New Roman" w:hAnsi="Times New Roman"/>
                <w:color w:val="000000"/>
                <w:sz w:val="12"/>
              </w:rPr>
              <w:t> </w:t>
            </w:r>
            <w:r>
              <w:rPr>
                <w:rFonts w:ascii="Tahoma;sans-serif" w:hAnsi="Tahoma;sans-serif"/>
                <w:color w:val="000000"/>
                <w:sz w:val="8"/>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Houston, TX</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H-E-B</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83%</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Q3-2024</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1H-2026</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$23M</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w:t>
            </w:r>
          </w:p>
        </w:tc>
        <w:tc>
          <w:tcPr>
            <w:tcW w:w="87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471" w:type="dxa"/>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Oakley Shops at Laurel Fields</w:t>
            </w:r>
            <w:r>
              <w:rPr>
                <w:rFonts w:ascii="Times New Roman" w:hAnsi="Times New Roman"/>
                <w:color w:val="000000"/>
                <w:sz w:val="12"/>
              </w:rPr>
              <w:t> </w:t>
            </w:r>
            <w:r>
              <w:rPr>
                <w:rFonts w:ascii="Tahoma;sans-serif" w:hAnsi="Tahoma;sans-serif"/>
                <w:color w:val="000000"/>
                <w:sz w:val="8"/>
              </w:rPr>
              <w:t>(2)</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Bay Area, CA</w:t>
            </w:r>
          </w:p>
        </w:tc>
        <w:tc>
          <w:tcPr>
            <w:tcW w:w="94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Safeway</w:t>
            </w:r>
          </w:p>
        </w:tc>
        <w:tc>
          <w:tcPr>
            <w:tcW w:w="8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81%</w:t>
            </w:r>
          </w:p>
        </w:tc>
        <w:tc>
          <w:tcPr>
            <w:tcW w:w="6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Q3-2024</w:t>
            </w:r>
          </w:p>
        </w:tc>
        <w:tc>
          <w:tcPr>
            <w:tcW w:w="149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1H-2026</w:t>
            </w:r>
          </w:p>
        </w:tc>
        <w:tc>
          <w:tcPr>
            <w:tcW w:w="106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3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$35M</w:t>
            </w:r>
          </w:p>
        </w:tc>
        <w:tc>
          <w:tcPr>
            <w:tcW w:w="90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w:t>
            </w:r>
          </w:p>
        </w:tc>
        <w:tc>
          <w:tcPr>
            <w:tcW w:w="877"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3540" w:type="dxa"/>
            <w:gridSpan w:val="4"/>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Redevelopments</w:t>
            </w:r>
          </w:p>
        </w:tc>
        <w:tc>
          <w:tcPr>
            <w:tcW w:w="847"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96%</w:t>
            </w:r>
          </w:p>
        </w:tc>
        <w:tc>
          <w:tcPr>
            <w:tcW w:w="63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right"/>
              <w:rPr>
                <w:rFonts w:ascii="Tahoma;sans-serif" w:hAnsi="Tahoma;sans-serif"/>
                <w:color w:val="808080"/>
                <w:sz w:val="20"/>
              </w:rPr>
            </w:pPr>
            <w:r>
              <w:rPr>
                <w:rFonts w:ascii="Tahoma;sans-serif" w:hAnsi="Tahoma;sans-serif"/>
                <w:color w:val="808080"/>
                <w:sz w:val="20"/>
              </w:rPr>
              <w:t>0</w:t>
            </w:r>
          </w:p>
        </w:tc>
        <w:tc>
          <w:tcPr>
            <w:tcW w:w="1499"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$260M</w:t>
            </w:r>
          </w:p>
        </w:tc>
        <w:tc>
          <w:tcPr>
            <w:tcW w:w="90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44%</w:t>
            </w:r>
          </w:p>
        </w:tc>
        <w:tc>
          <w:tcPr>
            <w:tcW w:w="877"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10% +/-</w:t>
            </w:r>
          </w:p>
        </w:tc>
      </w:tr>
      <w:tr>
        <w:trPr/>
        <w:tc>
          <w:tcPr>
            <w:tcW w:w="147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Bloom on Third</w:t>
            </w:r>
            <w:r>
              <w:rPr>
                <w:rFonts w:ascii="Times New Roman" w:hAnsi="Times New Roman"/>
                <w:color w:val="000000"/>
                <w:sz w:val="12"/>
              </w:rPr>
              <w:t> </w:t>
            </w:r>
            <w:r>
              <w:rPr>
                <w:rFonts w:ascii="Tahoma;sans-serif" w:hAnsi="Tahoma;sans-serif"/>
                <w:color w:val="000000"/>
                <w:sz w:val="8"/>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Los Angeles, CA</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Q4-2022</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2H-2026</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$25M</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w:t>
            </w:r>
          </w:p>
        </w:tc>
        <w:tc>
          <w:tcPr>
            <w:tcW w:w="87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 +/-</w:t>
            </w:r>
          </w:p>
        </w:tc>
      </w:tr>
      <w:tr>
        <w:trPr/>
        <w:tc>
          <w:tcPr>
            <w:tcW w:w="1471"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Serramonte Center - Phase 3</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1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San Francisco, CA</w:t>
            </w:r>
          </w:p>
        </w:tc>
        <w:tc>
          <w:tcPr>
            <w:tcW w:w="94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Jagalchi</w:t>
            </w:r>
          </w:p>
        </w:tc>
        <w:tc>
          <w:tcPr>
            <w:tcW w:w="847"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w:t>
            </w:r>
          </w:p>
        </w:tc>
        <w:tc>
          <w:tcPr>
            <w:tcW w:w="63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Q2-2023</w:t>
            </w:r>
          </w:p>
        </w:tc>
        <w:tc>
          <w:tcPr>
            <w:tcW w:w="149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1H-2025</w:t>
            </w:r>
          </w:p>
        </w:tc>
        <w:tc>
          <w:tcPr>
            <w:tcW w:w="106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$37M</w:t>
            </w:r>
          </w:p>
        </w:tc>
        <w:tc>
          <w:tcPr>
            <w:tcW w:w="908"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w:t>
            </w:r>
          </w:p>
        </w:tc>
        <w:tc>
          <w:tcPr>
            <w:tcW w:w="87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 +/-</w:t>
            </w:r>
          </w:p>
        </w:tc>
      </w:tr>
      <w:tr>
        <w:trPr/>
        <w:tc>
          <w:tcPr>
            <w:tcW w:w="147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Circle Marine Shops &amp; Marketplace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Los Angeles, CA</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Sprouts</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89%</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Q3-2023</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2H-2024</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2025</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$15M</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87%</w:t>
            </w:r>
          </w:p>
        </w:tc>
        <w:tc>
          <w:tcPr>
            <w:tcW w:w="87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 +/-</w:t>
            </w:r>
          </w:p>
        </w:tc>
      </w:tr>
      <w:tr>
        <w:trPr/>
        <w:tc>
          <w:tcPr>
            <w:tcW w:w="1471"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Avenida Biscayne</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1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Miami, FL</w:t>
            </w:r>
          </w:p>
        </w:tc>
        <w:tc>
          <w:tcPr>
            <w:tcW w:w="94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Retail</w:t>
            </w:r>
          </w:p>
        </w:tc>
        <w:tc>
          <w:tcPr>
            <w:tcW w:w="847"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75%</w:t>
            </w:r>
          </w:p>
        </w:tc>
        <w:tc>
          <w:tcPr>
            <w:tcW w:w="63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Q4-2023</w:t>
            </w:r>
          </w:p>
        </w:tc>
        <w:tc>
          <w:tcPr>
            <w:tcW w:w="149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1H-2025</w:t>
            </w:r>
          </w:p>
        </w:tc>
        <w:tc>
          <w:tcPr>
            <w:tcW w:w="106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$23M</w:t>
            </w:r>
          </w:p>
        </w:tc>
        <w:tc>
          <w:tcPr>
            <w:tcW w:w="908"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56%</w:t>
            </w:r>
          </w:p>
        </w:tc>
        <w:tc>
          <w:tcPr>
            <w:tcW w:w="87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 +/-</w:t>
            </w:r>
          </w:p>
        </w:tc>
      </w:tr>
      <w:tr>
        <w:trPr/>
        <w:tc>
          <w:tcPr>
            <w:tcW w:w="147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Cambridge Square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Atlanta, GA</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Publix</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Q4-2023</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2H-2025</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$14M</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65%</w:t>
            </w:r>
          </w:p>
        </w:tc>
        <w:tc>
          <w:tcPr>
            <w:tcW w:w="87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471"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Anastasia Plaza</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1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Jacksonville, FL</w:t>
            </w:r>
          </w:p>
        </w:tc>
        <w:tc>
          <w:tcPr>
            <w:tcW w:w="94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Publix</w:t>
            </w:r>
          </w:p>
        </w:tc>
        <w:tc>
          <w:tcPr>
            <w:tcW w:w="847"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w:t>
            </w:r>
          </w:p>
        </w:tc>
        <w:tc>
          <w:tcPr>
            <w:tcW w:w="63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Q3-2024</w:t>
            </w:r>
          </w:p>
        </w:tc>
        <w:tc>
          <w:tcPr>
            <w:tcW w:w="149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2H-2025</w:t>
            </w:r>
          </w:p>
        </w:tc>
        <w:tc>
          <w:tcPr>
            <w:tcW w:w="106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$16M</w:t>
            </w:r>
          </w:p>
        </w:tc>
        <w:tc>
          <w:tcPr>
            <w:tcW w:w="908"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w:t>
            </w:r>
          </w:p>
        </w:tc>
        <w:tc>
          <w:tcPr>
            <w:tcW w:w="87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 +/-</w:t>
            </w:r>
          </w:p>
        </w:tc>
      </w:tr>
      <w:tr>
        <w:trPr/>
        <w:tc>
          <w:tcPr>
            <w:tcW w:w="147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East Meadow Plaza - Phase 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Long Island, NY</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Lidl</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87%</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Q3-2024</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2H-2025</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$12M</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53%</w:t>
            </w:r>
          </w:p>
        </w:tc>
        <w:tc>
          <w:tcPr>
            <w:tcW w:w="87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 +/-</w:t>
            </w:r>
          </w:p>
        </w:tc>
      </w:tr>
      <w:tr>
        <w:trPr/>
        <w:tc>
          <w:tcPr>
            <w:tcW w:w="1471"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West Chester Plaza</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1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Cincinnati, OH</w:t>
            </w:r>
          </w:p>
        </w:tc>
        <w:tc>
          <w:tcPr>
            <w:tcW w:w="94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Kroger</w:t>
            </w:r>
          </w:p>
        </w:tc>
        <w:tc>
          <w:tcPr>
            <w:tcW w:w="847"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w:t>
            </w:r>
          </w:p>
        </w:tc>
        <w:tc>
          <w:tcPr>
            <w:tcW w:w="63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Q4-2024</w:t>
            </w:r>
          </w:p>
        </w:tc>
        <w:tc>
          <w:tcPr>
            <w:tcW w:w="149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2H-2027</w:t>
            </w:r>
          </w:p>
        </w:tc>
        <w:tc>
          <w:tcPr>
            <w:tcW w:w="1069"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2028</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$15M</w:t>
            </w:r>
          </w:p>
        </w:tc>
        <w:tc>
          <w:tcPr>
            <w:tcW w:w="908"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w:t>
            </w:r>
          </w:p>
        </w:tc>
        <w:tc>
          <w:tcPr>
            <w:tcW w:w="87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 +/-</w:t>
            </w:r>
          </w:p>
        </w:tc>
      </w:tr>
      <w:tr>
        <w:trPr/>
        <w:tc>
          <w:tcPr>
            <w:tcW w:w="147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Willows Shopping Center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Bay Area, CA</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Retail</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Q4-2024</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1H-2026</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$17M</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w:t>
            </w:r>
          </w:p>
        </w:tc>
        <w:tc>
          <w:tcPr>
            <w:tcW w:w="87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 +/-</w:t>
            </w:r>
          </w:p>
        </w:tc>
      </w:tr>
      <w:tr>
        <w:trPr/>
        <w:tc>
          <w:tcPr>
            <w:tcW w:w="3540" w:type="dxa"/>
            <w:gridSpan w:val="4"/>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Various Redevelopments (est costs &lt; $10 million individually)</w:t>
            </w:r>
          </w:p>
        </w:tc>
        <w:tc>
          <w:tcPr>
            <w:tcW w:w="8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w:t>
            </w:r>
          </w:p>
        </w:tc>
        <w:tc>
          <w:tcPr>
            <w:tcW w:w="6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149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106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83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$86M</w:t>
            </w:r>
          </w:p>
        </w:tc>
        <w:tc>
          <w:tcPr>
            <w:tcW w:w="90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w:t>
            </w:r>
          </w:p>
        </w:tc>
        <w:tc>
          <w:tcPr>
            <w:tcW w:w="877"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 +/-</w:t>
            </w:r>
          </w:p>
        </w:tc>
      </w:tr>
      <w:tr>
        <w:trPr/>
        <w:tc>
          <w:tcPr>
            <w:tcW w:w="3540" w:type="dxa"/>
            <w:gridSpan w:val="4"/>
            <w:tcBorders>
              <w:left w:val="single" w:sz="4" w:space="0" w:color="000000"/>
              <w:bottom w:val="single" w:sz="4" w:space="0" w:color="000000"/>
            </w:tcBorders>
            <w:shd w:fill="181717"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Total In-Process (In Construction)</w:t>
            </w:r>
          </w:p>
        </w:tc>
        <w:tc>
          <w:tcPr>
            <w:tcW w:w="847"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632"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color w:val="000000"/>
                <w:sz w:val="20"/>
              </w:rPr>
            </w:pPr>
            <w:r>
              <w:rPr>
                <w:rFonts w:ascii="Tahoma;sans-serif" w:hAnsi="Tahoma;sans-serif"/>
                <w:color w:val="000000"/>
                <w:sz w:val="20"/>
              </w:rPr>
              <w:t>0</w:t>
            </w:r>
          </w:p>
        </w:tc>
        <w:tc>
          <w:tcPr>
            <w:tcW w:w="1499"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1069"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833"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$499M</w:t>
            </w:r>
          </w:p>
        </w:tc>
        <w:tc>
          <w:tcPr>
            <w:tcW w:w="908"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51%</w:t>
            </w:r>
          </w:p>
        </w:tc>
        <w:tc>
          <w:tcPr>
            <w:tcW w:w="877" w:type="dxa"/>
            <w:tcBorders>
              <w:bottom w:val="single" w:sz="4" w:space="0" w:color="000000"/>
              <w:right w:val="single" w:sz="4" w:space="0" w:color="000000"/>
            </w:tcBorders>
            <w:shd w:fill="181717"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9%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3"/>
        <w:gridCol w:w="211"/>
        <w:gridCol w:w="751"/>
        <w:gridCol w:w="751"/>
        <w:gridCol w:w="751"/>
        <w:gridCol w:w="751"/>
        <w:gridCol w:w="751"/>
        <w:gridCol w:w="751"/>
        <w:gridCol w:w="751"/>
        <w:gridCol w:w="751"/>
        <w:gridCol w:w="1323"/>
      </w:tblGrid>
      <w:tr>
        <w:trPr/>
        <w:tc>
          <w:tcPr>
            <w:tcW w:w="2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5878" w:type="dxa"/>
            <w:gridSpan w:val="6"/>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In-Process Development and Redevelopment Descriptions</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23"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right"/>
              <w:rPr>
                <w:rFonts w:ascii="Tahoma;sans-serif" w:hAnsi="Tahoma;sans-serif"/>
                <w:b/>
                <w:color w:val="FFFFFF"/>
                <w:sz w:val="20"/>
              </w:rPr>
            </w:pPr>
            <w:r>
              <w:rPr>
                <w:rFonts w:ascii="Tahoma;sans-serif" w:hAnsi="Tahoma;sans-serif"/>
                <w:b/>
                <w:color w:val="FFFFFF"/>
                <w:sz w:val="20"/>
              </w:rPr>
              <w:t>0</w:t>
            </w:r>
          </w:p>
        </w:tc>
      </w:tr>
      <w:tr>
        <w:trPr/>
        <w:tc>
          <w:tcPr>
            <w:tcW w:w="2663"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Ground-up Developments</w:t>
            </w:r>
          </w:p>
        </w:tc>
        <w:tc>
          <w:tcPr>
            <w:tcW w:w="21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right"/>
              <w:rPr>
                <w:rFonts w:ascii="Tahoma;sans-serif" w:hAnsi="Tahoma;sans-serif"/>
                <w:b/>
                <w:color w:val="808080"/>
                <w:sz w:val="20"/>
              </w:rPr>
            </w:pPr>
            <w:r>
              <w:rPr>
                <w:rFonts w:ascii="Tahoma;sans-serif" w:hAnsi="Tahoma;sans-serif"/>
                <w:b/>
                <w:color w:val="808080"/>
                <w:sz w:val="20"/>
              </w:rPr>
              <w:t>0</w:t>
            </w:r>
          </w:p>
        </w:tc>
      </w:tr>
      <w:tr>
        <w:trPr/>
        <w:tc>
          <w:tcPr>
            <w:tcW w:w="2663"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Baybrook East - Phase 1B</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FFFFFF"/>
                <w:sz w:val="20"/>
              </w:rPr>
            </w:pPr>
            <w:r>
              <w:rPr>
                <w:rFonts w:ascii="Tahoma;sans-serif" w:hAnsi="Tahoma;sans-serif"/>
                <w:color w:val="FFFFFF"/>
                <w:sz w:val="20"/>
              </w:rPr>
              <w:t>0</w:t>
            </w:r>
          </w:p>
        </w:tc>
        <w:tc>
          <w:tcPr>
            <w:tcW w:w="733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Phase 1B of a Houston, TX, ground-up development which adds 49K SF of shop space to the already completed H-E-B phase, totaling 155K SF.</w:t>
            </w:r>
          </w:p>
        </w:tc>
      </w:tr>
      <w:tr>
        <w:trPr/>
        <w:tc>
          <w:tcPr>
            <w:tcW w:w="2663"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Sienna Grande Shops</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D9D9D9"/>
                <w:sz w:val="20"/>
              </w:rPr>
            </w:pPr>
            <w:r>
              <w:rPr>
                <w:rFonts w:ascii="Tahoma;sans-serif" w:hAnsi="Tahoma;sans-serif"/>
                <w:color w:val="D9D9D9"/>
                <w:sz w:val="20"/>
              </w:rPr>
              <w:t>0</w:t>
            </w:r>
          </w:p>
        </w:tc>
        <w:tc>
          <w:tcPr>
            <w:tcW w:w="733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Phase 1 features approximately 30K SF of shop space and outparcels in a master-planned development outside of Houston, TX, ranked among the top-selling communities nationally.</w:t>
            </w:r>
          </w:p>
        </w:tc>
      </w:tr>
      <w:tr>
        <w:trPr/>
        <w:tc>
          <w:tcPr>
            <w:tcW w:w="2663"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Shops at SunVet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FFFFFF"/>
                <w:sz w:val="20"/>
              </w:rPr>
            </w:pPr>
            <w:r>
              <w:rPr>
                <w:rFonts w:ascii="Tahoma;sans-serif" w:hAnsi="Tahoma;sans-serif"/>
                <w:color w:val="FFFFFF"/>
                <w:sz w:val="20"/>
              </w:rPr>
              <w:t>0</w:t>
            </w:r>
          </w:p>
        </w:tc>
        <w:tc>
          <w:tcPr>
            <w:tcW w:w="733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in Long Island, NY, the project will transform a vacant enclosed mall into a 170K SF open-air center featuring Whole Foods, junior anchors, shop space, and outparcels.</w:t>
            </w:r>
          </w:p>
        </w:tc>
      </w:tr>
      <w:tr>
        <w:trPr/>
        <w:tc>
          <w:tcPr>
            <w:tcW w:w="2663"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Shops at Stone Bridge</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D9D9D9"/>
                <w:sz w:val="20"/>
              </w:rPr>
            </w:pPr>
            <w:r>
              <w:rPr>
                <w:rFonts w:ascii="Tahoma;sans-serif" w:hAnsi="Tahoma;sans-serif"/>
                <w:color w:val="D9D9D9"/>
                <w:sz w:val="20"/>
              </w:rPr>
              <w:t>0</w:t>
            </w:r>
          </w:p>
        </w:tc>
        <w:tc>
          <w:tcPr>
            <w:tcW w:w="733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 155K SF development anchored by a 40K SF Whole Foods, junior anchors, shop space, and outparcels located in the Stone Bridge Crossing master planned community in Cheshire, CT.</w:t>
            </w:r>
          </w:p>
        </w:tc>
      </w:tr>
      <w:tr>
        <w:trPr/>
        <w:tc>
          <w:tcPr>
            <w:tcW w:w="2663"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Jordan Ranch Market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FFFFFF"/>
                <w:sz w:val="20"/>
              </w:rPr>
            </w:pPr>
            <w:r>
              <w:rPr>
                <w:rFonts w:ascii="Tahoma;sans-serif" w:hAnsi="Tahoma;sans-serif"/>
                <w:color w:val="FFFFFF"/>
                <w:sz w:val="20"/>
              </w:rPr>
              <w:t>0</w:t>
            </w:r>
          </w:p>
        </w:tc>
        <w:tc>
          <w:tcPr>
            <w:tcW w:w="733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outside of Houston, TX, within the Jordan Ranch master planned community, the 162K development will feature the market-leading grocer, H-E-B, plus 40K SF of shop space.</w:t>
            </w:r>
          </w:p>
        </w:tc>
      </w:tr>
      <w:tr>
        <w:trPr/>
        <w:tc>
          <w:tcPr>
            <w:tcW w:w="2663" w:type="dxa"/>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Oakley Shops at Laurel Fields</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Tahoma;sans-serif" w:hAnsi="Tahoma;sans-serif"/>
                <w:color w:val="D9D9D9"/>
                <w:sz w:val="20"/>
              </w:rPr>
            </w:pPr>
            <w:r>
              <w:rPr>
                <w:rFonts w:ascii="Tahoma;sans-serif" w:hAnsi="Tahoma;sans-serif"/>
                <w:color w:val="D9D9D9"/>
                <w:sz w:val="20"/>
              </w:rPr>
              <w:t>0</w:t>
            </w:r>
          </w:p>
        </w:tc>
        <w:tc>
          <w:tcPr>
            <w:tcW w:w="7331" w:type="dxa"/>
            <w:gridSpan w:val="9"/>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in the Bay Area, the 78K SF development of a traditional neighborhood center will include a 55K SF Safeway grocer and 23K SF of shop space.</w:t>
            </w:r>
          </w:p>
        </w:tc>
      </w:tr>
      <w:tr>
        <w:trPr/>
        <w:tc>
          <w:tcPr>
            <w:tcW w:w="2663"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Redevelopments</w:t>
            </w:r>
          </w:p>
        </w:tc>
        <w:tc>
          <w:tcPr>
            <w:tcW w:w="21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right"/>
              <w:rPr>
                <w:rFonts w:ascii="Tahoma;sans-serif" w:hAnsi="Tahoma;sans-serif"/>
                <w:b/>
                <w:color w:val="808080"/>
                <w:sz w:val="20"/>
              </w:rPr>
            </w:pPr>
            <w:r>
              <w:rPr>
                <w:rFonts w:ascii="Tahoma;sans-serif" w:hAnsi="Tahoma;sans-serif"/>
                <w:b/>
                <w:color w:val="808080"/>
                <w:sz w:val="20"/>
              </w:rPr>
              <w:t>0</w:t>
            </w:r>
          </w:p>
        </w:tc>
      </w:tr>
      <w:tr>
        <w:trPr/>
        <w:tc>
          <w:tcPr>
            <w:tcW w:w="2663"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Bloom on Third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FFFFFF"/>
                <w:sz w:val="20"/>
              </w:rPr>
            </w:pPr>
            <w:r>
              <w:rPr>
                <w:rFonts w:ascii="Tahoma;sans-serif" w:hAnsi="Tahoma;sans-serif"/>
                <w:color w:val="FFFFFF"/>
                <w:sz w:val="20"/>
              </w:rPr>
              <w:t>0</w:t>
            </w:r>
          </w:p>
        </w:tc>
        <w:tc>
          <w:tcPr>
            <w:tcW w:w="733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in Los Angeles, CA, which includes new retail space and a ground lease for mid-rise luxury apartments constructed and operated by a leading multifamily developer.</w:t>
            </w:r>
          </w:p>
        </w:tc>
      </w:tr>
      <w:tr>
        <w:trPr/>
        <w:tc>
          <w:tcPr>
            <w:tcW w:w="2663"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Serramonte Center - Phase 3</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D9D9D9"/>
                <w:sz w:val="20"/>
              </w:rPr>
            </w:pPr>
            <w:r>
              <w:rPr>
                <w:rFonts w:ascii="Tahoma;sans-serif" w:hAnsi="Tahoma;sans-serif"/>
                <w:color w:val="D9D9D9"/>
                <w:sz w:val="20"/>
              </w:rPr>
              <w:t>0</w:t>
            </w:r>
          </w:p>
        </w:tc>
        <w:tc>
          <w:tcPr>
            <w:tcW w:w="733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Former J.C. Penney box and two exterior pads. The former J.C. Penney box will feature Jagalchi, a leading Asian grocer with locations in South Korea, China, and the US.</w:t>
            </w:r>
          </w:p>
        </w:tc>
      </w:tr>
      <w:tr>
        <w:trPr/>
        <w:tc>
          <w:tcPr>
            <w:tcW w:w="2663"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Circle Marine Shops &amp; Marketplace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FFFFFF"/>
                <w:sz w:val="20"/>
              </w:rPr>
            </w:pPr>
            <w:r>
              <w:rPr>
                <w:rFonts w:ascii="Tahoma;sans-serif" w:hAnsi="Tahoma;sans-serif"/>
                <w:color w:val="FFFFFF"/>
                <w:sz w:val="20"/>
              </w:rPr>
              <w:t>0</w:t>
            </w:r>
          </w:p>
        </w:tc>
        <w:tc>
          <w:tcPr>
            <w:tcW w:w="733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Acquired in 2019 with the intention of redevelopment, the project includes a 23K SF prototype for Sprouts Farmers Market, reconfigured shop space, and extensive site improvements.</w:t>
            </w:r>
          </w:p>
        </w:tc>
      </w:tr>
      <w:tr>
        <w:trPr/>
        <w:tc>
          <w:tcPr>
            <w:tcW w:w="2663"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Avenida Biscayne</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D9D9D9"/>
                <w:sz w:val="20"/>
              </w:rPr>
            </w:pPr>
            <w:r>
              <w:rPr>
                <w:rFonts w:ascii="Tahoma;sans-serif" w:hAnsi="Tahoma;sans-serif"/>
                <w:color w:val="D9D9D9"/>
                <w:sz w:val="20"/>
              </w:rPr>
              <w:t>0</w:t>
            </w:r>
          </w:p>
        </w:tc>
        <w:tc>
          <w:tcPr>
            <w:tcW w:w="733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 boutique retail project in Aventura, FL, that includes transformation of the property into three separate retail buildings, featuring first-class shop space and restaurants.</w:t>
            </w:r>
          </w:p>
        </w:tc>
      </w:tr>
      <w:tr>
        <w:trPr/>
        <w:tc>
          <w:tcPr>
            <w:tcW w:w="2663"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Cambridge Square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FFFFFF"/>
                <w:sz w:val="20"/>
              </w:rPr>
            </w:pPr>
            <w:r>
              <w:rPr>
                <w:rFonts w:ascii="Tahoma;sans-serif" w:hAnsi="Tahoma;sans-serif"/>
                <w:color w:val="FFFFFF"/>
                <w:sz w:val="20"/>
              </w:rPr>
              <w:t>0</w:t>
            </w:r>
          </w:p>
        </w:tc>
        <w:tc>
          <w:tcPr>
            <w:tcW w:w="733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Transformational redevelopment adding a best-in-class grocer and featuring extensive improvement to the site and existing facades.</w:t>
            </w:r>
          </w:p>
        </w:tc>
      </w:tr>
      <w:tr>
        <w:trPr/>
        <w:tc>
          <w:tcPr>
            <w:tcW w:w="2663"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Anastasia Plaza</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D9D9D9"/>
                <w:sz w:val="20"/>
              </w:rPr>
            </w:pPr>
            <w:r>
              <w:rPr>
                <w:rFonts w:ascii="Tahoma;sans-serif" w:hAnsi="Tahoma;sans-serif"/>
                <w:color w:val="D9D9D9"/>
                <w:sz w:val="20"/>
              </w:rPr>
              <w:t>0</w:t>
            </w:r>
          </w:p>
        </w:tc>
        <w:tc>
          <w:tcPr>
            <w:tcW w:w="733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to include a complete rebuild of the grocer box, anchored by a 58K SF Publix and 45K SF of shop space, plus extensive improvements to the site and existing facades.</w:t>
            </w:r>
          </w:p>
        </w:tc>
      </w:tr>
      <w:tr>
        <w:trPr/>
        <w:tc>
          <w:tcPr>
            <w:tcW w:w="2663"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East Meadow Plaza - Phase 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FFFFFF"/>
                <w:sz w:val="20"/>
              </w:rPr>
            </w:pPr>
            <w:r>
              <w:rPr>
                <w:rFonts w:ascii="Tahoma;sans-serif" w:hAnsi="Tahoma;sans-serif"/>
                <w:color w:val="FFFFFF"/>
                <w:sz w:val="20"/>
              </w:rPr>
              <w:t>0</w:t>
            </w:r>
          </w:p>
        </w:tc>
        <w:tc>
          <w:tcPr>
            <w:tcW w:w="733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Acquired in 2022 with the intention of redevelopment. Phase 1 includes various site improvements, complete facade renovation, and reconfigured space for leading retailers.</w:t>
            </w:r>
          </w:p>
        </w:tc>
      </w:tr>
      <w:tr>
        <w:trPr/>
        <w:tc>
          <w:tcPr>
            <w:tcW w:w="2663"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West Chester Plaza</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D9D9D9"/>
                <w:sz w:val="20"/>
              </w:rPr>
            </w:pPr>
            <w:r>
              <w:rPr>
                <w:rFonts w:ascii="Tahoma;sans-serif" w:hAnsi="Tahoma;sans-serif"/>
                <w:color w:val="D9D9D9"/>
                <w:sz w:val="20"/>
              </w:rPr>
              <w:t>0</w:t>
            </w:r>
          </w:p>
        </w:tc>
        <w:tc>
          <w:tcPr>
            <w:tcW w:w="7331"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includes a new 123K SF Kroger and multiple shop buildings. The project will be staggered to accommodate continuous operation of Kroger in its existing location.</w:t>
            </w:r>
          </w:p>
        </w:tc>
      </w:tr>
      <w:tr>
        <w:trPr/>
        <w:tc>
          <w:tcPr>
            <w:tcW w:w="2663"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Willows Shopping Center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FFFFFF"/>
                <w:sz w:val="20"/>
              </w:rPr>
            </w:pPr>
            <w:r>
              <w:rPr>
                <w:rFonts w:ascii="Tahoma;sans-serif" w:hAnsi="Tahoma;sans-serif"/>
                <w:color w:val="FFFFFF"/>
                <w:sz w:val="20"/>
              </w:rPr>
              <w:t>0</w:t>
            </w:r>
          </w:p>
        </w:tc>
        <w:tc>
          <w:tcPr>
            <w:tcW w:w="7331"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will revitalize the existing shopping center and include extensive site reconfiguration, construction of a new 14k SF building, and enhanced façades.</w:t>
            </w:r>
          </w:p>
        </w:tc>
      </w:tr>
      <w:tr>
        <w:trPr/>
        <w:tc>
          <w:tcPr>
            <w:tcW w:w="2663" w:type="dxa"/>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Various Redevelopments (est costs &lt; $10 million individually)</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Tahoma;sans-serif" w:hAnsi="Tahoma;sans-serif"/>
                <w:color w:val="D9D9D9"/>
                <w:sz w:val="20"/>
              </w:rPr>
            </w:pPr>
            <w:r>
              <w:rPr>
                <w:rFonts w:ascii="Tahoma;sans-serif" w:hAnsi="Tahoma;sans-serif"/>
                <w:color w:val="D9D9D9"/>
                <w:sz w:val="20"/>
              </w:rPr>
              <w:t>0</w:t>
            </w:r>
          </w:p>
        </w:tc>
        <w:tc>
          <w:tcPr>
            <w:tcW w:w="7331" w:type="dxa"/>
            <w:gridSpan w:val="9"/>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Various Redevelopment properties where estimated incremental costs at each project are less than $10 million.</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3"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See page 18 for footnotes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 w:after="283"/>
        <w:jc w:val="both"/>
        <w:rPr/>
      </w:pPr>
      <w:r>
        <w:rPr/>
        <w:t> </w:t>
      </w:r>
    </w:p>
    <w:p>
      <w:pPr>
        <w:pStyle w:val="TextBody"/>
        <w:bidi w:val="0"/>
        <w:jc w:val="right"/>
        <w:rPr/>
      </w:pPr>
      <w:r>
        <w:rPr/>
        <w:drawing>
          <wp:inline distT="0" distB="0" distL="0" distR="0">
            <wp:extent cx="466725" cy="2476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17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6" w:name="devredevcompletions"/>
      <w:bookmarkEnd w:id="26"/>
      <w:r>
        <w:rPr>
          <w:rFonts w:ascii="Tahoma;sans-serif" w:hAnsi="Tahoma;sans-serif"/>
          <w:b/>
          <w:color w:val="000000"/>
          <w:sz w:val="20"/>
        </w:rPr>
        <w:t>Development and Redevelopment Current Year Completions</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34"/>
        <w:gridCol w:w="1013"/>
        <w:gridCol w:w="752"/>
        <w:gridCol w:w="1814"/>
        <w:gridCol w:w="1267"/>
        <w:gridCol w:w="1019"/>
        <w:gridCol w:w="1083"/>
        <w:gridCol w:w="1023"/>
      </w:tblGrid>
      <w:tr>
        <w:trPr/>
        <w:tc>
          <w:tcPr>
            <w:tcW w:w="223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10205" w:type="dxa"/>
            <w:gridSpan w:val="8"/>
            <w:tcBorders>
              <w:top w:val="single" w:sz="4" w:space="0" w:color="000000"/>
              <w:left w:val="single" w:sz="4" w:space="0" w:color="000000"/>
              <w:bottom w:val="single" w:sz="4" w:space="0" w:color="000000"/>
              <w:right w:val="single" w:sz="4" w:space="0" w:color="000000"/>
            </w:tcBorders>
            <w:shd w:fill="808080" w:val="clear"/>
            <w:vAlign w:val="center"/>
          </w:tcPr>
          <w:p>
            <w:pPr>
              <w:pStyle w:val="TableContents"/>
              <w:bidi w:val="0"/>
              <w:spacing w:before="0" w:after="283"/>
              <w:jc w:val="left"/>
              <w:rPr>
                <w:rFonts w:ascii="Tahoma;sans-serif" w:hAnsi="Tahoma;sans-serif"/>
                <w:b/>
                <w:color w:val="FFFFFF"/>
                <w:sz w:val="14"/>
              </w:rPr>
            </w:pPr>
            <w:r>
              <w:rPr>
                <w:rFonts w:ascii="Tahoma;sans-serif" w:hAnsi="Tahoma;sans-serif"/>
                <w:b/>
                <w:color w:val="FFFFFF"/>
                <w:sz w:val="14"/>
              </w:rPr>
              <w:t>Current Year Development and Redevelopment Completions</w:t>
            </w:r>
          </w:p>
        </w:tc>
      </w:tr>
      <w:tr>
        <w:trPr/>
        <w:tc>
          <w:tcPr>
            <w:tcW w:w="223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Shopping Center</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Market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Project Start</w:t>
            </w:r>
          </w:p>
        </w:tc>
        <w:tc>
          <w:tcPr>
            <w:tcW w:w="18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ahoma;sans-serif" w:hAnsi="Tahoma;sans-serif"/>
                <w:b/>
                <w:color w:val="000000"/>
                <w:sz w:val="14"/>
                <w:u w:val="single"/>
              </w:rPr>
              <w:t>Est Initial Rent Commencement</w:t>
            </w:r>
            <w:r>
              <w:rPr>
                <w:rFonts w:ascii="Tahoma;sans-serif" w:hAnsi="Tahoma;sans-serif"/>
                <w:b/>
                <w:color w:val="000000"/>
                <w:sz w:val="9"/>
                <w:u w:val="single"/>
              </w:rPr>
              <w:t>(a)</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ahoma;sans-serif" w:hAnsi="Tahoma;sans-serif"/>
                <w:b/>
                <w:color w:val="000000"/>
                <w:sz w:val="14"/>
                <w:u w:val="single"/>
              </w:rPr>
              <w:t>Est Stabilization Year</w:t>
            </w:r>
            <w:r>
              <w:rPr>
                <w:rFonts w:ascii="Tahoma;sans-serif" w:hAnsi="Tahoma;sans-serif"/>
                <w:b/>
                <w:color w:val="000000"/>
                <w:sz w:val="9"/>
                <w:u w:val="single"/>
              </w:rPr>
              <w:t>(b)</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ahoma;sans-serif" w:hAnsi="Tahoma;sans-serif"/>
                <w:b/>
                <w:color w:val="000000"/>
                <w:sz w:val="14"/>
                <w:u w:val="single"/>
              </w:rPr>
              <w:t>Net Project Costs</w:t>
            </w:r>
            <w:r>
              <w:rPr>
                <w:rFonts w:ascii="Tahoma;sans-serif" w:hAnsi="Tahoma;sans-serif"/>
                <w:b/>
                <w:color w:val="000000"/>
                <w:sz w:val="9"/>
                <w:u w:val="single"/>
              </w:rPr>
              <w:t>(c)</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 of Costs Incurred</w:t>
            </w:r>
          </w:p>
        </w:tc>
        <w:tc>
          <w:tcPr>
            <w:tcW w:w="102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sz w:val="14"/>
              </w:rPr>
            </w:pPr>
            <w:r>
              <w:rPr>
                <w:rFonts w:ascii="Tahoma;sans-serif" w:hAnsi="Tahoma;sans-serif"/>
                <w:b/>
                <w:color w:val="000000"/>
                <w:sz w:val="14"/>
                <w:u w:val="single"/>
              </w:rPr>
              <w:t>Stabilized Yield</w:t>
            </w:r>
            <w:r>
              <w:rPr>
                <w:rFonts w:ascii="Tahoma;sans-serif" w:hAnsi="Tahoma;sans-serif"/>
                <w:b/>
                <w:color w:val="000000"/>
                <w:sz w:val="9"/>
                <w:u w:val="single"/>
              </w:rPr>
              <w:t>(d)</w:t>
            </w:r>
          </w:p>
        </w:tc>
      </w:tr>
      <w:tr>
        <w:trPr/>
        <w:tc>
          <w:tcPr>
            <w:tcW w:w="2234" w:type="dxa"/>
            <w:tcBorders>
              <w:top w:val="single" w:sz="4" w:space="0" w:color="000000"/>
              <w:left w:val="single" w:sz="4" w:space="0" w:color="000000"/>
              <w:bottom w:val="single" w:sz="4" w:space="0" w:color="000000"/>
            </w:tcBorders>
            <w:shd w:fill="808080" w:val="clear"/>
            <w:tcMar>
              <w:right w:w="0" w:type="dxa"/>
            </w:tcMar>
            <w:vAlign w:val="center"/>
          </w:tcPr>
          <w:p>
            <w:pPr>
              <w:pStyle w:val="TableContents"/>
              <w:bidi w:val="0"/>
              <w:spacing w:before="0" w:after="283"/>
              <w:jc w:val="left"/>
              <w:rPr>
                <w:rFonts w:ascii="Tahoma;sans-serif" w:hAnsi="Tahoma;sans-serif"/>
                <w:b/>
                <w:color w:val="FFFFFF"/>
                <w:sz w:val="14"/>
              </w:rPr>
            </w:pPr>
            <w:r>
              <w:rPr>
                <w:rFonts w:ascii="Tahoma;sans-serif" w:hAnsi="Tahoma;sans-serif"/>
                <w:b/>
                <w:color w:val="FFFFFF"/>
                <w:sz w:val="14"/>
              </w:rPr>
              <w:t>Redevelopments</w:t>
            </w:r>
          </w:p>
        </w:tc>
        <w:tc>
          <w:tcPr>
            <w:tcW w:w="1013"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814"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267"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019"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$5M</w:t>
            </w:r>
          </w:p>
        </w:tc>
        <w:tc>
          <w:tcPr>
            <w:tcW w:w="1083"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93%</w:t>
            </w:r>
          </w:p>
        </w:tc>
        <w:tc>
          <w:tcPr>
            <w:tcW w:w="1023" w:type="dxa"/>
            <w:tcBorders>
              <w:top w:val="single" w:sz="4" w:space="0" w:color="000000"/>
              <w:bottom w:val="single" w:sz="4" w:space="0" w:color="000000"/>
              <w:right w:val="single" w:sz="4" w:space="0" w:color="000000"/>
            </w:tcBorders>
            <w:shd w:fill="808080" w:val="clear"/>
            <w:tcMar>
              <w:lef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53% +/-</w:t>
            </w:r>
          </w:p>
        </w:tc>
      </w:tr>
      <w:tr>
        <w:trPr/>
        <w:tc>
          <w:tcPr>
            <w:tcW w:w="3247" w:type="dxa"/>
            <w:gridSpan w:val="2"/>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Redevelopment Completion (est costs &lt; $10 million individually)</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$5M</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w:t>
            </w:r>
          </w:p>
        </w:tc>
        <w:tc>
          <w:tcPr>
            <w:tcW w:w="102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 +/-</w:t>
            </w:r>
          </w:p>
        </w:tc>
      </w:tr>
      <w:tr>
        <w:trPr/>
        <w:tc>
          <w:tcPr>
            <w:tcW w:w="3247" w:type="dxa"/>
            <w:gridSpan w:val="2"/>
            <w:tcBorders>
              <w:top w:val="single" w:sz="4" w:space="0" w:color="000000"/>
              <w:left w:val="single" w:sz="4" w:space="0" w:color="000000"/>
              <w:bottom w:val="single" w:sz="4" w:space="0" w:color="000000"/>
            </w:tcBorders>
            <w:shd w:fill="181717" w:val="clear"/>
            <w:tcMar>
              <w:right w:w="0" w:type="dxa"/>
            </w:tcMar>
            <w:vAlign w:val="center"/>
          </w:tcPr>
          <w:p>
            <w:pPr>
              <w:pStyle w:val="TableContents"/>
              <w:bidi w:val="0"/>
              <w:spacing w:before="0" w:after="283"/>
              <w:jc w:val="left"/>
              <w:rPr>
                <w:rFonts w:ascii="Tahoma;sans-serif" w:hAnsi="Tahoma;sans-serif"/>
                <w:b/>
                <w:color w:val="FFFFFF"/>
                <w:sz w:val="14"/>
              </w:rPr>
            </w:pPr>
            <w:r>
              <w:rPr>
                <w:rFonts w:ascii="Tahoma;sans-serif" w:hAnsi="Tahoma;sans-serif"/>
                <w:b/>
                <w:color w:val="FFFFFF"/>
                <w:sz w:val="14"/>
              </w:rPr>
              <w:t>Total Completions</w:t>
            </w:r>
          </w:p>
        </w:tc>
        <w:tc>
          <w:tcPr>
            <w:tcW w:w="752"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pPr>
            <w:r>
              <w:rPr/>
              <w:t> </w:t>
            </w:r>
          </w:p>
        </w:tc>
        <w:tc>
          <w:tcPr>
            <w:tcW w:w="1814"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pPr>
            <w:r>
              <w:rPr/>
              <w:t> </w:t>
            </w:r>
          </w:p>
        </w:tc>
        <w:tc>
          <w:tcPr>
            <w:tcW w:w="1267"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pPr>
            <w:r>
              <w:rPr/>
              <w:t> </w:t>
            </w:r>
          </w:p>
        </w:tc>
        <w:tc>
          <w:tcPr>
            <w:tcW w:w="1019"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$5M</w:t>
            </w:r>
          </w:p>
        </w:tc>
        <w:tc>
          <w:tcPr>
            <w:tcW w:w="1083" w:type="dxa"/>
            <w:tcBorders>
              <w:top w:val="single" w:sz="4" w:space="0" w:color="000000"/>
              <w:bottom w:val="single" w:sz="4" w:space="0" w:color="000000"/>
            </w:tcBorders>
            <w:shd w:fill="181717" w:val="clear"/>
            <w:tcMar>
              <w:left w:w="0" w:type="dxa"/>
              <w:righ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93%</w:t>
            </w:r>
          </w:p>
        </w:tc>
        <w:tc>
          <w:tcPr>
            <w:tcW w:w="1023" w:type="dxa"/>
            <w:tcBorders>
              <w:top w:val="single" w:sz="4" w:space="0" w:color="000000"/>
              <w:bottom w:val="single" w:sz="4" w:space="0" w:color="000000"/>
              <w:right w:val="single" w:sz="4" w:space="0" w:color="000000"/>
            </w:tcBorders>
            <w:shd w:fill="181717" w:val="clear"/>
            <w:tcMar>
              <w:left w:w="0" w:type="dxa"/>
            </w:tcMar>
            <w:vAlign w:val="center"/>
          </w:tcPr>
          <w:p>
            <w:pPr>
              <w:pStyle w:val="TableContents"/>
              <w:bidi w:val="0"/>
              <w:spacing w:before="0" w:after="283"/>
              <w:jc w:val="center"/>
              <w:rPr>
                <w:rFonts w:ascii="Tahoma;sans-serif" w:hAnsi="Tahoma;sans-serif"/>
                <w:b/>
                <w:color w:val="FFFFFF"/>
                <w:sz w:val="14"/>
              </w:rPr>
            </w:pPr>
            <w:r>
              <w:rPr>
                <w:rFonts w:ascii="Tahoma;sans-serif" w:hAnsi="Tahoma;sans-serif"/>
                <w:b/>
                <w:color w:val="FFFFFF"/>
                <w:sz w:val="14"/>
              </w:rPr>
              <w:t>53% +/-</w:t>
            </w:r>
          </w:p>
        </w:tc>
      </w:tr>
    </w:tbl>
    <w:p>
      <w:pPr>
        <w:pStyle w:val="TextBody"/>
        <w:bidi w:val="0"/>
        <w:spacing w:before="120" w:after="283"/>
        <w:jc w:val="left"/>
        <w:rPr>
          <w:rFonts w:ascii="Tahoma" w:hAnsi="Tahoma"/>
          <w:color w:val="000000"/>
          <w:sz w:val="14"/>
        </w:rPr>
      </w:pPr>
      <w:r>
        <w:rPr>
          <w:rFonts w:ascii="Tahoma" w:hAnsi="Tahoma"/>
          <w:color w:val="000000"/>
          <w:sz w:val="14"/>
        </w:rPr>
        <w:t>(a)</w:t>
      </w:r>
    </w:p>
    <w:p>
      <w:pPr>
        <w:pStyle w:val="TextBody"/>
        <w:bidi w:val="0"/>
        <w:spacing w:before="120" w:after="283"/>
        <w:jc w:val="left"/>
        <w:rPr>
          <w:rFonts w:ascii="Tahoma;sans-serif" w:hAnsi="Tahoma;sans-serif"/>
          <w:color w:val="000000"/>
          <w:sz w:val="14"/>
        </w:rPr>
      </w:pPr>
      <w:r>
        <w:rPr>
          <w:rFonts w:ascii="Tahoma;sans-serif" w:hAnsi="Tahoma;sans-serif"/>
          <w:color w:val="000000"/>
          <w:sz w:val="14"/>
        </w:rPr>
        <w:t>Estimated Initial Rent Commencement represents the estimated date that the anchor or first tenants at each project will rent commence.</w:t>
      </w:r>
    </w:p>
    <w:p>
      <w:pPr>
        <w:pStyle w:val="TextBody"/>
        <w:bidi w:val="0"/>
        <w:spacing w:before="20" w:after="283"/>
        <w:jc w:val="left"/>
        <w:rPr>
          <w:rFonts w:ascii="Tahoma" w:hAnsi="Tahoma"/>
          <w:color w:val="000000"/>
          <w:sz w:val="14"/>
        </w:rPr>
      </w:pPr>
      <w:r>
        <w:rPr>
          <w:rFonts w:ascii="Tahoma" w:hAnsi="Tahoma"/>
          <w:color w:val="000000"/>
          <w:sz w:val="14"/>
        </w:rPr>
        <w:t>(b)</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Estimated Stabilization Year represents the estimated year that the project will reach the stated stabilized yield on an annualized basis.</w:t>
      </w:r>
    </w:p>
    <w:p>
      <w:pPr>
        <w:pStyle w:val="TextBody"/>
        <w:bidi w:val="0"/>
        <w:spacing w:before="20" w:after="283"/>
        <w:jc w:val="left"/>
        <w:rPr>
          <w:rFonts w:ascii="Tahoma" w:hAnsi="Tahoma"/>
          <w:color w:val="000000"/>
          <w:sz w:val="14"/>
        </w:rPr>
      </w:pPr>
      <w:r>
        <w:rPr>
          <w:rFonts w:ascii="Tahoma" w:hAnsi="Tahoma"/>
          <w:color w:val="000000"/>
          <w:sz w:val="14"/>
        </w:rPr>
        <w:t>(c)</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Represents Regency's pro-rata share of net project costs.</w:t>
      </w:r>
    </w:p>
    <w:p>
      <w:pPr>
        <w:pStyle w:val="TextBody"/>
        <w:bidi w:val="0"/>
        <w:spacing w:before="20" w:after="283"/>
        <w:jc w:val="left"/>
        <w:rPr>
          <w:rFonts w:ascii="Tahoma" w:hAnsi="Tahoma"/>
          <w:color w:val="000000"/>
          <w:sz w:val="14"/>
        </w:rPr>
      </w:pPr>
      <w:r>
        <w:rPr>
          <w:rFonts w:ascii="Tahoma" w:hAnsi="Tahoma"/>
          <w:color w:val="000000"/>
          <w:sz w:val="14"/>
        </w:rPr>
        <w:t>(d)</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A stabilized yield for a redevelopment property represents the incremental NOI (estimated stabilized NOI less NOI prior to project commencement) divided by the total project costs.</w:t>
      </w:r>
    </w:p>
    <w:p>
      <w:pPr>
        <w:pStyle w:val="TextBody"/>
        <w:bidi w:val="0"/>
        <w:jc w:val="both"/>
        <w:rPr/>
      </w:pPr>
      <w:r>
        <w:rPr/>
        <w:t> </w:t>
      </w:r>
    </w:p>
    <w:p>
      <w:pPr>
        <w:pStyle w:val="TextBody"/>
        <w:bidi w:val="0"/>
        <w:spacing w:before="60" w:after="283"/>
        <w:jc w:val="left"/>
        <w:rPr>
          <w:rFonts w:ascii="Tahoma" w:hAnsi="Tahoma"/>
          <w:color w:val="000000"/>
          <w:sz w:val="14"/>
        </w:rPr>
      </w:pPr>
      <w:r>
        <w:rPr>
          <w:rFonts w:ascii="Tahoma" w:hAnsi="Tahoma"/>
          <w:color w:val="000000"/>
          <w:sz w:val="14"/>
        </w:rPr>
        <w:t>(1)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Scope, economics and timing of development and redevelopment projects can change materially from estimates provided.</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Ground-up development or redevelopment that is excluded from the Same Property NOI pool.</w:t>
      </w:r>
    </w:p>
    <w:p>
      <w:pPr>
        <w:pStyle w:val="TextBody"/>
        <w:bidi w:val="0"/>
        <w:spacing w:before="20" w:after="283"/>
        <w:jc w:val="left"/>
        <w:rPr>
          <w:rFonts w:ascii="Tahoma" w:hAnsi="Tahoma"/>
          <w:color w:val="000000"/>
          <w:sz w:val="14"/>
        </w:rPr>
      </w:pPr>
      <w:r>
        <w:rPr>
          <w:rFonts w:ascii="Tahoma" w:hAnsi="Tahoma"/>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Estimated costs represent Regency's pro-rata share: Baybrook East (50%); Sienna Grande Shops (75%); Jordan Ranch Market (50%); and Bloom on Third (35%)</w:t>
      </w:r>
    </w:p>
    <w:p>
      <w:pPr>
        <w:pStyle w:val="TextBody"/>
        <w:bidi w:val="0"/>
        <w:spacing w:before="20" w:after="283"/>
        <w:jc w:val="left"/>
        <w:rPr>
          <w:rFonts w:ascii="Tahoma" w:hAnsi="Tahoma"/>
          <w:color w:val="000000"/>
          <w:sz w:val="14"/>
        </w:rPr>
      </w:pPr>
      <w:r>
        <w:rPr>
          <w:rFonts w:ascii="Tahoma" w:hAnsi="Tahoma"/>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GLA and % Leased represents: Bloom on Third – fully redeveloped center (existing center is 73k SF and 100% leased)</w:t>
      </w:r>
    </w:p>
    <w:p>
      <w:pPr>
        <w:pStyle w:val="TextBody"/>
        <w:bidi w:val="0"/>
        <w:spacing w:before="20" w:after="283"/>
        <w:jc w:val="both"/>
        <w:rPr/>
      </w:pPr>
      <w:r>
        <w:rPr/>
        <w:t> </w:t>
      </w:r>
    </w:p>
    <w:p>
      <w:pPr>
        <w:pStyle w:val="TextBody"/>
        <w:bidi w:val="0"/>
        <w:spacing w:before="20" w:after="283"/>
        <w:jc w:val="both"/>
        <w:rPr>
          <w:rFonts w:ascii="Times New Roman" w:hAnsi="Times New Roman"/>
          <w:sz w:val="20"/>
        </w:rPr>
      </w:pPr>
      <w:r>
        <w:rPr>
          <w:rFonts w:ascii="Tahoma;sans-serif" w:hAnsi="Tahoma;sans-serif"/>
          <w:color w:val="000000"/>
          <w:sz w:val="14"/>
        </w:rPr>
        <w:t>Note: Regency’s Estimate of Net GAAP Project Costs, after additional interest and overhead capitalization, is $550M for Ground-up Developments and Redevelopments In-Process. Percent of costs incurred is 52% for Ground-up Developments and Redevelopments In-Process.</w:t>
      </w:r>
      <w:r>
        <w:rPr>
          <w:rFonts w:ascii="Times New Roman" w:hAnsi="Times New Roman"/>
          <w:color w:val="000000"/>
          <w:sz w:val="20"/>
        </w:rPr>
        <w:t xml:space="preserve"> </w:t>
      </w:r>
    </w:p>
    <w:p>
      <w:pPr>
        <w:pStyle w:val="TextBody"/>
        <w:bidi w:val="0"/>
        <w:jc w:val="right"/>
        <w:rPr/>
      </w:pPr>
      <w:r>
        <w:rPr/>
        <w:drawing>
          <wp:inline distT="0" distB="0" distL="0" distR="0">
            <wp:extent cx="466725" cy="2476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18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7" w:name="leasingstats"/>
      <w:bookmarkEnd w:id="27"/>
      <w:r>
        <w:rPr>
          <w:rFonts w:ascii="Tahoma;sans-serif" w:hAnsi="Tahoma;sans-serif"/>
          <w:b/>
          <w:color w:val="000000"/>
          <w:sz w:val="20"/>
        </w:rPr>
        <w:t>Leasing Statistics</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(Retail Operating Properties Only)</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1"/>
        <w:gridCol w:w="1181"/>
        <w:gridCol w:w="569"/>
        <w:gridCol w:w="1128"/>
        <w:gridCol w:w="1168"/>
        <w:gridCol w:w="1678"/>
        <w:gridCol w:w="1366"/>
        <w:gridCol w:w="2084"/>
      </w:tblGrid>
      <w:tr>
        <w:trPr/>
        <w:tc>
          <w:tcPr>
            <w:tcW w:w="103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27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Leasing Statistics - Comparable</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Total</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(Cash)</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(Straight-lined)</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2025</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384</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1,409</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$28.22</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8.1%</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18.6%</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$6.22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2024</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426</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2,298</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27.49</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10.8%</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6.1</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9.28</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2024</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404</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1,802</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24.86</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20.7%</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6.3</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7.33</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2024</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443</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2,221</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26.92</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9.2%</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18.2%</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7.11</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1,657</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7,730</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$26.84</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9.5%</w:t>
            </w:r>
          </w:p>
        </w:tc>
        <w:tc>
          <w:tcPr>
            <w:tcW w:w="1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19.4%</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5.9</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$7.62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Leases</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(Cash)</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(Straight-lined)</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2025</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84</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187</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$38.29</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8.8%</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22.7%</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8.0</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$42.52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2024</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328</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34.40</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15.9%</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31.4%</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9.0</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58.79</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2024</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98</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249</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32.25</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10.8%</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26.3%</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8.7</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49.39</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2024</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105</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261</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37.98</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12.4%</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27.9%</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8.5</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53.67</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388</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1,026</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$35.57</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12.3%</w:t>
            </w:r>
          </w:p>
        </w:tc>
        <w:tc>
          <w:tcPr>
            <w:tcW w:w="1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27.4%</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8.6</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$52.05</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Renewals</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(Cash)</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(Straight-lined)</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2025</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300</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1,222</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$26.66</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7.9%</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17.6%</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$0.58</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2024</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325</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1,969</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26.37</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9.8%</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17.9%</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1.29</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2024</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306</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1,553</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23.69</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9.0%</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19.5%</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5.9</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0.63</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2024</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338</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1,960</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25.36</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8.6%</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16.2%</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0.56</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1,269</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6,704</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$25.50</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w:t>
            </w:r>
          </w:p>
        </w:tc>
        <w:tc>
          <w:tcPr>
            <w:tcW w:w="1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17.7%</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5.5</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$0.79</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Leasing Statistics - Comparable and Non-comparable</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Total</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2025</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443</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1,593</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$28.73</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5.7</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$12.24</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2024</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2,673</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27.41</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6.4</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16.02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2024</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498</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2,274</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25.02</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6.5</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14.16</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2024</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512</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2,435</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27.28</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5.7</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10.15</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1,964</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8,975</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6.1</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$13.27</w:t>
            </w:r>
          </w:p>
        </w:tc>
      </w:tr>
    </w:tbl>
    <w:p>
      <w:pPr>
        <w:pStyle w:val="TextBody"/>
        <w:bidi w:val="0"/>
        <w:jc w:val="left"/>
        <w:rPr/>
      </w:pPr>
      <w:r>
        <w:rPr/>
        <w:t> </w:t>
      </w:r>
    </w:p>
    <w:p>
      <w:pPr>
        <w:pStyle w:val="TextBody"/>
        <w:bidi w:val="0"/>
        <w:jc w:val="left"/>
        <w:rPr/>
      </w:pPr>
      <w:r>
        <w:rPr/>
        <w:t> </w:t>
      </w:r>
    </w:p>
    <w:p>
      <w:pPr>
        <w:pStyle w:val="TextBody"/>
        <w:bidi w:val="0"/>
        <w:spacing w:before="60" w:after="283"/>
        <w:jc w:val="left"/>
        <w:rPr>
          <w:rFonts w:ascii="Tahoma;sans-serif" w:hAnsi="Tahoma;sans-serif"/>
          <w:b/>
          <w:color w:val="000000"/>
          <w:sz w:val="16"/>
        </w:rPr>
      </w:pPr>
      <w:r>
        <w:rPr>
          <w:rFonts w:ascii="Tahoma;sans-serif" w:hAnsi="Tahoma;sans-serif"/>
          <w:b/>
          <w:color w:val="000000"/>
          <w:sz w:val="16"/>
        </w:rPr>
        <w:t>Notes:</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Represents Regency's consolidated and pro-rata share of real estate partnerships. Number of leasing transactions and GLA leased reported at 100%; All other statistics reported at pro-rata share.</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All amounts reported at execution.</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Rent Spreads are calculated on a comparable-space, cash basis for new and renewal leases executed and include all leasing transactions, including spaces vacant &gt; 12 months.</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Rent Spreads % (Cash) represent the percentage change between the initial 12 months of rent of the executed lease and the last contractual rent as of the move out date of the prior lease.</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Rent Spreads % (Straight-lined) represent the percentage change between the average rent over the duration of the executed lease and the average rent over the duration of the prior lease.</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Tenant Allowance &amp; Landlord Work includes costs for landlord work required to return space to a baseline condition, as well as tenant allowances and improvements as it relates to a specific lease.</w:t>
      </w:r>
    </w:p>
    <w:p>
      <w:pPr>
        <w:pStyle w:val="TextBody"/>
        <w:bidi w:val="0"/>
        <w:jc w:val="right"/>
        <w:rPr/>
      </w:pPr>
      <w:r>
        <w:rPr/>
        <w:drawing>
          <wp:inline distT="0" distB="0" distL="0" distR="0">
            <wp:extent cx="476250" cy="2571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8" w:name="neteffectiverent"/>
      <w:bookmarkEnd w:id="28"/>
      <w:r>
        <w:rPr>
          <w:rFonts w:ascii="Tahoma;sans-serif" w:hAnsi="Tahoma;sans-serif"/>
          <w:b/>
          <w:color w:val="000000"/>
          <w:sz w:val="20"/>
        </w:rPr>
        <w:t>New Lease Net Effective Rent and Leases Signed Not Yet Commenced</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(Retail Operating Properties Only)</w:t>
      </w:r>
    </w:p>
    <w:p>
      <w:pPr>
        <w:pStyle w:val="TextBody"/>
        <w:bidi w:val="0"/>
        <w:jc w:val="center"/>
        <w:rPr/>
      </w:pPr>
      <w:r>
        <w:rPr/>
        <w:t> </w:t>
      </w:r>
    </w:p>
    <w:tbl>
      <w:tblPr>
        <w:tblW w:w="8988" w:type="dxa"/>
        <w:jc w:val="left"/>
        <w:tblInd w:w="0" w:type="dxa"/>
        <w:tblLayout w:type="fixed"/>
        <w:tblCellMar>
          <w:top w:w="28" w:type="dxa"/>
          <w:left w:w="28" w:type="dxa"/>
          <w:bottom w:w="28" w:type="dxa"/>
          <w:right w:w="28" w:type="dxa"/>
        </w:tblCellMar>
      </w:tblPr>
      <w:tblGrid>
        <w:gridCol w:w="2776"/>
        <w:gridCol w:w="146"/>
        <w:gridCol w:w="1486"/>
        <w:gridCol w:w="146"/>
        <w:gridCol w:w="721"/>
        <w:gridCol w:w="146"/>
        <w:gridCol w:w="796"/>
        <w:gridCol w:w="146"/>
        <w:gridCol w:w="841"/>
        <w:gridCol w:w="146"/>
        <w:gridCol w:w="721"/>
        <w:gridCol w:w="146"/>
        <w:gridCol w:w="77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27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New Lease Net Effective Rent</w:t>
            </w:r>
            <w:r>
              <w:rPr>
                <w:rFonts w:ascii="Times New Roman" w:hAnsi="Times New Roman"/>
                <w:color w:val="000000"/>
                <w:sz w:val="16"/>
              </w:rPr>
              <w:t> </w:t>
            </w:r>
            <w:r>
              <w:rPr>
                <w:rFonts w:ascii="Tahoma;sans-serif" w:hAnsi="Tahoma;sans-serif"/>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Trailing Twelve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Three Months Ended</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9/30/2024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6/30/2024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3/31/2024</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New Leases weighted avg. over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$33.07</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Tenant allowance and landlord work </w:t>
            </w:r>
            <w:r>
              <w:rPr>
                <w:rFonts w:ascii="Tahoma;sans-serif" w:hAnsi="Tahoma;sans-serif"/>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(5.34)</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Third party leasing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(1.03)</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Net Effective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$26.70</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Net effective rent/base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81%</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Percent of New Leases by Anchor &amp; Shop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Anchor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39%</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Shop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61%</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4" w:type="dxa"/>
            <w:gridSpan w:val="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Leases Signed Not Yet Commenced</w:t>
            </w:r>
            <w:r>
              <w:rPr>
                <w:rFonts w:ascii="Times New Roman" w:hAnsi="Times New Roman"/>
                <w:color w:val="000000"/>
                <w:sz w:val="16"/>
              </w:rPr>
              <w:t xml:space="preserve"> </w:t>
            </w:r>
            <w:r>
              <w:rPr>
                <w:rFonts w:ascii="Tahoma;sans-serif" w:hAnsi="Tahoma;sans-serif"/>
                <w:b/>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As of 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Annual ABR</w:t>
              <w:br/>
              <w:t>($ in 000s)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xml:space="preserve">Annual ABR </w:t>
              <w:br/>
              <w:t>($ PSF)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Anchor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Shop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1,611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$45,994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0" w:after="283"/>
        <w:jc w:val="left"/>
        <w:rPr>
          <w:rFonts w:ascii="Tahoma" w:hAnsi="Tahoma"/>
          <w:color w:val="000000"/>
          <w:sz w:val="16"/>
        </w:rPr>
      </w:pPr>
      <w:r>
        <w:rPr>
          <w:rFonts w:ascii="Tahoma" w:hAnsi="Tahoma"/>
          <w:color w:val="000000"/>
          <w:sz w:val="16"/>
        </w:rPr>
        <w:t>(1)</w:t>
      </w:r>
    </w:p>
    <w:p>
      <w:pPr>
        <w:pStyle w:val="TextBody"/>
        <w:bidi w:val="0"/>
        <w:spacing w:before="400" w:after="283"/>
        <w:jc w:val="left"/>
        <w:rPr>
          <w:rFonts w:ascii="Tahoma;sans-serif" w:hAnsi="Tahoma;sans-serif"/>
          <w:color w:val="000000"/>
          <w:sz w:val="16"/>
        </w:rPr>
      </w:pPr>
      <w:r>
        <w:rPr>
          <w:rFonts w:ascii="Tahoma;sans-serif" w:hAnsi="Tahoma;sans-serif"/>
          <w:color w:val="000000"/>
          <w:sz w:val="16"/>
        </w:rPr>
        <w:t>Includes comparable and non-comparable leasing transactions.</w:t>
      </w:r>
    </w:p>
    <w:p>
      <w:pPr>
        <w:pStyle w:val="TextBody"/>
        <w:bidi w:val="0"/>
        <w:spacing w:before="20" w:after="283"/>
        <w:jc w:val="left"/>
        <w:rPr>
          <w:rFonts w:ascii="Tahoma" w:hAnsi="Tahoma"/>
          <w:color w:val="000000"/>
          <w:sz w:val="16"/>
        </w:rPr>
      </w:pPr>
      <w:r>
        <w:rPr>
          <w:rFonts w:ascii="Tahoma" w:hAnsi="Tahoma"/>
          <w:color w:val="000000"/>
          <w:sz w:val="16"/>
        </w:rPr>
        <w:t>(2)</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Tenant Allowance &amp; Landlord Work includes costs for landlord work required to return space to a baseline condition, as well as tenant allowances and improvements as it relates to a specific lease.</w:t>
      </w:r>
    </w:p>
    <w:p>
      <w:pPr>
        <w:pStyle w:val="TextBody"/>
        <w:bidi w:val="0"/>
        <w:spacing w:before="20" w:after="283"/>
        <w:jc w:val="left"/>
        <w:rPr>
          <w:rFonts w:ascii="Tahoma" w:hAnsi="Tahoma"/>
          <w:color w:val="000000"/>
          <w:sz w:val="16"/>
        </w:rPr>
      </w:pPr>
      <w:r>
        <w:rPr>
          <w:rFonts w:ascii="Tahoma" w:hAnsi="Tahoma"/>
          <w:color w:val="000000"/>
          <w:sz w:val="16"/>
        </w:rPr>
        <w:t>(3)</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Only represents leases on spaces that are currently vacant.</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Note: Represents Regency's wholly owned and pro-rata share of real estate partnerships, except GLA which is shown at 100%.</w:t>
      </w:r>
    </w:p>
    <w:p>
      <w:pPr>
        <w:pStyle w:val="TextBody"/>
        <w:bidi w:val="0"/>
        <w:jc w:val="right"/>
        <w:rPr/>
      </w:pPr>
      <w:r>
        <w:rPr/>
        <w:drawing>
          <wp:inline distT="0" distB="0" distL="0" distR="0">
            <wp:extent cx="476250" cy="2571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9" w:name="abrbystate"/>
      <w:bookmarkEnd w:id="29"/>
      <w:r>
        <w:rPr>
          <w:rFonts w:ascii="Tahoma;sans-serif" w:hAnsi="Tahoma;sans-serif"/>
          <w:b/>
          <w:color w:val="000000"/>
          <w:sz w:val="20"/>
        </w:rPr>
        <w:t>Annual Base Rent by State</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2"/>
        <w:gridCol w:w="146"/>
        <w:gridCol w:w="1599"/>
        <w:gridCol w:w="601"/>
        <w:gridCol w:w="967"/>
        <w:gridCol w:w="916"/>
        <w:gridCol w:w="903"/>
        <w:gridCol w:w="1971"/>
        <w:gridCol w:w="768"/>
        <w:gridCol w:w="832"/>
      </w:tblGrid>
      <w:tr>
        <w:trPr/>
        <w:tc>
          <w:tcPr>
            <w:tcW w:w="1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Number of Properties</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Leased</w:t>
            </w:r>
            <w:r>
              <w:rPr>
                <w:rFonts w:ascii="Tahoma;sans-serif" w:hAnsi="Tahoma;sans-serif"/>
                <w:b/>
                <w:color w:val="000000"/>
                <w:sz w:val="11"/>
              </w:rPr>
              <w:t>(1)</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ABR/Sq. Ft.</w:t>
            </w:r>
          </w:p>
        </w:tc>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Number of Properties</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GLA</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ABR</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9,248</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95.8%</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$274,603</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$30.87</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14.9%</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18.8%</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22.9%</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Florida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92</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10,783</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96.7%</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226,829</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21.73</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19.0%</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21.9%</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18.9%</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47</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3,722</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94.0%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108,357</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30.05</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7.6%</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9.0%</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Connecticut</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4,003</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94.3%</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103,585</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27.47</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9.1%</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8.1%</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8.6%</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3,847</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96.7%</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79,765</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21.46</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6.8%</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7.8%</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6.6%</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Georgia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2,125</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96.3%</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51,679</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25.00</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4.6%</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4.3%</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4.3%</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Virginia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1,647</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49,002</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30.64</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New Jersey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1,704</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96.1%</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39,620</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24.19</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4.3%</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1,610</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98.5%</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36,960</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23.37</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Washington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1,267</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96.6%</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35,882</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29.31</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Illinois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1,355</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96.8%</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29,632</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22.28</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Massachusetts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898</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97.8%</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27,851</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31.92</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Colorado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1,408</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97.9%</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24,690</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17.80</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Pennsylvania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713</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97.3%</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19,394</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27.68</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622</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18,527</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30.87</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Ohio</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1,227</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98.1%</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16,950</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13.92</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Oregon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778</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99.2%</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16,593</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22.14</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Minnesota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390</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89.9%</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7,429</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21.23</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Indiana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345</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98.6%</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6,368</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18.75</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Tennessee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638</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98.1%</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11,938</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19.12</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Delaware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255</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96.3%</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4,502</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18.48</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Missouri</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408</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98.6%</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4,449</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11.05</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South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83</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100.0%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2,255</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27.19</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Rhode Island</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111</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100.0%</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2,221</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20.60</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r>
      <w:tr>
        <w:trPr/>
        <w:tc>
          <w:tcPr>
            <w:tcW w:w="1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Washington, D.C.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97.0%</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1,591</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53.79</w:t>
            </w:r>
          </w:p>
        </w:tc>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r>
      <w:tr>
        <w:trPr/>
        <w:tc>
          <w:tcPr>
            <w:tcW w:w="1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Total All Properties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483</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49,217</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96.3%</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$1,200,671</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$25.24</w:t>
            </w:r>
          </w:p>
        </w:tc>
        <w:tc>
          <w:tcPr>
            <w:tcW w:w="1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r>
    </w:tbl>
    <w:p>
      <w:pPr>
        <w:pStyle w:val="TextBody"/>
        <w:bidi w:val="0"/>
        <w:spacing w:before="60" w:after="283"/>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Note: Represents Regency's consolidated and pro-rata share of real estate partnerships.</w:t>
      </w:r>
    </w:p>
    <w:p>
      <w:pPr>
        <w:pStyle w:val="TextBody"/>
        <w:bidi w:val="0"/>
        <w:spacing w:before="60" w:after="283"/>
        <w:jc w:val="left"/>
        <w:rPr>
          <w:rFonts w:ascii="Tahoma" w:hAnsi="Tahoma"/>
          <w:color w:val="000000"/>
          <w:sz w:val="16"/>
        </w:rPr>
      </w:pPr>
      <w:r>
        <w:rPr>
          <w:rFonts w:ascii="Tahoma" w:hAnsi="Tahoma"/>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Properties in Development and leases that are executed but have not commenced.</w:t>
      </w:r>
    </w:p>
    <w:p>
      <w:pPr>
        <w:pStyle w:val="TextBody"/>
        <w:bidi w:val="0"/>
        <w:spacing w:before="60" w:after="283"/>
        <w:jc w:val="left"/>
        <w:rPr/>
      </w:pPr>
      <w:r>
        <w:rPr/>
        <w:t> </w:t>
      </w:r>
    </w:p>
    <w:p>
      <w:pPr>
        <w:pStyle w:val="TextBody"/>
        <w:bidi w:val="0"/>
        <w:jc w:val="right"/>
        <w:rPr/>
      </w:pPr>
      <w:r>
        <w:rPr/>
        <w:drawing>
          <wp:inline distT="0" distB="0" distL="0" distR="0">
            <wp:extent cx="476250" cy="2571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0" w:name="abrbycbsa"/>
      <w:bookmarkEnd w:id="30"/>
      <w:r>
        <w:rPr>
          <w:rFonts w:ascii="Tahoma;sans-serif" w:hAnsi="Tahoma;sans-serif"/>
          <w:b/>
          <w:color w:val="000000"/>
          <w:sz w:val="20"/>
        </w:rPr>
        <w:t>Annual Base Rent by CBSA</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p>
      <w:pPr>
        <w:pStyle w:val="TextBody"/>
        <w:bidi w:val="0"/>
        <w:jc w:val="center"/>
        <w:rPr/>
      </w:pPr>
      <w:r>
        <w:rPr/>
        <w:t> </w:t>
      </w:r>
    </w:p>
    <w:tbl>
      <w:tblPr>
        <w:tblW w:w="9260" w:type="dxa"/>
        <w:jc w:val="left"/>
        <w:tblInd w:w="0" w:type="dxa"/>
        <w:tblLayout w:type="fixed"/>
        <w:tblCellMar>
          <w:top w:w="28" w:type="dxa"/>
          <w:left w:w="28" w:type="dxa"/>
          <w:bottom w:w="28" w:type="dxa"/>
          <w:right w:w="28" w:type="dxa"/>
        </w:tblCellMar>
      </w:tblPr>
      <w:tblGrid>
        <w:gridCol w:w="2491"/>
        <w:gridCol w:w="146"/>
        <w:gridCol w:w="1231"/>
        <w:gridCol w:w="436"/>
        <w:gridCol w:w="736"/>
        <w:gridCol w:w="646"/>
        <w:gridCol w:w="706"/>
        <w:gridCol w:w="1546"/>
        <w:gridCol w:w="631"/>
        <w:gridCol w:w="6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b/>
                <w:color w:val="000000"/>
                <w:sz w:val="12"/>
              </w:rPr>
              <w:t>Largest CBSAs by Population</w:t>
            </w:r>
            <w:r>
              <w:rPr>
                <w:rFonts w:ascii="Tahoma;sans-serif" w:hAnsi="Tahoma;sans-serif"/>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Number of Properties</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GLA</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rPr>
              <w:t>% Leased</w:t>
            </w:r>
            <w:r>
              <w:rPr>
                <w:rFonts w:ascii="Tahoma;sans-serif" w:hAnsi="Tahoma;sans-serif"/>
                <w:b/>
                <w:color w:val="000000"/>
                <w:sz w:val="8"/>
              </w:rPr>
              <w:t>(2)</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ABR</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ABR/Sq. Ft.</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 of Number of Properties</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 of GLA</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 of ABR</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 New York-Newark-Jersey City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65</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5,046</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94.6%</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$142,919</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$29.95</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13.5%</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10.3%</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11.9%</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 Los Angeles-Long Beach-Anaheim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2,544</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97.9%</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$79,834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$32.04</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6.6%</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 Chicago-Naperville-Elgin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1,645</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98.2%</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$34,855</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$21.59</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2.9%</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 Dallas-Fort Worth-Arlington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913</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97.9%</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$20,890</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$23.36</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5) Houston-Woodlands-Sugar Land</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2,028</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95.9%</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$39,401</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$20.25</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6) Washington-Arlington-Alexandri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1,833</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97.5%</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$57,015</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$31.89</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4.7%</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7) Atlanta-SandySprings-Alpharett</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2,125</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96.3%</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$51,679</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$25.25</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4.3%</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4.3%</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8) Philadelphia-Camden-Wilmington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1,166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96.3%</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$24,587</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$21.91</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9) Miami-Ft Lauderdale-Pompano Beach</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5,170</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95.4%</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$121,132</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$24.55</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8.3%</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10.5%</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10.1%</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10) Phoenix-Mesa-Chandler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11) Boston-Cambridge-Newton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910</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97.3%</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$26,988</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$30.47</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1.8%</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12) San Francisco-Oakland-Berkeley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3,414</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93.7%</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$99,746</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$31.17</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8.3%</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13) Riverside-San Bernardino-Ontario</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100.0%</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$3,269</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$33.10</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14) Detroit-Warren-Dearborn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15) Seattle-Tacoma-Bellevue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1,267</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96.6%</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$35,882</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$29.32</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16) Minneapolis-St. Paul-Bloomington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89.9%</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$7,429</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$21.21</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17) San Diego-Chula Vista-Carlsbad</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1,370</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98.3%</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$43,562</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$32.34</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2.8%</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18) Tampa-St Petersburg-Clearwater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1,296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99.0%</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$27,544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$21.46</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19) Denver-Aurora-Lakewood</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940</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98.0%</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$16,247</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$17.64</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20) Baltimore-Columbia-Towson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267</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97.7%</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$7,447</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$28.59</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21) Orlando-Kissimmee-Sanford</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834</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95.8%</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$16,739</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$20.94</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22) St. Louis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408</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98.6%</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$4,449</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$11.05</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23) Charlotte-Concord-Gastonia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609</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98.9%</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$15,467</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$25.70</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24) San Antonio-New Braunfels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25) Portland-Vancouver-Hillsboro</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436</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95.0%</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$9,587</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$23.16</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26) Austin-Round Rock-Georgetown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905</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97.2%</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$19,474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$22.14</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27) Sacramento-Roseville-Folsom</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318</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93.3%</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$7,172</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$24.20</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28) Pittsburgh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29) Las Vegas-Henderson-Paradise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30) Cincinnati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902</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98.9%</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$12,856</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$14.40</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31) Kansas City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32) Indianapolis-Carmel-Anderson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91.6%</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$1,145</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$22.52</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33) Nashville-Davidson-Murfreesboro-Franklin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638</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98.1%</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$11,938</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$19.09</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34) Cleveland-Elyria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35) San Jose-Sunnyvale-Santa Clara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646</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96.2%</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$20,760</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$33.40</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36) Virginia Beach-Norfolk-Newport News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37) Jacksonville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1,927</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99.5%</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$35,038</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$18.27</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2.9%</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38) Providence-Warwick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39) Milwaukee-Waukesha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40) Raleigh-Cary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703</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98.6%</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$16,121</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$23.24</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41) Oklahoma City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42) Memphis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43) Salt Lake City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44) Louisville/Jefferson County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45) New Orleans-Metairie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46) Hartford-E Hartford-Middletown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302</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97.3%</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$6,190</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$21.09</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47) Buffalo-Cheektowaga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48) Birmingham-Hoover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49) Grand Rapids-Kentwood</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50) Tucson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Top 50 CBSAs by Population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389</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41,105</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96.5%</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$1,017,362</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$25.54</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80.5%</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83.5%</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84.7%</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CBSAs Ranked 51 - 75 by Population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54</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4,507</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94.7%</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$123,019</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$28.81</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11.2%</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9.2%</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10.2%</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CBSAs Ranked 76 - 100 by Population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18</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1,563</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96.4%</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$26,308</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$17.42</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Other CBSAs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2,041</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96.0%</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$33,982</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$17.36</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2.8%</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Total All Properties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483</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49,217</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96.3%</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$1,200,671</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$25.24</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100.0%</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100.0%</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100.0%</w:t>
            </w:r>
          </w:p>
        </w:tc>
      </w:tr>
    </w:tbl>
    <w:p>
      <w:pPr>
        <w:pStyle w:val="TextBody"/>
        <w:bidi w:val="0"/>
        <w:spacing w:before="180" w:after="283"/>
        <w:jc w:val="left"/>
        <w:rPr>
          <w:rFonts w:ascii="Tahoma;sans-serif" w:hAnsi="Tahoma;sans-serif"/>
          <w:color w:val="000000"/>
          <w:sz w:val="14"/>
        </w:rPr>
      </w:pPr>
      <w:r>
        <w:rPr>
          <w:rFonts w:ascii="Tahoma;sans-serif" w:hAnsi="Tahoma;sans-serif"/>
          <w:color w:val="000000"/>
          <w:sz w:val="14"/>
        </w:rPr>
        <w:t>Note: Represents Regency's consolidated and pro-rata share of real estate partnerships</w:t>
      </w:r>
    </w:p>
    <w:p>
      <w:pPr>
        <w:pStyle w:val="TextBody"/>
        <w:bidi w:val="0"/>
        <w:spacing w:before="20" w:after="283"/>
        <w:jc w:val="left"/>
        <w:rPr>
          <w:rFonts w:ascii="Tahoma" w:hAnsi="Tahoma"/>
          <w:color w:val="000000"/>
          <w:sz w:val="14"/>
        </w:rPr>
      </w:pPr>
      <w:r>
        <w:rPr>
          <w:rFonts w:ascii="Tahoma" w:hAnsi="Tahoma"/>
          <w:color w:val="000000"/>
          <w:sz w:val="14"/>
        </w:rPr>
        <w:t>(1)</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Population Data Source: ESRI</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Properties in Development and leases that are executed but have not commenced.</w:t>
      </w:r>
    </w:p>
    <w:p>
      <w:pPr>
        <w:pStyle w:val="TextBody"/>
        <w:bidi w:val="0"/>
        <w:jc w:val="right"/>
        <w:rPr/>
      </w:pPr>
      <w:r>
        <w:rPr/>
        <w:drawing>
          <wp:inline distT="0" distB="0" distL="0" distR="0">
            <wp:extent cx="476250" cy="2571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1" w:name="abrbycategory"/>
      <w:bookmarkEnd w:id="31"/>
      <w:r>
        <w:rPr>
          <w:rFonts w:ascii="Tahoma;sans-serif" w:hAnsi="Tahoma;sans-serif"/>
          <w:b/>
          <w:color w:val="000000"/>
          <w:sz w:val="20"/>
        </w:rPr>
        <w:t>Annual Base Rent By Tenant Category</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4483" w:type="dxa"/>
        <w:jc w:val="left"/>
        <w:tblInd w:w="0" w:type="dxa"/>
        <w:tblLayout w:type="fixed"/>
        <w:tblCellMar>
          <w:top w:w="28" w:type="dxa"/>
          <w:left w:w="28" w:type="dxa"/>
          <w:bottom w:w="28" w:type="dxa"/>
          <w:right w:w="28" w:type="dxa"/>
        </w:tblCellMar>
      </w:tblPr>
      <w:tblGrid>
        <w:gridCol w:w="3181"/>
        <w:gridCol w:w="146"/>
        <w:gridCol w:w="115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20"/>
              </w:rPr>
            </w:pPr>
            <w:r>
              <w:rPr>
                <w:rFonts w:ascii="Tahoma;sans-serif" w:hAnsi="Tahoma;sans-serif"/>
                <w:b/>
                <w:color w:val="000000"/>
                <w:sz w:val="20"/>
              </w:rPr>
              <w:t>Tenant Category Exposure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ahoma;sans-serif" w:hAnsi="Tahoma;sans-serif"/>
                <w:b/>
                <w:color w:val="000000"/>
                <w:sz w:val="20"/>
              </w:rPr>
              <w:t>% of ABR</w:t>
            </w:r>
            <w:r>
              <w:rPr>
                <w:rFonts w:ascii="Tahoma;sans-serif" w:hAnsi="Tahoma;sans-serif"/>
                <w:b/>
                <w:color w:val="000000"/>
                <w:sz w:val="13"/>
              </w:rPr>
              <w:t>(1)</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Grocery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20%</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Restaurant - Quick Service/Fast Casual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13%</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Personal Services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7%</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Medical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7%</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Restaurant - Full Service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6%</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Off-Price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Apparel/Accessories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Fitness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Banks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4%</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4%</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Hobby/Sports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4%</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Pet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Home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Pharmacy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Other</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Office/Communications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Home Improvement/Auto</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Liquor/Wine/Beer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Beauty/Cosmetics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1%</w:t>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Entertainment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1%</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8"/>
              </w:rPr>
            </w:pPr>
            <w:r>
              <w:rPr>
                <w:rFonts w:ascii="Tahoma;sans-serif" w:hAnsi="Tahoma;sans-serif"/>
                <w:b/>
                <w:color w:val="000000"/>
                <w:sz w:val="18"/>
              </w:rPr>
              <w:t>Anchor/Shop Exposure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8"/>
              </w:rPr>
            </w:pPr>
            <w:r>
              <w:rPr>
                <w:rFonts w:ascii="Tahoma;sans-serif" w:hAnsi="Tahoma;sans-serif"/>
                <w:b/>
                <w:color w:val="000000"/>
                <w:sz w:val="18"/>
              </w:rPr>
              <w:t>% of ABR</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Shop</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58%</w:t>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Anchor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42%</w:t>
            </w:r>
          </w:p>
        </w:tc>
      </w:tr>
    </w:tbl>
    <w:p>
      <w:pPr>
        <w:pStyle w:val="TextBody"/>
        <w:bidi w:val="0"/>
        <w:spacing w:before="400" w:after="283"/>
        <w:jc w:val="left"/>
        <w:rPr>
          <w:rFonts w:ascii="Tahoma" w:hAnsi="Tahoma"/>
          <w:color w:val="000000"/>
          <w:sz w:val="14"/>
        </w:rPr>
      </w:pPr>
      <w:r>
        <w:rPr>
          <w:rFonts w:ascii="Tahoma" w:hAnsi="Tahoma"/>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Represents Regency's consolidated and pro-rata share of real estate partnerships; includes properties in development, excludes leases that are executed but have not rent commenced.</w:t>
      </w:r>
    </w:p>
    <w:p>
      <w:pPr>
        <w:pStyle w:val="TextBody"/>
        <w:bidi w:val="0"/>
        <w:spacing w:before="20" w:after="283"/>
        <w:jc w:val="left"/>
        <w:rPr/>
      </w:pPr>
      <w:r>
        <w:rPr/>
        <w:t> </w:t>
      </w:r>
    </w:p>
    <w:p>
      <w:pPr>
        <w:pStyle w:val="TextBody"/>
        <w:bidi w:val="0"/>
        <w:jc w:val="right"/>
        <w:rPr/>
      </w:pPr>
      <w:r>
        <w:rPr/>
        <w:drawing>
          <wp:inline distT="0" distB="0" distL="0" distR="0">
            <wp:extent cx="476250" cy="2571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2" w:name="sigtenants"/>
      <w:bookmarkEnd w:id="32"/>
      <w:r>
        <w:rPr>
          <w:rFonts w:ascii="Tahoma;sans-serif" w:hAnsi="Tahoma;sans-serif"/>
          <w:b/>
          <w:color w:val="000000"/>
          <w:sz w:val="20"/>
        </w:rPr>
        <w:t>Significant Tenant Rents</w:t>
      </w:r>
    </w:p>
    <w:p>
      <w:pPr>
        <w:pStyle w:val="TextBody"/>
        <w:bidi w:val="0"/>
        <w:jc w:val="center"/>
        <w:rPr>
          <w:rFonts w:ascii="Tahoma;sans-serif" w:hAnsi="Tahoma;sans-serif"/>
          <w:b/>
          <w:color w:val="000000"/>
          <w:sz w:val="20"/>
        </w:rPr>
      </w:pPr>
      <w:r>
        <w:rPr>
          <w:rFonts w:ascii="Tahoma;sans-serif" w:hAnsi="Tahoma;sans-serif"/>
          <w:b/>
          <w:color w:val="000000"/>
          <w:sz w:val="20"/>
        </w:rPr>
        <w:t>(Includes Tenants ≥ 0.5% of ABR)</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
        <w:gridCol w:w="2154"/>
        <w:gridCol w:w="798"/>
        <w:gridCol w:w="146"/>
        <w:gridCol w:w="1757"/>
        <w:gridCol w:w="146"/>
        <w:gridCol w:w="1579"/>
        <w:gridCol w:w="146"/>
        <w:gridCol w:w="1802"/>
        <w:gridCol w:w="1376"/>
      </w:tblGrid>
      <w:tr>
        <w:trPr/>
        <w:tc>
          <w:tcPr>
            <w:tcW w:w="30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t>
            </w:r>
          </w:p>
        </w:tc>
        <w:tc>
          <w:tcPr>
            <w:tcW w:w="2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Tenant</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Tenant 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Company-Owned 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Annualized Base 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Total Annualized Base Rent</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 of Leased Stores</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Publix</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2,925</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5.9%</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$34,157</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Albertsons Companies, Inc.</w:t>
            </w:r>
            <w:r>
              <w:rPr>
                <w:rFonts w:ascii="Tahoma;sans-serif" w:hAnsi="Tahoma;sans-serif"/>
                <w:color w:val="000000"/>
                <w:sz w:val="11"/>
              </w:rPr>
              <w:t>(1)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TJX Companies, Inc.</w:t>
            </w:r>
            <w:r>
              <w:rPr>
                <w:rFonts w:ascii="Tahoma;sans-serif" w:hAnsi="Tahoma;sans-serif"/>
                <w:color w:val="000000"/>
                <w:sz w:val="11"/>
              </w:rPr>
              <w:t>(2)</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1,816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33,093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75</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Amazon/Whole Foods</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Kroger Co.</w:t>
            </w:r>
            <w:r>
              <w:rPr>
                <w:rFonts w:ascii="Tahoma;sans-serif" w:hAnsi="Tahoma;sans-serif"/>
                <w:color w:val="000000"/>
                <w:sz w:val="11"/>
              </w:rPr>
              <w:t>(3)</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2,933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30,857</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Ahold Delhaize</w:t>
            </w:r>
            <w:r>
              <w:rPr>
                <w:rFonts w:ascii="Tahoma;sans-serif" w:hAnsi="Tahoma;sans-serif"/>
                <w:color w:val="000000"/>
                <w:sz w:val="11"/>
              </w:rPr>
              <w:t>(4)</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CVS</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760</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20,289</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63</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JPMorgan Chase Bank</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59</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L.A. Fitness Sports Club</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11,242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Trader Joe's</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Nordstrom</w:t>
            </w:r>
            <w:r>
              <w:rPr>
                <w:rFonts w:ascii="Tahoma;sans-serif" w:hAnsi="Tahoma;sans-serif"/>
                <w:color w:val="000000"/>
                <w:sz w:val="11"/>
              </w:rPr>
              <w:t>(5)</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10,867</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Ross Dress For Less</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Starbucks</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151</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9,607</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H.E. Butt Grocery Company</w:t>
            </w:r>
            <w:r>
              <w:rPr>
                <w:rFonts w:ascii="Tahoma;sans-serif" w:hAnsi="Tahoma;sans-serif"/>
                <w:color w:val="000000"/>
                <w:sz w:val="11"/>
              </w:rPr>
              <w:t>(6)</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Gap, Inc.</w:t>
            </w:r>
            <w:r>
              <w:rPr>
                <w:rFonts w:ascii="Tahoma;sans-serif" w:hAnsi="Tahoma;sans-serif"/>
                <w:color w:val="000000"/>
                <w:sz w:val="11"/>
              </w:rPr>
              <w:t>(7)</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8,749</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Target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Bank of America</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149</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8,517</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Wells Fargo Bank</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46</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JAB Holding Company</w:t>
            </w:r>
            <w:r>
              <w:rPr>
                <w:rFonts w:ascii="Tahoma;sans-serif" w:hAnsi="Tahoma;sans-serif"/>
                <w:color w:val="000000"/>
                <w:sz w:val="11"/>
              </w:rPr>
              <w:t>(8)</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7,222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Petco Health &amp; Wellness Company, Inc.</w:t>
            </w:r>
            <w:r>
              <w:rPr>
                <w:rFonts w:ascii="Tahoma;sans-serif" w:hAnsi="Tahoma;sans-serif"/>
                <w:color w:val="000000"/>
                <w:sz w:val="11"/>
              </w:rPr>
              <w:t>(9)</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Walgreens Boots Alliance</w:t>
            </w:r>
            <w:r>
              <w:rPr>
                <w:rFonts w:ascii="Tahoma;sans-serif" w:hAnsi="Tahoma;sans-serif"/>
                <w:color w:val="000000"/>
                <w:sz w:val="11"/>
              </w:rPr>
              <w:t>(10)</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6,989</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Kohl's</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Xponential Fitness</w:t>
            </w:r>
            <w:r>
              <w:rPr>
                <w:rFonts w:ascii="Tahoma;sans-serif" w:hAnsi="Tahoma;sans-serif"/>
                <w:color w:val="000000"/>
                <w:sz w:val="11"/>
              </w:rPr>
              <w:t>(11)</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154</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6,090</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93</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Ulta</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2154"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Five Below</w:t>
            </w:r>
          </w:p>
        </w:tc>
        <w:tc>
          <w:tcPr>
            <w:tcW w:w="79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5,476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r>
      <w:tr>
        <w:trPr/>
        <w:tc>
          <w:tcPr>
            <w:tcW w:w="3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1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Top Tenants</w:t>
            </w:r>
          </w:p>
        </w:tc>
        <w:tc>
          <w:tcPr>
            <w:tcW w:w="7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18,629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7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37.8%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$357,719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29.8%</w:t>
            </w:r>
          </w:p>
        </w:tc>
        <w:tc>
          <w:tcPr>
            <w:tcW w:w="1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984</w:t>
            </w:r>
          </w:p>
        </w:tc>
      </w:tr>
    </w:tbl>
    <w:p>
      <w:pPr>
        <w:pStyle w:val="TextBody"/>
        <w:bidi w:val="0"/>
        <w:jc w:val="left"/>
        <w:rPr/>
      </w:pPr>
      <w:r>
        <w:rPr/>
        <w:t> </w:t>
      </w:r>
    </w:p>
    <w:p>
      <w:pPr>
        <w:pStyle w:val="TextBody"/>
        <w:bidi w:val="0"/>
        <w:spacing w:before="240" w:after="283"/>
        <w:jc w:val="left"/>
        <w:rPr>
          <w:rFonts w:ascii="Tahoma" w:hAnsi="Tahoma"/>
          <w:color w:val="000000"/>
          <w:sz w:val="14"/>
        </w:rPr>
      </w:pPr>
      <w:r>
        <w:rPr>
          <w:rFonts w:ascii="Tahoma" w:hAnsi="Tahoma"/>
          <w:color w:val="000000"/>
          <w:sz w:val="14"/>
        </w:rPr>
        <w:t>(1)</w:t>
      </w:r>
    </w:p>
    <w:p>
      <w:pPr>
        <w:pStyle w:val="TextBody"/>
        <w:bidi w:val="0"/>
        <w:spacing w:before="240" w:after="283"/>
        <w:jc w:val="left"/>
        <w:rPr>
          <w:rFonts w:ascii="Tahoma;sans-serif" w:hAnsi="Tahoma;sans-serif"/>
          <w:color w:val="000000"/>
          <w:sz w:val="14"/>
        </w:rPr>
      </w:pPr>
      <w:r>
        <w:rPr>
          <w:rFonts w:ascii="Tahoma;sans-serif" w:hAnsi="Tahoma;sans-serif"/>
          <w:color w:val="000000"/>
          <w:sz w:val="14"/>
        </w:rPr>
        <w:t>Safeway 21 / VONS 8 / Acme 7 / Albertson's 4 / Shaw's 3 / Tom Thumb 3 / Randalls 2 / Star Market 1 / Pavilions 1 / King's Food Market 1 / Jewel-Osco 1</w:t>
      </w:r>
    </w:p>
    <w:p>
      <w:pPr>
        <w:pStyle w:val="TextBody"/>
        <w:bidi w:val="0"/>
        <w:spacing w:before="60" w:after="283"/>
        <w:jc w:val="left"/>
        <w:rPr>
          <w:rFonts w:ascii="Tahoma" w:hAnsi="Tahoma"/>
          <w:color w:val="000000"/>
          <w:sz w:val="14"/>
        </w:rPr>
      </w:pPr>
      <w:r>
        <w:rPr>
          <w:rFonts w:ascii="Tahoma" w:hAnsi="Tahoma"/>
          <w:color w:val="000000"/>
          <w:sz w:val="14"/>
        </w:rPr>
        <w:t>(2)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TJ Maxx 28 / Marshalls 24 / Homegoods 20 / Homesense 2 / Sierra Trading Post 1</w:t>
      </w:r>
    </w:p>
    <w:p>
      <w:pPr>
        <w:pStyle w:val="TextBody"/>
        <w:bidi w:val="0"/>
        <w:spacing w:before="60" w:after="283"/>
        <w:jc w:val="left"/>
        <w:rPr>
          <w:rFonts w:ascii="Tahoma" w:hAnsi="Tahoma"/>
          <w:color w:val="000000"/>
          <w:sz w:val="14"/>
        </w:rPr>
      </w:pPr>
      <w:r>
        <w:rPr>
          <w:rFonts w:ascii="Tahoma" w:hAnsi="Tahoma"/>
          <w:color w:val="000000"/>
          <w:sz w:val="14"/>
        </w:rPr>
        <w:t>(3)</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 xml:space="preserve">Kroger 19 / King Soopers 11 / Ralphs 9 / Harris Teeter 8 / Mariano's Fresh Market 3 / Quality Food Centers 2 </w:t>
      </w:r>
    </w:p>
    <w:p>
      <w:pPr>
        <w:pStyle w:val="TextBody"/>
        <w:bidi w:val="0"/>
        <w:spacing w:before="60" w:after="283"/>
        <w:jc w:val="left"/>
        <w:rPr>
          <w:rFonts w:ascii="Tahoma" w:hAnsi="Tahoma"/>
          <w:color w:val="000000"/>
          <w:sz w:val="14"/>
        </w:rPr>
      </w:pPr>
      <w:r>
        <w:rPr>
          <w:rFonts w:ascii="Tahoma" w:hAnsi="Tahoma"/>
          <w:color w:val="000000"/>
          <w:sz w:val="14"/>
        </w:rPr>
        <w:t>(4)</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Stop &amp; Shop 10 / Giant 9 / Food Lion 1</w:t>
      </w:r>
    </w:p>
    <w:p>
      <w:pPr>
        <w:pStyle w:val="TextBody"/>
        <w:bidi w:val="0"/>
        <w:spacing w:before="60" w:after="283"/>
        <w:jc w:val="left"/>
        <w:rPr>
          <w:rFonts w:ascii="Tahoma" w:hAnsi="Tahoma"/>
          <w:color w:val="000000"/>
          <w:sz w:val="14"/>
        </w:rPr>
      </w:pPr>
      <w:r>
        <w:rPr>
          <w:rFonts w:ascii="Tahoma" w:hAnsi="Tahoma"/>
          <w:color w:val="000000"/>
          <w:sz w:val="14"/>
        </w:rPr>
        <w:t>(5)</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Nordstrom Rack 12</w:t>
      </w:r>
    </w:p>
    <w:p>
      <w:pPr>
        <w:pStyle w:val="TextBody"/>
        <w:bidi w:val="0"/>
        <w:spacing w:before="60" w:after="283"/>
        <w:jc w:val="left"/>
        <w:rPr>
          <w:rFonts w:ascii="Tahoma" w:hAnsi="Tahoma"/>
          <w:color w:val="000000"/>
          <w:sz w:val="14"/>
        </w:rPr>
      </w:pPr>
      <w:r>
        <w:rPr>
          <w:rFonts w:ascii="Tahoma" w:hAnsi="Tahoma"/>
          <w:color w:val="000000"/>
          <w:sz w:val="14"/>
        </w:rPr>
        <w:t>(6)</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H.E.B. 7 / Central Market 1</w:t>
      </w:r>
    </w:p>
    <w:p>
      <w:pPr>
        <w:pStyle w:val="TextBody"/>
        <w:bidi w:val="0"/>
        <w:spacing w:before="60" w:after="283"/>
        <w:jc w:val="left"/>
        <w:rPr>
          <w:rFonts w:ascii="Tahoma" w:hAnsi="Tahoma"/>
          <w:color w:val="000000"/>
          <w:sz w:val="14"/>
        </w:rPr>
      </w:pPr>
      <w:r>
        <w:rPr>
          <w:rFonts w:ascii="Tahoma" w:hAnsi="Tahoma"/>
          <w:color w:val="000000"/>
          <w:sz w:val="14"/>
        </w:rPr>
        <w:t>(7)</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Old Navy 12 / Athleta 3 / The Gap 4 / Banana Republic 2</w:t>
      </w:r>
    </w:p>
    <w:p>
      <w:pPr>
        <w:pStyle w:val="TextBody"/>
        <w:bidi w:val="0"/>
        <w:spacing w:before="60" w:after="283"/>
        <w:jc w:val="left"/>
        <w:rPr>
          <w:rFonts w:ascii="Tahoma" w:hAnsi="Tahoma"/>
          <w:color w:val="000000"/>
          <w:sz w:val="14"/>
        </w:rPr>
      </w:pPr>
      <w:r>
        <w:rPr>
          <w:rFonts w:ascii="Tahoma" w:hAnsi="Tahoma"/>
          <w:color w:val="000000"/>
          <w:sz w:val="14"/>
        </w:rPr>
        <w:t>(8)</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Panera 29 / Peet's' Coffee &amp; Tea 11 / Einstein Bros Bagels 10 / Bruegger's Bagel 4 / Krispy Kreme 3 / Noah's NY Bagels 3</w:t>
      </w:r>
    </w:p>
    <w:p>
      <w:pPr>
        <w:pStyle w:val="TextBody"/>
        <w:bidi w:val="0"/>
        <w:spacing w:before="60" w:after="283"/>
        <w:jc w:val="left"/>
        <w:rPr>
          <w:rFonts w:ascii="Tahoma" w:hAnsi="Tahoma"/>
          <w:color w:val="000000"/>
          <w:sz w:val="14"/>
        </w:rPr>
      </w:pPr>
      <w:r>
        <w:rPr>
          <w:rFonts w:ascii="Tahoma" w:hAnsi="Tahoma"/>
          <w:color w:val="000000"/>
          <w:sz w:val="14"/>
        </w:rPr>
        <w:t>(9)</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Petco 24 / Unleashed by Petco 3</w:t>
      </w:r>
    </w:p>
    <w:p>
      <w:pPr>
        <w:pStyle w:val="TextBody"/>
        <w:bidi w:val="0"/>
        <w:spacing w:before="60" w:after="283"/>
        <w:jc w:val="left"/>
        <w:rPr>
          <w:rFonts w:ascii="Tahoma" w:hAnsi="Tahoma"/>
          <w:color w:val="000000"/>
          <w:sz w:val="14"/>
        </w:rPr>
      </w:pPr>
      <w:r>
        <w:rPr>
          <w:rFonts w:ascii="Tahoma" w:hAnsi="Tahoma"/>
          <w:color w:val="000000"/>
          <w:sz w:val="14"/>
        </w:rPr>
        <w:t>(10)</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Walgreens 23 / Duane Reade 1</w:t>
      </w:r>
    </w:p>
    <w:p>
      <w:pPr>
        <w:pStyle w:val="TextBody"/>
        <w:bidi w:val="0"/>
        <w:spacing w:before="60" w:after="283"/>
        <w:jc w:val="left"/>
        <w:rPr>
          <w:rFonts w:ascii="Tahoma" w:hAnsi="Tahoma"/>
          <w:color w:val="000000"/>
          <w:sz w:val="14"/>
        </w:rPr>
      </w:pPr>
      <w:r>
        <w:rPr>
          <w:rFonts w:ascii="Tahoma" w:hAnsi="Tahoma"/>
          <w:color w:val="000000"/>
          <w:sz w:val="14"/>
        </w:rPr>
        <w:t>(11)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Club Pilates 42 / Pure Barre 14 / Stretchlab 13 / Yoga Six 10 / Row House 6 / Cyclebar 5 / BFT 2 / AKT 1</w:t>
      </w:r>
    </w:p>
    <w:p>
      <w:pPr>
        <w:pStyle w:val="TextBody"/>
        <w:bidi w:val="0"/>
        <w:spacing w:before="60" w:after="283"/>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Note: Represents Regency's consolidated and pro-rata share of real estate partnerships, includes properties in development and leases that are executed but have not rent commenced. Amounts may not foot due to rounding.</w:t>
      </w:r>
    </w:p>
    <w:p>
      <w:pPr>
        <w:pStyle w:val="TextBody"/>
        <w:bidi w:val="0"/>
        <w:jc w:val="right"/>
        <w:rPr/>
      </w:pPr>
      <w:r>
        <w:rPr/>
        <w:drawing>
          <wp:inline distT="0" distB="0" distL="0" distR="0">
            <wp:extent cx="476250" cy="2571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3" w:name="leaseexpirations"/>
      <w:bookmarkEnd w:id="33"/>
      <w:r>
        <w:rPr>
          <w:rFonts w:ascii="Tahoma;sans-serif" w:hAnsi="Tahoma;sans-serif"/>
          <w:b/>
          <w:color w:val="000000"/>
          <w:sz w:val="20"/>
        </w:rPr>
        <w:t>Tenant Lease Expirations</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jc w:val="center"/>
        <w:rPr>
          <w:rFonts w:ascii="Tahoma;sans-serif" w:hAnsi="Tahoma;sans-serif"/>
          <w:color w:val="000000"/>
          <w:sz w:val="20"/>
        </w:rPr>
      </w:pPr>
      <w:r>
        <w:rPr>
          <w:rFonts w:ascii="Tahoma;sans-serif" w:hAnsi="Tahoma;sans-serif"/>
          <w:color w:val="000000"/>
          <w:sz w:val="20"/>
        </w:rPr>
        <w:t>(GLA in thousands)</w:t>
      </w:r>
    </w:p>
    <w:p>
      <w:pPr>
        <w:pStyle w:val="TextBody"/>
        <w:bidi w:val="0"/>
        <w:jc w:val="both"/>
        <w:rPr/>
      </w:pPr>
      <w:r>
        <w:rPr/>
        <w:t> </w:t>
      </w:r>
    </w:p>
    <w:tbl>
      <w:tblPr>
        <w:tblW w:w="4804" w:type="dxa"/>
        <w:jc w:val="left"/>
        <w:tblInd w:w="0" w:type="dxa"/>
        <w:tblLayout w:type="fixed"/>
        <w:tblCellMar>
          <w:top w:w="28" w:type="dxa"/>
          <w:left w:w="28" w:type="dxa"/>
          <w:bottom w:w="28" w:type="dxa"/>
          <w:right w:w="28" w:type="dxa"/>
        </w:tblCellMar>
      </w:tblPr>
      <w:tblGrid>
        <w:gridCol w:w="1096"/>
        <w:gridCol w:w="146"/>
        <w:gridCol w:w="601"/>
        <w:gridCol w:w="146"/>
        <w:gridCol w:w="901"/>
        <w:gridCol w:w="146"/>
        <w:gridCol w:w="976"/>
        <w:gridCol w:w="146"/>
        <w:gridCol w:w="6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24"/>
                <w:u w:val="single"/>
              </w:rPr>
            </w:pPr>
            <w:r>
              <w:rPr>
                <w:rFonts w:ascii="Tahoma;sans-serif" w:hAnsi="Tahoma;sans-serif"/>
                <w:b/>
                <w:color w:val="000000"/>
                <w:sz w:val="24"/>
                <w:u w:val="single"/>
              </w:rPr>
              <w:t>Anchor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xml:space="preserve">Percent of </w:t>
              <w:b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Percent of </w:t>
              <w:br/>
              <w:t>Total ABR</w:t>
            </w:r>
            <w:r>
              <w:rPr>
                <w:rFonts w:ascii="Tahoma;sans-serif" w:hAnsi="Tahoma;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imes New Roman" w:hAnsi="Times New Roman"/>
                <w:sz w:val="16"/>
              </w:rPr>
            </w:pPr>
            <w:r>
              <w:rPr>
                <w:rFonts w:ascii="Tahoma;sans-serif" w:hAnsi="Tahoma;sans-serif"/>
                <w:color w:val="000000"/>
                <w:sz w:val="16"/>
              </w:rPr>
              <w:t>MTM</w:t>
            </w:r>
            <w:r>
              <w:rPr>
                <w:rFonts w:ascii="Tahoma;sans-serif" w:hAnsi="Tahoma;sans-serif"/>
                <w:color w:val="000000"/>
                <w:sz w:val="11"/>
              </w:rPr>
              <w:t>(2)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$13.07</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12.80</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2,849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14.80</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17.00</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3,669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17.61</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15.67</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3,433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18.17</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19.28</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1,011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17.91</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19.94</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18.01</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 Year Total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$16.95</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Thereafter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5,369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17.41</w:t>
            </w:r>
          </w:p>
        </w:tc>
      </w:tr>
      <w:tr>
        <w:trPr/>
        <w:tc>
          <w:tcPr>
            <w:tcW w:w="10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29,039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$17.03</w:t>
            </w:r>
          </w:p>
        </w:tc>
      </w:tr>
    </w:tbl>
    <w:p>
      <w:pPr>
        <w:pStyle w:val="TextBody"/>
        <w:bidi w:val="0"/>
        <w:jc w:val="both"/>
        <w:rPr/>
      </w:pPr>
      <w:r>
        <w:rPr/>
        <w:t> </w:t>
      </w:r>
    </w:p>
    <w:tbl>
      <w:tblPr>
        <w:tblW w:w="4804" w:type="dxa"/>
        <w:jc w:val="left"/>
        <w:tblInd w:w="0" w:type="dxa"/>
        <w:tblLayout w:type="fixed"/>
        <w:tblCellMar>
          <w:top w:w="28" w:type="dxa"/>
          <w:left w:w="28" w:type="dxa"/>
          <w:bottom w:w="28" w:type="dxa"/>
          <w:right w:w="28" w:type="dxa"/>
        </w:tblCellMar>
      </w:tblPr>
      <w:tblGrid>
        <w:gridCol w:w="1096"/>
        <w:gridCol w:w="146"/>
        <w:gridCol w:w="601"/>
        <w:gridCol w:w="146"/>
        <w:gridCol w:w="901"/>
        <w:gridCol w:w="146"/>
        <w:gridCol w:w="976"/>
        <w:gridCol w:w="146"/>
        <w:gridCol w:w="6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24"/>
                <w:u w:val="single"/>
              </w:rPr>
            </w:pPr>
            <w:r>
              <w:rPr>
                <w:rFonts w:ascii="Tahoma;sans-serif" w:hAnsi="Tahoma;sans-serif"/>
                <w:b/>
                <w:color w:val="000000"/>
                <w:sz w:val="24"/>
                <w:u w:val="single"/>
              </w:rPr>
              <w:t>Shop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xml:space="preserve">Percent of </w:t>
              <w:b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Percent of </w:t>
              <w:br/>
              <w:t>Total ABR</w:t>
            </w:r>
            <w:r>
              <w:rPr>
                <w:rFonts w:ascii="Tahoma;sans-serif" w:hAnsi="Tahoma;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imes New Roman" w:hAnsi="Times New Roman"/>
                <w:sz w:val="16"/>
              </w:rPr>
            </w:pPr>
            <w:r>
              <w:rPr>
                <w:rFonts w:ascii="Tahoma;sans-serif" w:hAnsi="Tahoma;sans-serif"/>
                <w:color w:val="000000"/>
                <w:sz w:val="16"/>
              </w:rPr>
              <w:t>MTM</w:t>
            </w:r>
            <w:r>
              <w:rPr>
                <w:rFonts w:ascii="Tahoma;sans-serif" w:hAnsi="Tahoma;sans-serif"/>
                <w:color w:val="000000"/>
                <w:sz w:val="11"/>
              </w:rPr>
              <w:t>(2)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$32.82</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36.37</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2,286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37.38</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37.53</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2,389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39.32</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39.17</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1,670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38.92</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39.24</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1,030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40.73</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40.10</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803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42.51</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 Year Total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$38.69</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Thereafter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1,120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38.46</w:t>
            </w:r>
          </w:p>
        </w:tc>
      </w:tr>
      <w:tr>
        <w:trPr/>
        <w:tc>
          <w:tcPr>
            <w:tcW w:w="10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17,434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$38.67</w:t>
            </w:r>
          </w:p>
        </w:tc>
      </w:tr>
    </w:tbl>
    <w:p>
      <w:pPr>
        <w:pStyle w:val="TextBody"/>
        <w:bidi w:val="0"/>
        <w:jc w:val="left"/>
        <w:rPr/>
      </w:pPr>
      <w:r>
        <w:rPr/>
        <w:t> </w:t>
      </w:r>
    </w:p>
    <w:tbl>
      <w:tblPr>
        <w:tblW w:w="5179" w:type="dxa"/>
        <w:jc w:val="left"/>
        <w:tblInd w:w="0" w:type="dxa"/>
        <w:tblLayout w:type="fixed"/>
        <w:tblCellMar>
          <w:top w:w="28" w:type="dxa"/>
          <w:left w:w="28" w:type="dxa"/>
          <w:bottom w:w="28" w:type="dxa"/>
          <w:right w:w="28" w:type="dxa"/>
        </w:tblCellMar>
      </w:tblPr>
      <w:tblGrid>
        <w:gridCol w:w="1096"/>
        <w:gridCol w:w="146"/>
        <w:gridCol w:w="601"/>
        <w:gridCol w:w="146"/>
        <w:gridCol w:w="1276"/>
        <w:gridCol w:w="146"/>
        <w:gridCol w:w="976"/>
        <w:gridCol w:w="146"/>
        <w:gridCol w:w="6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24"/>
                <w:u w:val="single"/>
              </w:rPr>
            </w:pPr>
            <w:r>
              <w:rPr>
                <w:rFonts w:ascii="Tahoma;sans-serif" w:hAnsi="Tahoma;sans-serif"/>
                <w:b/>
                <w:color w:val="000000"/>
                <w:sz w:val="24"/>
                <w:u w:val="single"/>
              </w:rPr>
              <w:t>All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xml:space="preserve">Percent of </w:t>
              <w:b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Percent of </w:t>
              <w:br/>
              <w:t>Total ABR</w:t>
            </w:r>
            <w:r>
              <w:rPr>
                <w:rFonts w:ascii="Tahoma;sans-serif" w:hAnsi="Tahoma;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imes New Roman" w:hAnsi="Times New Roman"/>
                <w:sz w:val="16"/>
              </w:rPr>
            </w:pPr>
            <w:r>
              <w:rPr>
                <w:rFonts w:ascii="Tahoma;sans-serif" w:hAnsi="Tahoma;sans-serif"/>
                <w:color w:val="000000"/>
                <w:sz w:val="16"/>
              </w:rPr>
              <w:t>MTM</w:t>
            </w:r>
            <w:r>
              <w:rPr>
                <w:rFonts w:ascii="Tahoma;sans-serif" w:hAnsi="Tahoma;sans-serif"/>
                <w:color w:val="000000"/>
                <w:sz w:val="11"/>
              </w:rPr>
              <w:t>(2)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$28.40</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26.81</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5,135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24.85</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25.17</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6,059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26.17</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23.53</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5,104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24.96</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27.60</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2,041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29.42</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29.00</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1,801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28.93</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 Year Total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$25.82</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Thereafter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6,489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21.05</w:t>
            </w:r>
          </w:p>
        </w:tc>
      </w:tr>
      <w:tr>
        <w:trPr/>
        <w:tc>
          <w:tcPr>
            <w:tcW w:w="10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46,473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$25.15</w:t>
            </w:r>
          </w:p>
        </w:tc>
      </w:tr>
    </w:tbl>
    <w:p>
      <w:pPr>
        <w:pStyle w:val="TextBody"/>
        <w:bidi w:val="0"/>
        <w:spacing w:before="240" w:after="120"/>
        <w:jc w:val="left"/>
        <w:rPr>
          <w:rFonts w:ascii="Tahoma;sans-serif" w:hAnsi="Tahoma;sans-serif"/>
          <w:color w:val="000000"/>
          <w:sz w:val="16"/>
        </w:rPr>
      </w:pPr>
      <w:r>
        <w:rPr>
          <w:rFonts w:ascii="Tahoma;sans-serif" w:hAnsi="Tahoma;sans-serif"/>
          <w:color w:val="000000"/>
          <w:sz w:val="16"/>
        </w:rPr>
        <w:t>Notes: Reflects commenced leases only. Does not account for contractual rent steps and assumes that no tenants exercise renewal options. Amounts may not foot due to rounding.</w:t>
      </w:r>
    </w:p>
    <w:p>
      <w:pPr>
        <w:pStyle w:val="TextBody"/>
        <w:bidi w:val="0"/>
        <w:spacing w:before="0" w:after="0"/>
        <w:jc w:val="left"/>
        <w:rPr>
          <w:rFonts w:ascii="Tahoma" w:hAnsi="Tahoma"/>
          <w:color w:val="000000"/>
          <w:sz w:val="14"/>
        </w:rPr>
      </w:pPr>
      <w:r>
        <w:rPr>
          <w:rFonts w:ascii="Tahoma" w:hAnsi="Tahoma"/>
          <w:color w:val="000000"/>
          <w:sz w:val="14"/>
        </w:rPr>
        <w:t>(1)</w:t>
      </w:r>
    </w:p>
    <w:p>
      <w:pPr>
        <w:pStyle w:val="TextBody"/>
        <w:bidi w:val="0"/>
        <w:spacing w:before="0" w:after="0"/>
        <w:jc w:val="left"/>
        <w:rPr>
          <w:rFonts w:ascii="Tahoma;sans-serif" w:hAnsi="Tahoma;sans-serif"/>
          <w:color w:val="000000"/>
          <w:sz w:val="14"/>
        </w:rPr>
      </w:pPr>
      <w:r>
        <w:rPr>
          <w:rFonts w:ascii="Tahoma;sans-serif" w:hAnsi="Tahoma;sans-serif"/>
          <w:color w:val="000000"/>
          <w:sz w:val="14"/>
        </w:rPr>
        <w:t>Total Annual Base Rent ("ABR") excludes additional rent such as percentage rent, common area maintenance, real estate taxes, and insurance reimbursements. Represents Regency's consolidated and pro-rata share of real estate partnerships.</w:t>
      </w:r>
    </w:p>
    <w:p>
      <w:pPr>
        <w:pStyle w:val="TextBody"/>
        <w:bidi w:val="0"/>
        <w:spacing w:before="20" w:after="283"/>
        <w:jc w:val="left"/>
        <w:rPr>
          <w:rFonts w:ascii="Tahoma" w:hAnsi="Tahoma"/>
          <w:color w:val="000000"/>
          <w:sz w:val="14"/>
        </w:rPr>
      </w:pPr>
      <w:r>
        <w:rPr>
          <w:rFonts w:ascii="Tahoma" w:hAnsi="Tahoma"/>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Month to month lease or in process of renewal.</w:t>
      </w:r>
    </w:p>
    <w:p>
      <w:pPr>
        <w:pStyle w:val="TextBody"/>
        <w:bidi w:val="0"/>
        <w:jc w:val="right"/>
        <w:rPr/>
      </w:pPr>
      <w:r>
        <w:rPr/>
        <w:drawing>
          <wp:inline distT="0" distB="0" distL="0" distR="0">
            <wp:extent cx="476250" cy="2571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ahoma;sans-serif" w:hAnsi="Tahoma;sans-serif"/>
          <w:b/>
          <w:color w:val="000000"/>
          <w:sz w:val="20"/>
        </w:rPr>
      </w:pPr>
      <w:bookmarkStart w:id="34" w:name="nav"/>
      <w:bookmarkEnd w:id="34"/>
      <w:r>
        <w:rPr>
          <w:rFonts w:ascii="Tahoma;sans-serif" w:hAnsi="Tahoma;sans-serif"/>
          <w:b/>
          <w:color w:val="000000"/>
          <w:sz w:val="20"/>
        </w:rPr>
        <w:t>Components of Net Asset Value (NAV)</w:t>
      </w:r>
    </w:p>
    <w:p>
      <w:pPr>
        <w:pStyle w:val="TextBody"/>
        <w:bidi w:val="0"/>
        <w:jc w:val="center"/>
        <w:rPr>
          <w:rFonts w:ascii="Tahoma;sans-serif" w:hAnsi="Tahoma;sans-serif"/>
          <w:color w:val="000000"/>
          <w:sz w:val="20"/>
        </w:rPr>
      </w:pPr>
      <w:r>
        <w:rPr>
          <w:rFonts w:ascii="Tahoma;sans-serif" w:hAnsi="Tahoma;sans-serif"/>
          <w:color w:val="000000"/>
          <w:sz w:val="20"/>
        </w:rPr>
        <w:t>As of March 31, 2025</w:t>
      </w:r>
    </w:p>
    <w:p>
      <w:pPr>
        <w:pStyle w:val="TextBody"/>
        <w:bidi w:val="0"/>
        <w:jc w:val="center"/>
        <w:rPr>
          <w:rFonts w:ascii="Tahoma;sans-serif" w:hAnsi="Tahoma;sans-serif"/>
          <w:i/>
          <w:color w:val="000000"/>
          <w:sz w:val="20"/>
        </w:rPr>
      </w:pPr>
      <w:r>
        <w:rPr>
          <w:rFonts w:ascii="Tahoma;sans-serif" w:hAnsi="Tahoma;sans-serif"/>
          <w:i/>
          <w:color w:val="000000"/>
          <w:sz w:val="20"/>
        </w:rPr>
        <w:t>(unaudited and in thousands)</w:t>
      </w:r>
    </w:p>
    <w:p>
      <w:pPr>
        <w:pStyle w:val="TextBody"/>
        <w:bidi w:val="0"/>
        <w:jc w:val="left"/>
        <w:rPr/>
      </w:pPr>
      <w:r>
        <w:rPr/>
        <w:t> </w:t>
      </w:r>
    </w:p>
    <w:tbl>
      <w:tblPr>
        <w:tblW w:w="7878" w:type="dxa"/>
        <w:jc w:val="left"/>
        <w:tblInd w:w="0" w:type="dxa"/>
        <w:tblLayout w:type="fixed"/>
        <w:tblCellMar>
          <w:top w:w="28" w:type="dxa"/>
          <w:left w:w="28" w:type="dxa"/>
          <w:bottom w:w="28" w:type="dxa"/>
          <w:right w:w="28" w:type="dxa"/>
        </w:tblCellMar>
      </w:tblPr>
      <w:tblGrid>
        <w:gridCol w:w="6811"/>
        <w:gridCol w:w="146"/>
        <w:gridCol w:w="921"/>
      </w:tblGrid>
      <w:tr>
        <w:trPr/>
        <w:tc>
          <w:tcPr>
            <w:tcW w:w="6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7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Real Estate: Operating</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Operating Portfolio NOI Excluding Straight-line Rent and Above/Below Market Rent - Current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Consolidated NOI (page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$247,796</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Share of Unconsolidated JV NOI (page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$27,946</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Less: Noncontrolling Interests (page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$(2,204)</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$273,538</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Quarterly Base Rent From Leases Signed But Not Yet Rent-Paying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Retail Operating Properties Excluding In-Process Redevelopments (Quarterly)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$6,847</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Retail Operating Properties Including In-Process Redevelopments (Quarterly)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$11,498</w:t>
            </w:r>
          </w:p>
        </w:tc>
      </w:tr>
      <w:tr>
        <w:trPr/>
        <w:tc>
          <w:tcPr>
            <w:tcW w:w="6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6038" w:type="dxa"/>
        <w:jc w:val="left"/>
        <w:tblInd w:w="0" w:type="dxa"/>
        <w:tblLayout w:type="fixed"/>
        <w:tblCellMar>
          <w:top w:w="28" w:type="dxa"/>
          <w:left w:w="28" w:type="dxa"/>
          <w:bottom w:w="28" w:type="dxa"/>
          <w:right w:w="28" w:type="dxa"/>
        </w:tblCellMar>
      </w:tblPr>
      <w:tblGrid>
        <w:gridCol w:w="4971"/>
        <w:gridCol w:w="146"/>
        <w:gridCol w:w="921"/>
      </w:tblGrid>
      <w:tr>
        <w:trPr/>
        <w:tc>
          <w:tcPr>
            <w:tcW w:w="4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4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Real Estate: In-Process Ground-Up Developments and Redevelopments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In-Process Ground-Up Development</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REG's Estimated Net Project Costs (page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$239,000</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Stabilized Yield (page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7%</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Annualized Proforma Stabilized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$16,730</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 of Costs Incurred (page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58%</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$138,620</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NOI from In-Process Ground-Up Development - Current Quarter</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In-place NOI from Current Year Ground-Up Development Completions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In-place NOI from In-Process Ground-Up Developments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$356</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In-Process Redevelopment Projects</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REG's Estimated Net Project Costs (page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$260,000</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Stabilized Yield (page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10%</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Annualized Proforma Stabilized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$26,000</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 of Costs Incurred (page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44%</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$114,400</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NOI from In-Process Redevelopment - Current Quarter</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In-place NOI from Current Year Redevelopment Completions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$65</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In-place NOI from In-Process Redevelopments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$(503)</w:t>
            </w:r>
          </w:p>
        </w:tc>
      </w:tr>
      <w:tr>
        <w:trPr/>
        <w:tc>
          <w:tcPr>
            <w:tcW w:w="4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18" w:type="dxa"/>
        <w:jc w:val="left"/>
        <w:tblInd w:w="0" w:type="dxa"/>
        <w:tblLayout w:type="fixed"/>
        <w:tblCellMar>
          <w:top w:w="28" w:type="dxa"/>
          <w:left w:w="28" w:type="dxa"/>
          <w:bottom w:w="28" w:type="dxa"/>
          <w:right w:w="28" w:type="dxa"/>
        </w:tblCellMar>
      </w:tblPr>
      <w:tblGrid>
        <w:gridCol w:w="5101"/>
        <w:gridCol w:w="146"/>
        <w:gridCol w:w="57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5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Fee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Third-Party Management Fees and Commissions - Current Quarter (page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$6,812</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Less: Share of JV's Total fee income - Current Quarter (page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$(261)</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903" w:type="dxa"/>
        <w:jc w:val="left"/>
        <w:tblInd w:w="0" w:type="dxa"/>
        <w:tblLayout w:type="fixed"/>
        <w:tblCellMar>
          <w:top w:w="28" w:type="dxa"/>
          <w:left w:w="28" w:type="dxa"/>
          <w:bottom w:w="28" w:type="dxa"/>
          <w:right w:w="28" w:type="dxa"/>
        </w:tblCellMar>
      </w:tblPr>
      <w:tblGrid>
        <w:gridCol w:w="4911"/>
        <w:gridCol w:w="146"/>
        <w:gridCol w:w="846"/>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4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Other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Estimated Market Value of Land &amp; Non-income Producing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Land held for sale or future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$32,277</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Outparcels at retail operating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$6,839</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Non-income producing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$11,800</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Total Estimated Market Value of Land &amp; Non-income Producing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$50,916</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Regency's Pro-Rata Share (page 3 &amp;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$37,809</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Tenant and other receivables, excluding Straight line 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$90,162</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Assets, excluding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$162,817</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923" w:type="dxa"/>
        <w:jc w:val="left"/>
        <w:tblInd w:w="0" w:type="dxa"/>
        <w:tblLayout w:type="fixed"/>
        <w:tblCellMar>
          <w:top w:w="28" w:type="dxa"/>
          <w:left w:w="28" w:type="dxa"/>
          <w:bottom w:w="28" w:type="dxa"/>
          <w:right w:w="28" w:type="dxa"/>
        </w:tblCellMar>
      </w:tblPr>
      <w:tblGrid>
        <w:gridCol w:w="2736"/>
        <w:gridCol w:w="146"/>
        <w:gridCol w:w="1041"/>
      </w:tblGrid>
      <w:tr>
        <w:trPr/>
        <w:tc>
          <w:tcPr>
            <w:tcW w:w="2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Regency's Pro-Rata Share (page 3 &amp;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$4,916,424</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$365,536</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Tenants' security, escrow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$86,424</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$225,000</w:t>
            </w:r>
          </w:p>
        </w:tc>
      </w:tr>
      <w:tr>
        <w:trPr/>
        <w:tc>
          <w:tcPr>
            <w:tcW w:w="2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323" w:type="dxa"/>
        <w:jc w:val="left"/>
        <w:tblInd w:w="0" w:type="dxa"/>
        <w:tblLayout w:type="fixed"/>
        <w:tblCellMar>
          <w:top w:w="28" w:type="dxa"/>
          <w:left w:w="28" w:type="dxa"/>
          <w:bottom w:w="28" w:type="dxa"/>
          <w:right w:w="28" w:type="dxa"/>
        </w:tblCellMar>
      </w:tblPr>
      <w:tblGrid>
        <w:gridCol w:w="4531"/>
        <w:gridCol w:w="146"/>
        <w:gridCol w:w="64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Common Shares and Equivalents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Common Shares and Equivalents Issued and Outstanding (page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182,623</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drawing>
          <wp:inline distT="0" distB="0" distL="0" distR="0">
            <wp:extent cx="476250" cy="2571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ahoma;sans-serif" w:hAnsi="Tahoma;sans-serif"/>
          <w:b/>
          <w:color w:val="000000"/>
          <w:sz w:val="20"/>
        </w:rPr>
      </w:pPr>
      <w:bookmarkStart w:id="35" w:name="guidance"/>
      <w:bookmarkEnd w:id="35"/>
      <w:r>
        <w:rPr>
          <w:rFonts w:ascii="Tahoma;sans-serif" w:hAnsi="Tahoma;sans-serif"/>
          <w:b/>
          <w:color w:val="000000"/>
          <w:sz w:val="20"/>
        </w:rPr>
        <w:t>Earnings Guidance</w:t>
      </w:r>
    </w:p>
    <w:p>
      <w:pPr>
        <w:pStyle w:val="TextBody"/>
        <w:bidi w:val="0"/>
        <w:jc w:val="center"/>
        <w:rPr>
          <w:rFonts w:ascii="Tahoma;sans-serif" w:hAnsi="Tahoma;sans-serif"/>
          <w:color w:val="000000"/>
          <w:sz w:val="20"/>
        </w:rPr>
      </w:pPr>
      <w:r>
        <w:rPr>
          <w:rFonts w:ascii="Tahoma;sans-serif" w:hAnsi="Tahoma;sans-serif"/>
          <w:color w:val="000000"/>
          <w:sz w:val="20"/>
        </w:rPr>
        <w:t>March 31, 2025</w:t>
      </w:r>
    </w:p>
    <w:p>
      <w:pPr>
        <w:pStyle w:val="TextBody"/>
        <w:bidi w:val="0"/>
        <w:spacing w:before="60" w:after="283"/>
        <w:jc w:val="left"/>
        <w:rPr/>
      </w:pPr>
      <w:r>
        <w:rPr/>
        <w:t> </w:t>
      </w:r>
    </w:p>
    <w:p>
      <w:pPr>
        <w:pStyle w:val="TextBody"/>
        <w:bidi w:val="0"/>
        <w:spacing w:before="60" w:after="283"/>
        <w:jc w:val="left"/>
        <w:rPr/>
      </w:pPr>
      <w:r>
        <w:rPr/>
        <w:t> </w:t>
      </w:r>
    </w:p>
    <w:tbl>
      <w:tblPr>
        <w:tblW w:w="8104" w:type="dxa"/>
        <w:jc w:val="left"/>
        <w:tblInd w:w="0" w:type="dxa"/>
        <w:tblLayout w:type="fixed"/>
        <w:tblCellMar>
          <w:top w:w="28" w:type="dxa"/>
          <w:left w:w="28" w:type="dxa"/>
          <w:bottom w:w="28" w:type="dxa"/>
          <w:right w:w="28" w:type="dxa"/>
        </w:tblCellMar>
      </w:tblPr>
      <w:tblGrid>
        <w:gridCol w:w="4426"/>
        <w:gridCol w:w="901"/>
        <w:gridCol w:w="1291"/>
        <w:gridCol w:w="1486"/>
      </w:tblGrid>
      <w:tr>
        <w:trPr/>
        <w:tc>
          <w:tcPr>
            <w:tcW w:w="44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ahoma;sans-serif" w:hAnsi="Tahoma;sans-serif"/>
                <w:b/>
                <w:color w:val="000000"/>
                <w:sz w:val="18"/>
              </w:rPr>
              <w:t xml:space="preserve">Full Year 2025 Guidance </w:t>
            </w:r>
            <w:r>
              <w:rPr>
                <w:rFonts w:ascii="Tahoma;sans-serif" w:hAnsi="Tahoma;sans-serif"/>
                <w:color w:val="000000"/>
                <w:sz w:val="14"/>
              </w:rPr>
              <w:t>(in thousands, except per share data)</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YTD Actual</w:t>
            </w:r>
          </w:p>
        </w:tc>
        <w:tc>
          <w:tcPr>
            <w:tcW w:w="1291" w:type="dxa"/>
            <w:tcBorders>
              <w:top w:val="single" w:sz="4" w:space="0" w:color="808080"/>
              <w:bottom w:val="single" w:sz="4" w:space="0" w:color="BFBFBF"/>
              <w:right w:val="single" w:sz="4" w:space="0" w:color="808080"/>
            </w:tcBorders>
            <w:shd w:fill="808080" w:val="clear"/>
            <w:tcMar>
              <w:left w:w="0" w:type="dxa"/>
            </w:tcMar>
            <w:vAlign w:val="center"/>
          </w:tcPr>
          <w:p>
            <w:pPr>
              <w:pStyle w:val="TableContents"/>
              <w:bidi w:val="0"/>
              <w:spacing w:before="0" w:after="283"/>
              <w:jc w:val="center"/>
              <w:rPr>
                <w:rFonts w:ascii="Tahoma;sans-serif" w:hAnsi="Tahoma;sans-serif"/>
                <w:b/>
                <w:color w:val="FFFFFF"/>
                <w:sz w:val="16"/>
              </w:rPr>
            </w:pPr>
            <w:r>
              <w:rPr>
                <w:rFonts w:ascii="Tahoma;sans-serif" w:hAnsi="Tahoma;sans-serif"/>
                <w:b/>
                <w:color w:val="FFFFFF"/>
                <w:sz w:val="16"/>
              </w:rPr>
              <w:t>2025 Guidance</w:t>
            </w:r>
          </w:p>
        </w:tc>
        <w:tc>
          <w:tcPr>
            <w:tcW w:w="148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Previous Guidance</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 per diluted share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$0.58</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$2.25 - $2.31</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$2.25 - $2.31</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 (“Nareit FFO”) per diluted share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$1.15</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$4.52 - $4.58</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$4.52 - $4.58</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4"/>
              </w:rPr>
              <w:t>Core Operating Earnings per diluted share</w:t>
            </w:r>
            <w:r>
              <w:rPr>
                <w:rFonts w:ascii="Tahoma;sans-serif" w:hAnsi="Tahoma;sans-serif"/>
                <w:color w:val="000000"/>
                <w:sz w:val="11"/>
              </w:rPr>
              <w:t>(1)</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$1.09</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$4.30 - $4.36</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$4.30 - $4.36</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Same property NOI growth without termination fees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 to +4.0%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 to +4.0%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Non-cash revenues</w:t>
            </w:r>
            <w:r>
              <w:rPr>
                <w:rFonts w:ascii="Tahoma;sans-serif" w:hAnsi="Tahoma;sans-serif"/>
                <w:color w:val="000000"/>
                <w:sz w:val="9"/>
              </w:rPr>
              <w:t>(2)</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$12,581</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+/-$46,000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$45,000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G&amp;A expense, net</w:t>
            </w:r>
            <w:r>
              <w:rPr>
                <w:rFonts w:ascii="Tahoma;sans-serif" w:hAnsi="Tahoma;sans-serif"/>
                <w:color w:val="000000"/>
                <w:sz w:val="9"/>
              </w:rPr>
              <w:t>(3)</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$22,193</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$93,000-$96,000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$93,000-$96,000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Interest expense, net and Preferred stock dividends</w:t>
            </w:r>
            <w:r>
              <w:rPr>
                <w:rFonts w:ascii="Tahoma;sans-serif" w:hAnsi="Tahoma;sans-serif"/>
                <w:color w:val="000000"/>
                <w:sz w:val="9"/>
              </w:rPr>
              <w:t>(4)</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$56,552</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$232,000-$235,000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$231,000-$234,000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Management, transaction and other fees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$6,551</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Development and Redevelopment spend</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$66,906</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Acquisitions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$133,032</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+/-$140,000</w:t>
            </w:r>
          </w:p>
        </w:tc>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+/-$135,000</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5.4%</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+/- 5.5%</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Dispositions</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+/-$75,000</w:t>
            </w:r>
          </w:p>
        </w:tc>
        <w:tc>
          <w:tcPr>
            <w:tcW w:w="1486"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+/-$75,000</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0.0%</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+/- 6.0%</w:t>
            </w:r>
          </w:p>
        </w:tc>
        <w:tc>
          <w:tcPr>
            <w:tcW w:w="1486"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+/- 6.0%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Share/unit issuances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$100,000</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$100,000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486" w:type="dxa"/>
            <w:tcBorders>
              <w:bottom w:val="single" w:sz="4" w:space="0" w:color="BFBFBF"/>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tbl>
      <w:tblPr>
        <w:tblW w:w="7135" w:type="dxa"/>
        <w:jc w:val="left"/>
        <w:tblInd w:w="0" w:type="dxa"/>
        <w:tblLayout w:type="fixed"/>
        <w:tblCellMar>
          <w:top w:w="28" w:type="dxa"/>
          <w:left w:w="28" w:type="dxa"/>
          <w:bottom w:w="28" w:type="dxa"/>
          <w:right w:w="28" w:type="dxa"/>
        </w:tblCellMar>
      </w:tblPr>
      <w:tblGrid>
        <w:gridCol w:w="5236"/>
        <w:gridCol w:w="146"/>
        <w:gridCol w:w="541"/>
        <w:gridCol w:w="146"/>
        <w:gridCol w:w="1066"/>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Reconciliation of Net Income to Earnings Guidance </w:t>
            </w:r>
            <w:r>
              <w:rPr>
                <w:rFonts w:ascii="Tahoma;sans-serif" w:hAnsi="Tahoma;sans-serif"/>
                <w:color w:val="000000"/>
                <w:sz w:val="16"/>
              </w:rPr>
              <w:t>(per diluted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Full Year 2025</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High</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income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2.31</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Adjustments to reconcile net income to Nareit 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Depreciation and amortization (excluding FF&amp;E)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2.26</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rFonts w:ascii="Tahoma;sans-serif" w:hAnsi="Tahoma;sans-serif"/>
                <w:color w:val="000000"/>
                <w:sz w:val="16"/>
              </w:rPr>
            </w:pPr>
            <w:r>
              <w:rPr>
                <w:rFonts w:ascii="Tahoma;sans-serif" w:hAnsi="Tahoma;sans-serif"/>
                <w:color w:val="000000"/>
                <w:sz w:val="16"/>
              </w:rPr>
              <w:t>0.01</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Nareit Funds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4.58</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Adjustments to reconcile Nareit FFO to Core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Straight line rent,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(0.12)</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Above/below market rent amortization,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(0.13)</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Debt and derivative mark-to-market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rFonts w:ascii="Tahoma;sans-serif" w:hAnsi="Tahoma;sans-serif"/>
                <w:color w:val="000000"/>
                <w:sz w:val="16"/>
              </w:rPr>
            </w:pPr>
            <w:r>
              <w:rPr>
                <w:rFonts w:ascii="Tahoma;sans-serif" w:hAnsi="Tahoma;sans-serif"/>
                <w:color w:val="000000"/>
                <w:sz w:val="16"/>
              </w:rPr>
              <w:t>0.03</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Core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4.36</w:t>
            </w:r>
          </w:p>
        </w:tc>
      </w:tr>
    </w:tbl>
    <w:p>
      <w:pPr>
        <w:pStyle w:val="TextBody"/>
        <w:bidi w:val="0"/>
        <w:spacing w:before="180" w:after="283"/>
        <w:jc w:val="left"/>
        <w:rPr>
          <w:rFonts w:ascii="Tahoma;sans-serif" w:hAnsi="Tahoma;sans-serif"/>
          <w:color w:val="000000"/>
          <w:sz w:val="14"/>
        </w:rPr>
      </w:pPr>
      <w:r>
        <w:rPr>
          <w:rFonts w:ascii="Tahoma;sans-serif" w:hAnsi="Tahoma;sans-serif"/>
          <w:color w:val="000000"/>
          <w:sz w:val="14"/>
        </w:rPr>
        <w:t>Note: Figures above represent 100% of Regency's consolidated entities and its pro-rata share of unconsolidated real estate partnerships, with the exception of items that are net of noncontrolling interests including per share data, "Development and Redevelopment spend", "Acquisitions", and "Dispositions".</w:t>
      </w:r>
    </w:p>
    <w:p>
      <w:pPr>
        <w:pStyle w:val="TextBody"/>
        <w:bidi w:val="0"/>
        <w:spacing w:before="60" w:after="283"/>
        <w:jc w:val="left"/>
        <w:rPr>
          <w:rFonts w:ascii="Tahoma" w:hAnsi="Tahoma"/>
          <w:color w:val="000000"/>
          <w:sz w:val="14"/>
        </w:rPr>
      </w:pPr>
      <w:r>
        <w:rPr>
          <w:rFonts w:ascii="Tahoma" w:hAnsi="Tahoma"/>
          <w:color w:val="000000"/>
          <w:sz w:val="14"/>
        </w:rPr>
        <w:t>(1)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pStyle w:val="TextBody"/>
        <w:bidi w:val="0"/>
        <w:spacing w:before="60" w:after="283"/>
        <w:jc w:val="left"/>
        <w:rPr>
          <w:rFonts w:ascii="Tahoma" w:hAnsi="Tahoma"/>
          <w:color w:val="000000"/>
          <w:sz w:val="14"/>
        </w:rPr>
      </w:pPr>
      <w:r>
        <w:rPr>
          <w:rFonts w:ascii="Tahoma" w:hAnsi="Tahoma"/>
          <w:color w:val="000000"/>
          <w:sz w:val="14"/>
        </w:rPr>
        <w:t>(2)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Includes above and below market rent amortization and straight-line rents, and excludes debt and derivative mark to market amortization.</w:t>
      </w:r>
    </w:p>
    <w:p>
      <w:pPr>
        <w:pStyle w:val="TextBody"/>
        <w:bidi w:val="0"/>
        <w:spacing w:before="60" w:after="283"/>
        <w:jc w:val="left"/>
        <w:rPr>
          <w:rFonts w:ascii="Tahoma" w:hAnsi="Tahoma"/>
          <w:color w:val="000000"/>
          <w:sz w:val="14"/>
        </w:rPr>
      </w:pPr>
      <w:r>
        <w:rPr>
          <w:rFonts w:ascii="Tahoma" w:hAnsi="Tahoma"/>
          <w:color w:val="000000"/>
          <w:sz w:val="14"/>
        </w:rPr>
        <w:t>(3)</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Represents 'General &amp; administrative, net' before gains or losses on deferred compensation plan, as reported on supplemental pages 6 and 7 and calculated on a pro rata basis.</w:t>
      </w:r>
    </w:p>
    <w:p>
      <w:pPr>
        <w:pStyle w:val="TextBody"/>
        <w:bidi w:val="0"/>
        <w:spacing w:before="20" w:after="283"/>
        <w:jc w:val="left"/>
        <w:rPr>
          <w:rFonts w:ascii="Tahoma" w:hAnsi="Tahoma"/>
          <w:color w:val="000000"/>
          <w:sz w:val="14"/>
        </w:rPr>
      </w:pPr>
      <w:r>
        <w:rPr>
          <w:rFonts w:ascii="Tahoma" w:hAnsi="Tahoma"/>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debt and derivative mark to market amortization, and is net of interest income.</w:t>
      </w:r>
    </w:p>
    <w:p>
      <w:pPr>
        <w:pStyle w:val="TextBody"/>
        <w:bidi w:val="0"/>
        <w:spacing w:before="60" w:after="283"/>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Forward-looking statements involve risks, uncertainties and assumptions. Actual future performance, outcomes and results may differ materially from those expressed in forward-looking statements. Please refer to the documents filed by Regency Centers Corporation with the SEC, specifically the most recent reports on forms 10-K and 10-Q, which identify important risk factors which could cause actual results to differ from those contained in the forward-looking statements.</w:t>
      </w:r>
    </w:p>
    <w:p>
      <w:pPr>
        <w:pStyle w:val="TextBody"/>
        <w:bidi w:val="0"/>
        <w:jc w:val="right"/>
        <w:rPr/>
      </w:pPr>
      <w:r>
        <w:rPr/>
        <w:drawing>
          <wp:inline distT="0" distB="0" distL="0" distR="0">
            <wp:extent cx="476250" cy="2571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ahoma;sans-serif" w:hAnsi="Tahoma;sans-serif"/>
          <w:b/>
          <w:color w:val="000000"/>
          <w:sz w:val="18"/>
        </w:rPr>
      </w:pPr>
      <w:bookmarkStart w:id="36" w:name="glossary"/>
      <w:bookmarkEnd w:id="36"/>
      <w:r>
        <w:rPr>
          <w:rFonts w:ascii="Tahoma;sans-serif" w:hAnsi="Tahoma;sans-serif"/>
          <w:b/>
          <w:color w:val="000000"/>
          <w:sz w:val="18"/>
        </w:rPr>
        <w:t>Glossary of Terms</w:t>
      </w:r>
    </w:p>
    <w:p>
      <w:pPr>
        <w:pStyle w:val="TextBody"/>
        <w:bidi w:val="0"/>
        <w:jc w:val="center"/>
        <w:rPr>
          <w:rFonts w:ascii="Tahoma;sans-serif" w:hAnsi="Tahoma;sans-serif"/>
          <w:color w:val="000000"/>
          <w:sz w:val="18"/>
        </w:rPr>
      </w:pPr>
      <w:r>
        <w:rPr>
          <w:rFonts w:ascii="Tahoma;sans-serif" w:hAnsi="Tahoma;sans-serif"/>
          <w:color w:val="000000"/>
          <w:sz w:val="18"/>
        </w:rPr>
        <w:t>March 31, 2025</w:t>
      </w:r>
    </w:p>
    <w:p>
      <w:pPr>
        <w:pStyle w:val="TextBody"/>
        <w:bidi w:val="0"/>
        <w:jc w:val="center"/>
        <w:rPr/>
      </w:pPr>
      <w:r>
        <w:rPr/>
        <w:t> </w:t>
      </w:r>
    </w:p>
    <w:p>
      <w:pPr>
        <w:pStyle w:val="TextBody"/>
        <w:bidi w:val="0"/>
        <w:spacing w:before="180" w:after="360"/>
        <w:jc w:val="left"/>
        <w:rPr>
          <w:rFonts w:ascii="Tahoma;sans-serif" w:hAnsi="Tahoma;sans-serif"/>
          <w:b/>
          <w:color w:val="000000"/>
          <w:sz w:val="18"/>
        </w:rPr>
      </w:pPr>
      <w:r>
        <w:rPr>
          <w:rFonts w:ascii="Tahoma;sans-serif" w:hAnsi="Tahoma;sans-serif"/>
          <w:b/>
          <w:color w:val="000000"/>
          <w:sz w:val="18"/>
        </w:rPr>
        <w:t>Non-GAAP Financial Measures</w:t>
      </w:r>
    </w:p>
    <w:p>
      <w:pPr>
        <w:pStyle w:val="TextBody"/>
        <w:bidi w:val="0"/>
        <w:spacing w:before="0" w:after="360"/>
        <w:jc w:val="left"/>
        <w:rPr>
          <w:rFonts w:ascii="Tahoma;sans-serif" w:hAnsi="Tahoma;sans-serif"/>
          <w:color w:val="000000"/>
          <w:sz w:val="18"/>
        </w:rPr>
      </w:pPr>
      <w:r>
        <w:rPr>
          <w:rFonts w:ascii="Tahoma;sans-serif" w:hAnsi="Tahoma;sans-serif"/>
          <w:color w:val="000000"/>
          <w:sz w:val="18"/>
        </w:rPr>
        <w:t>The Company provides the following non-GAAP financial measures as supplemental information to enhance investors’ understanding of its financial performance and liquidity. These measures are not intended to replace or be considered more meaningful than net income or cash flow from operating activities, as calculated in accordance with GAAP. Non-GAAP measures have inherent limitations, as they exclude certain income and expense items that impact operating results. As such, they should be viewed in conjunction with GAAP results. Additionally, the Company’s methodology for calculating these measures may differ from that used by other REITs, making comparisons to similarly titled metrics potentially inconsistent. Investors should be aware that the excluded items remain relevant to a comprehensive assessment of financial performance.</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 xml:space="preserve">Adjusted Funds From Operations (AFFO): </w:t>
      </w:r>
      <w:r>
        <w:rPr>
          <w:rFonts w:ascii="Tahoma;sans-serif" w:hAnsi="Tahoma;sans-serif"/>
          <w:color w:val="000000"/>
          <w:sz w:val="18"/>
        </w:rPr>
        <w:t>An additional performance measure used by Regency that reflects cash available to fund the Company’s business needs and distribution to shareholders. AFFO is calculated by adjusting Core Operating Earnings for (i) capital expenditures necessary to maintain and lease the Company’s portfolio of properties, (ii) debt cost and derivative adjustments and (iii) stock-based compensation.</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Core Operating Earnings:</w:t>
      </w:r>
      <w:r>
        <w:rPr>
          <w:rFonts w:ascii="Times New Roman" w:hAnsi="Times New Roman"/>
          <w:color w:val="000000"/>
          <w:sz w:val="20"/>
        </w:rPr>
        <w:t xml:space="preserve"> </w:t>
      </w:r>
      <w:r>
        <w:rPr>
          <w:rFonts w:ascii="Tahoma;sans-serif" w:hAnsi="Tahoma;sans-serif"/>
          <w:color w:val="000000"/>
          <w:sz w:val="18"/>
        </w:rPr>
        <w:t>An additional performance measure used by Regency because the computation of Nareit Funds from Operations (“Nareit FFO”) includes certain non-comparable items that affect the Company's period-over-period performance. 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Fixed Charge Coverage Ratio:</w:t>
      </w:r>
      <w:r>
        <w:rPr>
          <w:rFonts w:ascii="Times New Roman" w:hAnsi="Times New Roman"/>
          <w:color w:val="000000"/>
          <w:sz w:val="20"/>
        </w:rPr>
        <w:t xml:space="preserve"> </w:t>
      </w:r>
      <w:r>
        <w:rPr>
          <w:rFonts w:ascii="Tahoma;sans-serif" w:hAnsi="Tahoma;sans-serif"/>
          <w:color w:val="000000"/>
          <w:sz w:val="18"/>
        </w:rPr>
        <w:t>Operating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divided by the sum of the gross interest and scheduled mortgage principal paid to our lenders. We use the Fixed Charge Coverage Ratio as a key performance indicator to assess our ability to meet fixed financing obligations. Management, creditors, and rating agencies commonly rely on this ratio to evaluate our financial flexibility and overall creditworthiness. It also allows us and our investors to gauge how effectively our ongoing operating performance supports the fulfillment of fixed commitments. We believe this metric offers valuable insight into the strength and sustainability of our capital structure and liquidity position.</w:t>
      </w:r>
      <w:r>
        <w:rPr>
          <w:rFonts w:ascii="Times New Roman" w:hAnsi="Times New Roman"/>
          <w:color w:val="000000"/>
          <w:sz w:val="20"/>
        </w:rPr>
        <w:t xml:space="preserve"> </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Nareit Funds From Operations (Nareit FFO):</w:t>
      </w:r>
      <w:r>
        <w:rPr>
          <w:rFonts w:ascii="Times New Roman" w:hAnsi="Times New Roman"/>
          <w:color w:val="000000"/>
          <w:sz w:val="20"/>
        </w:rPr>
        <w:t xml:space="preserve"> </w:t>
      </w:r>
      <w:r>
        <w:rPr>
          <w:rFonts w:ascii="Tahoma;sans-serif" w:hAnsi="Tahoma;sans-serif"/>
          <w:color w:val="000000"/>
          <w:sz w:val="18"/>
        </w:rPr>
        <w:t>Nareit FFO is a commonly used measure of REIT performance, which Nareit defines as net income, computed in accordance with GAAP, excluding gains on sales and impairments of real estate, net of tax, plus depreciation and amortization, and after adjustments for unconsolidated real estate investment partnerships and joint ventures. Regency computes Nareit FFO for all periods presented in accordance with Nareit's definition. Companies use different depreciable lives and methods, and real estate values historically fluctuate with market conditions. Since Nareit FFO excludes depreciation and amortization and gains on sale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 xml:space="preserve">Pro-rata Net Debt and Preferreds-to-Operating EBITDAre: </w:t>
      </w:r>
      <w:r>
        <w:rPr>
          <w:rFonts w:ascii="Tahoma;sans-serif" w:hAnsi="Tahoma;sans-serif"/>
          <w:color w:val="000000"/>
          <w:sz w:val="18"/>
        </w:rPr>
        <w:t>Net debt plus preferred stock divided by Operating EBITDAre. Net debt is calculated as the sum of consolidated debt and Regency’s pro-rata share of unconsolidated debt, less cash, cash equivalents, and restricted cash. This metric is used by management and investors to evaluate Regency’s leverage and capital structure in relation to its earnings-generating capacity. We believe this ratio is useful to investors as it provides insight into Regency’s financial leverage, independent of fluctuations in cash levels, and allows for consistent period-over-period comparison. The pro-rata share presentation reflects the economic impact of Regency’s unconsolidated joint ventures.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Net Operating Income (NOI):</w:t>
      </w:r>
      <w:r>
        <w:rPr>
          <w:rFonts w:ascii="Times New Roman" w:hAnsi="Times New Roman"/>
          <w:color w:val="000000"/>
          <w:sz w:val="20"/>
        </w:rPr>
        <w:t xml:space="preserve"> </w:t>
      </w:r>
      <w:r>
        <w:rPr>
          <w:rFonts w:ascii="Tahoma;sans-serif" w:hAnsi="Tahoma;sans-serif"/>
          <w:color w:val="000000"/>
          <w:sz w:val="18"/>
        </w:rPr>
        <w:t>The sum of base rent, percentage rent, termination fee income, tenant recoveries, other lease income, and other 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The Company also provides disclosure of NOI excluding termination fees, which excludes both termination fee income and expenses. 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w:t>
      </w:r>
      <w:r>
        <w:rPr>
          <w:rFonts w:ascii="Times New Roman" w:hAnsi="Times New Roman"/>
          <w:color w:val="000000"/>
          <w:sz w:val="20"/>
        </w:rPr>
        <w:t xml:space="preserve"> </w:t>
      </w:r>
    </w:p>
    <w:p>
      <w:pPr>
        <w:pStyle w:val="TextBody"/>
        <w:bidi w:val="0"/>
        <w:jc w:val="right"/>
        <w:rPr/>
      </w:pPr>
      <w:r>
        <w:rPr/>
        <w:drawing>
          <wp:inline distT="0" distB="0" distL="0" distR="0">
            <wp:extent cx="476250" cy="2571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360"/>
        <w:jc w:val="left"/>
        <w:rPr>
          <w:rFonts w:ascii="Times New Roman" w:hAnsi="Times New Roman"/>
          <w:sz w:val="20"/>
        </w:rPr>
      </w:pPr>
      <w:r>
        <w:rPr>
          <w:rFonts w:ascii="Tahoma;sans-serif" w:hAnsi="Tahoma;sans-serif"/>
          <w:b/>
          <w:color w:val="000000"/>
          <w:sz w:val="18"/>
          <w:u w:val="single"/>
        </w:rPr>
        <w:t>Operating EBITDA</w:t>
      </w:r>
      <w:r>
        <w:rPr>
          <w:rFonts w:ascii="Tahoma;sans-serif" w:hAnsi="Tahoma;sans-serif"/>
          <w:b/>
          <w:i/>
          <w:color w:val="000000"/>
          <w:sz w:val="18"/>
          <w:u w:val="single"/>
        </w:rPr>
        <w:t>re</w:t>
      </w:r>
      <w:r>
        <w:rPr>
          <w:rFonts w:ascii="Tahoma;sans-serif" w:hAnsi="Tahoma;sans-serif"/>
          <w:b/>
          <w:color w:val="000000"/>
          <w:sz w:val="18"/>
          <w:u w:val="single"/>
        </w:rPr>
        <w:t>:</w:t>
      </w:r>
      <w:r>
        <w:rPr>
          <w:rFonts w:ascii="Times New Roman" w:hAnsi="Times New Roman"/>
          <w:color w:val="000000"/>
          <w:sz w:val="20"/>
        </w:rPr>
        <w:t xml:space="preserve"> </w:t>
      </w:r>
      <w:r>
        <w:rPr>
          <w:rFonts w:ascii="Tahoma;sans-serif" w:hAnsi="Tahoma;sans-serif"/>
          <w:color w:val="000000"/>
          <w:sz w:val="18"/>
        </w:rPr>
        <w:t>Nareit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is a measure of REIT performance, which the Nareit defines as net income, computed in accordance with GAAP, excluding (i) interest expense; (ii) income tax expense; (iii) depreciation and amortization; (iv) gains on sales of real estate; (v) impairments of real estate; and (vi) adjustments to reflect the Company’s share of unconsolidated partnerships and joint ventures. Operating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excludes from Nareit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certain non-cash components of earnings derived from straight-line rents and above and below market rent amortization. The Company provides a reconciliation of Net Income to Nareit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to Operating EBITDA</w:t>
      </w:r>
      <w:r>
        <w:rPr>
          <w:rFonts w:ascii="Tahoma;sans-serif" w:hAnsi="Tahoma;sans-serif"/>
          <w:i/>
          <w:color w:val="000000"/>
          <w:sz w:val="18"/>
        </w:rPr>
        <w:t>re</w:t>
      </w:r>
      <w:r>
        <w:rPr>
          <w:rFonts w:ascii="Tahoma;sans-serif" w:hAnsi="Tahoma;sans-serif"/>
          <w:color w:val="000000"/>
          <w:sz w:val="18"/>
        </w:rPr>
        <w:t>.</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Pro-rata information:</w:t>
      </w:r>
      <w:r>
        <w:rPr>
          <w:rFonts w:ascii="Times New Roman" w:hAnsi="Times New Roman"/>
          <w:color w:val="000000"/>
          <w:sz w:val="20"/>
        </w:rPr>
        <w:t xml:space="preserve"> </w:t>
      </w:r>
      <w:r>
        <w:rPr>
          <w:rFonts w:ascii="Tahoma;sans-serif" w:hAnsi="Tahoma;sans-serif"/>
          <w:color w:val="000000"/>
          <w:sz w:val="18"/>
        </w:rPr>
        <w:t>includes 100% of the Company’s consolidated properties plus its economic share (based on the ownership interest) in the unconsolidated real estate investment partnerships. The Company provides Pro-rata financial information because Regency believes it assists investors and analysts in estimating the economic interest in the consolidated and unconsolidated real estate investment partnerships, when read in conjunction with the Company’s reported results under GAAP. The Company believes presenting its Pro-rata share of assets, liabilities, operating results, and other metrics, along with certain other non-GAAP financial measures, makes comparisons of its operating results to those of other REITs more meaningful. The Pro-rata information provided is not, nor is it intended to be, presented in accordance with GAAP. The Pro-rata supplemental details of assets and liabilities and supplemental details of operations reflect the Company’s proportionate economic ownership of the assets, liabilities, and operating results of the properties in our portfolio.</w:t>
      </w:r>
      <w:r>
        <w:rPr>
          <w:rFonts w:ascii="Times New Roman" w:hAnsi="Times New Roman"/>
          <w:color w:val="000000"/>
          <w:sz w:val="20"/>
        </w:rPr>
        <w:t xml:space="preserve"> </w:t>
      </w:r>
    </w:p>
    <w:p>
      <w:pPr>
        <w:pStyle w:val="TextBody"/>
        <w:bidi w:val="0"/>
        <w:spacing w:before="0" w:after="360"/>
        <w:jc w:val="left"/>
        <w:rPr>
          <w:rFonts w:ascii="Times New Roman" w:hAnsi="Times New Roman"/>
          <w:sz w:val="20"/>
        </w:rPr>
      </w:pPr>
      <w:r>
        <w:rPr>
          <w:rFonts w:ascii="Tahoma;sans-serif" w:hAnsi="Tahoma;sans-serif"/>
          <w:color w:val="000000"/>
          <w:sz w:val="18"/>
        </w:rPr>
        <w:t>The Pro-rata information is prepared on a basis consistent with the comparable consolidated amounts and is intended to more accurately reflect the Company’s proportionate economic interest in the assets, liabilities, and operating results of properties in its portfolio. The Company does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The Company’s share of invested capital establishes the ownership interests Regency uses to prepare its Pro-rata share.</w:t>
      </w:r>
      <w:r>
        <w:rPr>
          <w:rFonts w:ascii="Times New Roman" w:hAnsi="Times New Roman"/>
          <w:color w:val="000000"/>
          <w:sz w:val="20"/>
        </w:rPr>
        <w:t xml:space="preserve"> </w:t>
      </w:r>
    </w:p>
    <w:p>
      <w:pPr>
        <w:pStyle w:val="TextBody"/>
        <w:bidi w:val="0"/>
        <w:spacing w:before="0" w:after="360"/>
        <w:jc w:val="left"/>
        <w:rPr>
          <w:rFonts w:ascii="Times New Roman" w:hAnsi="Times New Roman"/>
          <w:sz w:val="20"/>
        </w:rPr>
      </w:pPr>
      <w:r>
        <w:rPr>
          <w:rFonts w:ascii="Tahoma;sans-serif" w:hAnsi="Tahoma;sans-serif"/>
          <w:color w:val="000000"/>
          <w:sz w:val="18"/>
        </w:rPr>
        <w:t>The presentation of Pro-rata information has limitations which include, but are not limited to, the following:</w:t>
      </w:r>
      <w:r>
        <w:rPr>
          <w:rFonts w:ascii="Times New Roman" w:hAnsi="Times New Roman"/>
          <w:color w:val="000000"/>
          <w:sz w:val="20"/>
        </w:rPr>
        <w:t xml:space="preserve"> </w:t>
      </w:r>
    </w:p>
    <w:p>
      <w:pPr>
        <w:pStyle w:val="TextBody"/>
        <w:bidi w:val="0"/>
        <w:spacing w:before="0" w:after="360"/>
        <w:jc w:val="left"/>
        <w:rPr>
          <w:color w:val="000000"/>
        </w:rPr>
      </w:pPr>
      <w:r>
        <w:rPr>
          <w:color w:val="000000"/>
        </w:rPr>
        <w:t>•</w:t>
      </w:r>
    </w:p>
    <w:p>
      <w:pPr>
        <w:pStyle w:val="TextBody"/>
        <w:bidi w:val="0"/>
        <w:spacing w:before="0" w:after="360"/>
        <w:jc w:val="left"/>
        <w:rPr>
          <w:rFonts w:ascii="Tahoma;sans-serif" w:hAnsi="Tahoma;sans-serif"/>
          <w:color w:val="000000"/>
          <w:sz w:val="18"/>
        </w:rPr>
      </w:pPr>
      <w:r>
        <w:rPr>
          <w:rFonts w:ascii="Tahoma;sans-serif" w:hAnsi="Tahoma;sans-serif"/>
          <w:color w:val="000000"/>
          <w:sz w:val="18"/>
        </w:rPr>
        <w:t xml:space="preserve">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 </w:t>
      </w:r>
    </w:p>
    <w:p>
      <w:pPr>
        <w:pStyle w:val="TextBody"/>
        <w:bidi w:val="0"/>
        <w:spacing w:before="0" w:after="360"/>
        <w:jc w:val="left"/>
        <w:rPr>
          <w:color w:val="000000"/>
        </w:rPr>
      </w:pPr>
      <w:r>
        <w:rPr>
          <w:color w:val="000000"/>
        </w:rPr>
        <w:t>•</w:t>
      </w:r>
    </w:p>
    <w:p>
      <w:pPr>
        <w:pStyle w:val="TextBody"/>
        <w:bidi w:val="0"/>
        <w:spacing w:before="0" w:after="360"/>
        <w:jc w:val="left"/>
        <w:rPr>
          <w:rFonts w:ascii="Tahoma;sans-serif" w:hAnsi="Tahoma;sans-serif"/>
          <w:color w:val="000000"/>
          <w:sz w:val="18"/>
        </w:rPr>
      </w:pPr>
      <w:r>
        <w:rPr>
          <w:rFonts w:ascii="Tahoma;sans-serif" w:hAnsi="Tahoma;sans-serif"/>
          <w:color w:val="000000"/>
          <w:sz w:val="18"/>
        </w:rPr>
        <w:t xml:space="preserve">Other companies in our industry may calculate their Pro-rata interest differently, limiting the comparability of Pro-rata information. </w:t>
      </w:r>
    </w:p>
    <w:p>
      <w:pPr>
        <w:pStyle w:val="TextBody"/>
        <w:bidi w:val="0"/>
        <w:spacing w:before="0" w:after="360"/>
        <w:jc w:val="left"/>
        <w:rPr>
          <w:rFonts w:ascii="Tahoma;sans-serif" w:hAnsi="Tahoma;sans-serif"/>
          <w:color w:val="000000"/>
          <w:sz w:val="18"/>
        </w:rPr>
      </w:pPr>
      <w:r>
        <w:rPr>
          <w:rFonts w:ascii="Tahoma;sans-serif" w:hAnsi="Tahoma;sans-serif"/>
          <w:color w:val="000000"/>
          <w:sz w:val="18"/>
        </w:rPr>
        <w:t>Because of these limitations, the Pro-rata financial information should not be considered independently or as a substitute for the financial statements as reported under GAAP. The Company compensates for these limitations by relying primarily on our GAAP financial statements, using the Pro-rata information as a supplement.</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Pro-rata Same Property NOI:</w:t>
      </w:r>
      <w:r>
        <w:rPr>
          <w:rFonts w:ascii="Times New Roman" w:hAnsi="Times New Roman"/>
          <w:color w:val="000000"/>
          <w:sz w:val="20"/>
        </w:rPr>
        <w:t xml:space="preserve"> </w:t>
      </w:r>
      <w:r>
        <w:rPr>
          <w:rFonts w:ascii="Tahoma;sans-serif" w:hAnsi="Tahoma;sans-serif"/>
          <w:color w:val="000000"/>
          <w:sz w:val="18"/>
        </w:rPr>
        <w:t>a key non-GAAP financial measure commonly used by real estate investment trusts (REITs) to evaluate operating performance. It is calculated on a proportionate ownership basis for properties held during the comparable reporting periods, excluding revenue and expenses related to non-same properties during the periods. Management believes this measure provides investors with a useful and consistent comparison of the Company’s operating performance and trends. Management uses Pro-rata Same Property NOI as a supplemental measure to assess property-level performance, excluding the effects of corporate-level expenses, financing costs, and non-operating activities. This measure allows investors to evaluate trends in revenue and expense growth for properties that have been consistently operated during the periods.</w:t>
      </w:r>
      <w:r>
        <w:rPr>
          <w:rFonts w:ascii="Times New Roman" w:hAnsi="Times New Roman"/>
          <w:color w:val="000000"/>
          <w:sz w:val="20"/>
        </w:rPr>
        <w:t xml:space="preserve"> </w:t>
      </w:r>
    </w:p>
    <w:p>
      <w:pPr>
        <w:pStyle w:val="TextBody"/>
        <w:bidi w:val="0"/>
        <w:jc w:val="right"/>
        <w:rPr/>
      </w:pPr>
      <w:r>
        <w:rPr/>
        <w:drawing>
          <wp:inline distT="0" distB="0" distL="0" distR="0">
            <wp:extent cx="476250" cy="2571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360"/>
        <w:jc w:val="left"/>
        <w:rPr>
          <w:rFonts w:ascii="Tahoma;sans-serif" w:hAnsi="Tahoma;sans-serif"/>
          <w:b/>
          <w:color w:val="000000"/>
          <w:sz w:val="18"/>
        </w:rPr>
      </w:pPr>
      <w:r>
        <w:rPr>
          <w:rFonts w:ascii="Tahoma;sans-serif" w:hAnsi="Tahoma;sans-serif"/>
          <w:b/>
          <w:color w:val="000000"/>
          <w:sz w:val="18"/>
        </w:rPr>
        <w:t>Other Defined Terms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Anchor Space:</w:t>
      </w:r>
      <w:r>
        <w:rPr>
          <w:rFonts w:ascii="Times New Roman" w:hAnsi="Times New Roman"/>
          <w:color w:val="000000"/>
          <w:sz w:val="20"/>
        </w:rPr>
        <w:t xml:space="preserve"> </w:t>
      </w:r>
      <w:r>
        <w:rPr>
          <w:rFonts w:ascii="Tahoma;sans-serif" w:hAnsi="Tahoma;sans-serif"/>
          <w:color w:val="000000"/>
          <w:sz w:val="18"/>
        </w:rPr>
        <w:t>A space equal to or greater than 10,000 SF.</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Development Completion</w:t>
      </w:r>
      <w:r>
        <w:rPr>
          <w:rFonts w:ascii="Tahoma;sans-serif" w:hAnsi="Tahoma;sans-serif"/>
          <w:b/>
          <w:color w:val="000000"/>
          <w:sz w:val="18"/>
        </w:rPr>
        <w:t>:</w:t>
      </w:r>
      <w:r>
        <w:rPr>
          <w:rFonts w:ascii="Times New Roman" w:hAnsi="Times New Roman"/>
          <w:color w:val="000000"/>
          <w:sz w:val="20"/>
        </w:rPr>
        <w:t xml:space="preserve"> </w:t>
      </w:r>
      <w:r>
        <w:rPr>
          <w:rFonts w:ascii="Tahoma;sans-serif" w:hAnsi="Tahoma;sans-serif"/>
          <w:color w:val="000000"/>
          <w:sz w:val="18"/>
        </w:rPr>
        <w:t>A Property in Development that is deemed complete upon the earlier of (i) 90% of total estimated net development costs have been incurred and percent leased equals or exceeds 95%, or (ii) the property features at least two years of anchor operations. Once deemed complete, the property is termed a Retail Operating Property.</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Non-Same Property:</w:t>
      </w:r>
      <w:r>
        <w:rPr>
          <w:rFonts w:ascii="Times New Roman" w:hAnsi="Times New Roman"/>
          <w:color w:val="000000"/>
          <w:sz w:val="20"/>
        </w:rPr>
        <w:t xml:space="preserve"> </w:t>
      </w:r>
      <w:r>
        <w:rPr>
          <w:rFonts w:ascii="Tahoma;sans-serif" w:hAnsi="Tahoma;sans-serif"/>
          <w:color w:val="000000"/>
          <w:sz w:val="18"/>
        </w:rPr>
        <w:t>Any property, during either calendar year period being compared, that was acquired, sold, a Property in Development, a Development Completion, or a property under, or being positioned for, significant redevelopment that distorts comparability between periods. Non-retail properties and corporate activities, including the captive insurance program, are part of Non-Same Property. Please refer to the footnote on Property Summary Report for Non-Same Property detail.</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Other lease income:</w:t>
      </w:r>
      <w:r>
        <w:rPr>
          <w:rFonts w:ascii="Times New Roman" w:hAnsi="Times New Roman"/>
          <w:color w:val="000000"/>
          <w:sz w:val="20"/>
        </w:rPr>
        <w:t xml:space="preserve"> </w:t>
      </w:r>
      <w:r>
        <w:rPr>
          <w:rFonts w:ascii="Tahoma;sans-serif" w:hAnsi="Tahoma;sans-serif"/>
          <w:color w:val="000000"/>
          <w:sz w:val="18"/>
        </w:rPr>
        <w:t>includes revenue derived from various lease-related activities beyond standard base or percentage rent. This primarily includes income from temporary tenants, late fees, signage and marketing fees, sustainability income, land/building rentals, communications tower leases, tenant/employee parking fees, incidental income, and other ancillary charges generally outlined in lease agreements.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Other property income:</w:t>
      </w:r>
      <w:r>
        <w:rPr>
          <w:rFonts w:ascii="Times New Roman" w:hAnsi="Times New Roman"/>
          <w:color w:val="000000"/>
          <w:sz w:val="20"/>
        </w:rPr>
        <w:t xml:space="preserve"> </w:t>
      </w:r>
      <w:r>
        <w:rPr>
          <w:rFonts w:ascii="Tahoma;sans-serif" w:hAnsi="Tahoma;sans-serif"/>
          <w:color w:val="000000"/>
          <w:sz w:val="18"/>
        </w:rPr>
        <w:t>includes parking fees and other incidental income from the properties and is generally recognized at the point in time that the performance obligation is met.</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Property In Development:</w:t>
      </w:r>
      <w:r>
        <w:rPr>
          <w:rFonts w:ascii="Times New Roman" w:hAnsi="Times New Roman"/>
          <w:color w:val="000000"/>
          <w:sz w:val="20"/>
        </w:rPr>
        <w:t xml:space="preserve"> </w:t>
      </w:r>
      <w:r>
        <w:rPr>
          <w:rFonts w:ascii="Tahoma;sans-serif" w:hAnsi="Tahoma;sans-serif"/>
          <w:color w:val="000000"/>
          <w:sz w:val="18"/>
        </w:rPr>
        <w:t>Properties in various stages of ground-up development.</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Property In Redevelopment:</w:t>
      </w:r>
      <w:r>
        <w:rPr>
          <w:rFonts w:ascii="Times New Roman" w:hAnsi="Times New Roman"/>
          <w:color w:val="000000"/>
          <w:sz w:val="20"/>
        </w:rPr>
        <w:t xml:space="preserve"> </w:t>
      </w:r>
      <w:r>
        <w:rPr>
          <w:rFonts w:ascii="Tahoma;sans-serif" w:hAnsi="Tahoma;sans-serif"/>
          <w:color w:val="000000"/>
          <w:sz w:val="18"/>
        </w:rPr>
        <w:t>Retail Operating Properties under redevelopment or being positioned for redevelopment. Unless otherwise indicated, a Property in Redevelopment is included in the Same Property pool.</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Redevelopment Completion:</w:t>
      </w:r>
      <w:r>
        <w:rPr>
          <w:rFonts w:ascii="Times New Roman" w:hAnsi="Times New Roman"/>
          <w:color w:val="000000"/>
          <w:sz w:val="20"/>
        </w:rPr>
        <w:t xml:space="preserve"> </w:t>
      </w:r>
      <w:r>
        <w:rPr>
          <w:rFonts w:ascii="Tahoma;sans-serif" w:hAnsi="Tahoma;sans-serif"/>
          <w:color w:val="000000"/>
          <w:sz w:val="18"/>
        </w:rPr>
        <w:t>A Property in Redevelopment that is deemed complete upon the earlier of (i) 90% of total estimated project costs have been incurred and percent leased equals or exceeds 95% for the Company owned GLA related to the project, or (ii) the property features at least two years of anchor operations, if applicable.</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Retail Operating Property:</w:t>
      </w:r>
      <w:r>
        <w:rPr>
          <w:rFonts w:ascii="Times New Roman" w:hAnsi="Times New Roman"/>
          <w:color w:val="000000"/>
          <w:sz w:val="20"/>
        </w:rPr>
        <w:t xml:space="preserve"> </w:t>
      </w:r>
      <w:r>
        <w:rPr>
          <w:rFonts w:ascii="Tahoma;sans-serif" w:hAnsi="Tahoma;sans-serif"/>
          <w:color w:val="000000"/>
          <w:sz w:val="18"/>
        </w:rPr>
        <w:t>Any retail property not termed a Property In Development. A retail property is any property where the majority of the income is generated from retail uses.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Same Property:</w:t>
      </w:r>
      <w:r>
        <w:rPr>
          <w:rFonts w:ascii="Times New Roman" w:hAnsi="Times New Roman"/>
          <w:color w:val="000000"/>
          <w:sz w:val="20"/>
        </w:rPr>
        <w:t xml:space="preserve"> </w:t>
      </w:r>
      <w:r>
        <w:rPr>
          <w:rFonts w:ascii="Tahoma;sans-serif" w:hAnsi="Tahoma;sans-serif"/>
          <w:color w:val="000000"/>
          <w:sz w:val="18"/>
        </w:rPr>
        <w:t>Retail Operating Property that was owned and operated for the entirety of both calendar year periods being compared. This term excludes Property in Development, prior year Development Completions, and Non-Same Properties. Property in Redevelopment is included unless otherwise indicated.</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Shop Space:</w:t>
      </w:r>
      <w:r>
        <w:rPr>
          <w:rFonts w:ascii="Times New Roman" w:hAnsi="Times New Roman"/>
          <w:color w:val="000000"/>
          <w:sz w:val="20"/>
        </w:rPr>
        <w:t xml:space="preserve"> </w:t>
      </w:r>
      <w:r>
        <w:rPr>
          <w:rFonts w:ascii="Tahoma;sans-serif" w:hAnsi="Tahoma;sans-serif"/>
          <w:color w:val="000000"/>
          <w:sz w:val="18"/>
        </w:rPr>
        <w:t>A space under 10,000 SF.</w:t>
      </w:r>
    </w:p>
    <w:p>
      <w:pPr>
        <w:pStyle w:val="TextBody"/>
        <w:bidi w:val="0"/>
        <w:jc w:val="both"/>
        <w:rPr/>
      </w:pPr>
      <w:r>
        <w:rPr/>
        <w:t> </w:t>
      </w:r>
    </w:p>
    <w:p>
      <w:pPr>
        <w:pStyle w:val="TextBody"/>
        <w:bidi w:val="0"/>
        <w:jc w:val="both"/>
        <w:rPr/>
      </w:pPr>
      <w:r>
        <w:rPr/>
        <w:t> </w:t>
      </w:r>
    </w:p>
    <w:p>
      <w:pPr>
        <w:pStyle w:val="TextBody"/>
        <w:bidi w:val="0"/>
        <w:jc w:val="right"/>
        <w:rPr/>
      </w:pPr>
      <w:r>
        <w:rPr/>
        <w:drawing>
          <wp:inline distT="0" distB="0" distL="0" distR="0">
            <wp:extent cx="476250" cy="2571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reg-ex99_3.htm"/>
      <w:bookmarkStart w:id="38" w:name="ksregex99_3"/>
      <w:bookmarkEnd w:id="37"/>
      <w:bookmarkEnd w:id="38"/>
      <w:r>
        <w:rPr>
          <w:rFonts w:ascii="Times New Roman" w:hAnsi="Times New Roman"/>
          <w:b/>
          <w:color w:val="000000"/>
          <w:sz w:val="20"/>
        </w:rPr>
        <w:t>Exhibit 99.3</w:t>
      </w:r>
      <w:r>
        <w:br w:type="page"/>
      </w:r>
    </w:p>
    <w:p>
      <w:pPr>
        <w:pStyle w:val="TextBody"/>
        <w:bidi w:val="0"/>
        <w:spacing w:before="0" w:after="160"/>
        <w:jc w:val="left"/>
        <w:rPr/>
      </w:pPr>
      <w:r>
        <w:rPr/>
        <w:drawing>
          <wp:inline distT="0" distB="0" distL="0" distR="0">
            <wp:extent cx="8620125" cy="6467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620125" cy="6467475"/>
                    </a:xfrm>
                    <a:prstGeom prst="rect">
                      <a:avLst/>
                    </a:prstGeom>
                  </pic:spPr>
                </pic:pic>
              </a:graphicData>
            </a:graphic>
          </wp:inline>
        </w:drawing>
      </w:r>
      <w:r>
        <w:rPr>
          <w:color w:val="FFFFFF"/>
        </w:rPr>
        <w:t xml:space="preserve"> </w:t>
      </w:r>
      <w:r>
        <w:rPr>
          <w:rFonts w:ascii="sans-serif" w:hAnsi="sans-serif"/>
          <w:color w:val="FFFFFF"/>
          <w:sz w:val="2"/>
        </w:rPr>
        <w:t>FIRST QUARTER2025 Fixed Income SupplementalBuckhead Station | Atlanta, GA Sweetwater Plaza | Sugarland, TXSammamish Highlands | Sammamish, WABaybrook East | Houston, TXThe Crossing Clarendon | Arlington, VARegency Centers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8753475" cy="65722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753475" cy="6572250"/>
                    </a:xfrm>
                    <a:prstGeom prst="rect">
                      <a:avLst/>
                    </a:prstGeom>
                  </pic:spPr>
                </pic:pic>
              </a:graphicData>
            </a:graphic>
          </wp:inline>
        </w:drawing>
      </w:r>
      <w:r>
        <w:rPr>
          <w:color w:val="FFFFFF"/>
        </w:rPr>
        <w:t xml:space="preserve"> </w:t>
      </w:r>
      <w:r>
        <w:rPr>
          <w:rFonts w:ascii="sans-serif" w:hAnsi="sans-serif"/>
          <w:color w:val="FFFFFF"/>
          <w:sz w:val="2"/>
        </w:rPr>
        <w:t>HighlightsFirst Quarter 2025 Reported Nareit FFO of $1.15 per diluted share and Core Operating Earnings of $1.09 per diluted share Reaffirmed 2025 earnings guidance for Nareit FFO, Core Operating Earnings, and Same Property NOI growth Increased Same Property NOI year-over-year, excluding lease termination fees, by 4.3% Same Property percent leased ended the quarter at 96.5%, an increase of 100 basis points year-over-year, and SameProperty percent commenced ended the quarter at 93.5%, up 170 basis points year-over-year Same Property anchor percent leased ended the quarter at 98.3%, an increase of 130 basis points year-over-year, andSame Property shop percent leased ended the quarter at 93.7%, up 70 basis points year-over-year Executed 1.4 million square feet of comparable new and renewal leases during the quarter at blended rent spreads of+8.1% on a cash basis and +18.6% on a straight-lined basis On March 14, 2025, acquired Brentwood Place, a community center in Nashville, TN, for $119 million As of March 31, 2025, Regency's in-process development and redevelopment projects had estimated net project costsof $499 million at a blended yield of 9% In February, S&amp;P Global Ratings ("S&amp;P") upgraded Regency's credit rating to "A-" with a stable outlook Pro-rata net debt and preferred stock to operating EBITDAre at March 31, 2025 was 5.3x2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8905875" cy="66770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905875" cy="6677025"/>
                    </a:xfrm>
                    <a:prstGeom prst="rect">
                      <a:avLst/>
                    </a:prstGeom>
                  </pic:spPr>
                </pic:pic>
              </a:graphicData>
            </a:graphic>
          </wp:inline>
        </w:drawing>
      </w:r>
      <w:r>
        <w:rPr>
          <w:color w:val="FFFFFF"/>
        </w:rPr>
        <w:t xml:space="preserve"> </w:t>
      </w:r>
      <w:r>
        <w:rPr>
          <w:rFonts w:ascii="sans-serif" w:hAnsi="sans-serif"/>
          <w:color w:val="FFFFFF"/>
          <w:sz w:val="2"/>
        </w:rPr>
        <w:t>Credit Ratings &amp; Select RatiosCredit RatingsAgency Credit Rating Outlook Last ReviewDateS&amp;P A- Stable 2/26/25Moody's A3 Stable 1/28/25i. For a complete listing of all Debt Covenants related to the Company’s Senior Unsecured Notes, as well as definitions of the above terms, please refer to the Company’s filings with the Securities and ExchangeCommission.ii. Current period debt covenants are finalized and submitted after the Company’s most recent Form 10-Q or Form 10-K filing. 3Unsecured Public Debt CovenantsRequired 3/31/2025 12/31/2024 9/30/2024 6/30/2024Fair Market Value Calculation Method Covenants(i)(ii)Total Consolidated Debt to Total Consolidated Assets ≤ 65% 27% 27% 27% 27%Secured Consolidated Debt to Total Consolidated Assets ≤ 40% 4% 4% 4% 4%Consolidated Income for Debt Service to Consolidated Debt Service ≥ 1.5x 4.8x 4.9x 4.9x 4.8xUnencumbered Consolidated Assets to Unsecured Consolidated Debt &gt;150% 380% 396% 397% 394%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8763000" cy="65722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763000" cy="6572250"/>
                    </a:xfrm>
                    <a:prstGeom prst="rect">
                      <a:avLst/>
                    </a:prstGeom>
                  </pic:spPr>
                </pic:pic>
              </a:graphicData>
            </a:graphic>
          </wp:inline>
        </w:drawing>
      </w:r>
      <w:r>
        <w:rPr>
          <w:color w:val="FFFFFF"/>
        </w:rPr>
        <w:t xml:space="preserve"> </w:t>
      </w:r>
      <w:r>
        <w:rPr>
          <w:rFonts w:ascii="sans-serif" w:hAnsi="sans-serif"/>
          <w:color w:val="FFFFFF"/>
          <w:sz w:val="2"/>
        </w:rPr>
        <w:t>Capital Structure &amp; Liquidity ProfileLiquidity Profile ($ millions)Unsecured Credit Facility - Committed 1,500Balance Outstanding (265)Undrawn Portion of Credit Facility 1,235Cash, Cash Equivalents &amp; Marketable Securities 79Unsettled Forward ATM Equity 100Total Liquidity 1,4143/31/2025I1%</w:t>
      </w:r>
      <w:r>
        <w:rPr>
          <w:rFonts w:ascii="Times New Roman" w:hAnsi="Times New Roman"/>
          <w:color w:val="FFFFFF"/>
          <w:sz w:val="20"/>
        </w:rPr>
        <w:t xml:space="preserve">■ </w:t>
      </w:r>
      <w:r>
        <w:rPr>
          <w:rFonts w:ascii="sans-serif" w:hAnsi="sans-serif"/>
          <w:color w:val="FFFFFF"/>
          <w:sz w:val="2"/>
        </w:rPr>
        <w:t xml:space="preserve">Equity </w:t>
      </w:r>
      <w:r>
        <w:rPr>
          <w:rFonts w:ascii="Times New Roman" w:hAnsi="Times New Roman"/>
          <w:color w:val="FFFFFF"/>
          <w:sz w:val="20"/>
        </w:rPr>
        <w:t xml:space="preserve">■ </w:t>
      </w:r>
      <w:r>
        <w:rPr>
          <w:rFonts w:ascii="sans-serif" w:hAnsi="sans-serif"/>
          <w:color w:val="FFFFFF"/>
          <w:sz w:val="2"/>
        </w:rPr>
        <w:t>Unsecured Debt - Bonds</w:t>
      </w:r>
      <w:r>
        <w:rPr>
          <w:rFonts w:ascii="Times New Roman" w:hAnsi="Times New Roman"/>
          <w:color w:val="FFFFFF"/>
          <w:sz w:val="20"/>
        </w:rPr>
        <w:t xml:space="preserve">■ </w:t>
      </w:r>
      <w:r>
        <w:rPr>
          <w:rFonts w:ascii="sans-serif" w:hAnsi="sans-serif"/>
          <w:color w:val="FFFFFF"/>
          <w:sz w:val="2"/>
        </w:rPr>
        <w:t xml:space="preserve">Consolidated Debt - Secured </w:t>
      </w:r>
      <w:r>
        <w:rPr>
          <w:rFonts w:ascii="Times New Roman" w:hAnsi="Times New Roman"/>
          <w:color w:val="FFFFFF"/>
          <w:sz w:val="20"/>
        </w:rPr>
        <w:t xml:space="preserve">■ </w:t>
      </w:r>
      <w:r>
        <w:rPr>
          <w:rFonts w:ascii="sans-serif" w:hAnsi="sans-serif"/>
          <w:color w:val="FFFFFF"/>
          <w:sz w:val="2"/>
        </w:rPr>
        <w:t>Unconsolidated Debt - Secured</w:t>
      </w:r>
      <w:r>
        <w:rPr>
          <w:rFonts w:ascii="Times New Roman" w:hAnsi="Times New Roman"/>
          <w:color w:val="FFFFFF"/>
          <w:sz w:val="20"/>
        </w:rPr>
        <w:t xml:space="preserve">■ </w:t>
      </w:r>
      <w:r>
        <w:rPr>
          <w:rFonts w:ascii="sans-serif" w:hAnsi="sans-serif"/>
          <w:color w:val="FFFFFF"/>
          <w:sz w:val="2"/>
        </w:rPr>
        <w:t xml:space="preserve">Preferred Equity </w:t>
      </w:r>
      <w:r>
        <w:rPr>
          <w:rFonts w:ascii="Times New Roman" w:hAnsi="Times New Roman"/>
          <w:color w:val="FFFFFF"/>
          <w:sz w:val="20"/>
        </w:rPr>
        <w:t xml:space="preserve">■ </w:t>
      </w:r>
      <w:r>
        <w:rPr>
          <w:rFonts w:ascii="sans-serif" w:hAnsi="sans-serif"/>
          <w:color w:val="FFFFFF"/>
          <w:sz w:val="2"/>
        </w:rPr>
        <w:t>Credit Facilities&lt;1%</w:t>
      </w:r>
      <w:r>
        <w:rPr>
          <w:rFonts w:ascii="Times New Roman" w:hAnsi="Times New Roman"/>
          <w:color w:val="FFFFFF"/>
          <w:sz w:val="20"/>
        </w:rPr>
        <w:t xml:space="preserve">■ </w:t>
      </w:r>
      <w:r>
        <w:rPr>
          <w:rFonts w:ascii="sans-serif" w:hAnsi="sans-serif"/>
          <w:color w:val="FFFFFF"/>
          <w:sz w:val="2"/>
        </w:rPr>
        <w:t>Secured Fixed Rate</w:t>
      </w:r>
      <w:r>
        <w:rPr>
          <w:rFonts w:ascii="Times New Roman" w:hAnsi="Times New Roman"/>
          <w:color w:val="FFFFFF"/>
          <w:sz w:val="20"/>
        </w:rPr>
        <w:t xml:space="preserve">■ </w:t>
      </w:r>
      <w:r>
        <w:rPr>
          <w:rFonts w:ascii="sans-serif" w:hAnsi="sans-serif"/>
          <w:color w:val="FFFFFF"/>
          <w:sz w:val="2"/>
        </w:rPr>
        <w:t>Secured VariableRate</w:t>
      </w:r>
      <w:r>
        <w:rPr>
          <w:rFonts w:ascii="Times New Roman" w:hAnsi="Times New Roman"/>
          <w:color w:val="FFFFFF"/>
          <w:sz w:val="20"/>
        </w:rPr>
        <w:t xml:space="preserve">■ </w:t>
      </w:r>
      <w:r>
        <w:rPr>
          <w:rFonts w:ascii="sans-serif" w:hAnsi="sans-serif"/>
          <w:color w:val="FFFFFF"/>
          <w:sz w:val="2"/>
        </w:rPr>
        <w:t>Unsecured Debt -Bonds</w:t>
      </w:r>
      <w:r>
        <w:rPr>
          <w:rFonts w:ascii="Times New Roman" w:hAnsi="Times New Roman"/>
          <w:color w:val="FFFFFF"/>
          <w:sz w:val="20"/>
        </w:rPr>
        <w:t xml:space="preserve">■ </w:t>
      </w:r>
      <w:r>
        <w:rPr>
          <w:rFonts w:ascii="sans-serif" w:hAnsi="sans-serif"/>
          <w:color w:val="FFFFFF"/>
          <w:sz w:val="2"/>
        </w:rPr>
        <w:t>Secured</w:t>
      </w:r>
      <w:r>
        <w:rPr>
          <w:rFonts w:ascii="Times New Roman" w:hAnsi="Times New Roman"/>
          <w:color w:val="FFFFFF"/>
          <w:sz w:val="20"/>
        </w:rPr>
        <w:t xml:space="preserve">■ </w:t>
      </w:r>
      <w:r>
        <w:rPr>
          <w:rFonts w:ascii="sans-serif" w:hAnsi="sans-serif"/>
          <w:color w:val="FFFFFF"/>
          <w:sz w:val="2"/>
        </w:rPr>
        <w:t>Unsecured4Capital Structure(% of total capitalization)Debt CompositionPro-RataSecured vs. Unsecured4$18.9 BillionTotalCapitalization1% 3% 4% 20% 24% 75% &lt;1% 22% 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8734425" cy="65532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734425" cy="6553200"/>
                    </a:xfrm>
                    <a:prstGeom prst="rect">
                      <a:avLst/>
                    </a:prstGeom>
                  </pic:spPr>
                </pic:pic>
              </a:graphicData>
            </a:graphic>
          </wp:inline>
        </w:drawing>
      </w:r>
      <w:r>
        <w:rPr>
          <w:color w:val="FFFFFF"/>
        </w:rPr>
        <w:t xml:space="preserve"> </w:t>
      </w:r>
      <w:r>
        <w:rPr>
          <w:rFonts w:ascii="sans-serif" w:hAnsi="sans-serif"/>
          <w:color w:val="FFFFFF"/>
          <w:sz w:val="2"/>
        </w:rPr>
        <w:t>IA Well-Laddered Maturity Schedule$900$800 $770$717$700 $674V'l $600 $561C,QE $500 $463$425 ,A- $415C $400$309 $325 $300$300$200 $177$112$100$0 $0 $12025 2026 2027 2028 2029 2030 2031 2032 2033 2034 2035 2036 - 2047 20492046</w:t>
      </w:r>
      <w:r>
        <w:rPr>
          <w:rFonts w:ascii="Times New Roman" w:hAnsi="Times New Roman"/>
          <w:color w:val="FFFFFF"/>
          <w:sz w:val="20"/>
        </w:rPr>
        <w:t xml:space="preserve">■ </w:t>
      </w:r>
      <w:r>
        <w:rPr>
          <w:rFonts w:ascii="sans-serif" w:hAnsi="sans-serif"/>
          <w:color w:val="FFFFFF"/>
          <w:sz w:val="2"/>
        </w:rPr>
        <w:t xml:space="preserve">Unsecured Debt - Bonds </w:t>
      </w:r>
      <w:r>
        <w:rPr>
          <w:rFonts w:ascii="Times New Roman" w:hAnsi="Times New Roman"/>
          <w:color w:val="FFFFFF"/>
          <w:sz w:val="20"/>
        </w:rPr>
        <w:t xml:space="preserve">■ </w:t>
      </w:r>
      <w:r>
        <w:rPr>
          <w:rFonts w:ascii="sans-serif" w:hAnsi="sans-serif"/>
          <w:color w:val="FFFFFF"/>
          <w:sz w:val="2"/>
        </w:rPr>
        <w:t xml:space="preserve">Line of Credit </w:t>
      </w:r>
      <w:r>
        <w:rPr>
          <w:rFonts w:ascii="Times New Roman" w:hAnsi="Times New Roman"/>
          <w:color w:val="FFFFFF"/>
          <w:sz w:val="20"/>
        </w:rPr>
        <w:t xml:space="preserve">■ </w:t>
      </w:r>
      <w:r>
        <w:rPr>
          <w:rFonts w:ascii="sans-serif" w:hAnsi="sans-serif"/>
          <w:color w:val="FFFFFF"/>
          <w:sz w:val="2"/>
        </w:rPr>
        <w:t xml:space="preserve">Consolidated Debt - Secured </w:t>
      </w:r>
      <w:r>
        <w:rPr>
          <w:rFonts w:ascii="Times New Roman" w:hAnsi="Times New Roman"/>
          <w:color w:val="FFFFFF"/>
          <w:sz w:val="20"/>
        </w:rPr>
        <w:t xml:space="preserve">■ </w:t>
      </w:r>
      <w:r>
        <w:rPr>
          <w:rFonts w:ascii="sans-serif" w:hAnsi="sans-serif"/>
          <w:color w:val="FFFFFF"/>
          <w:sz w:val="2"/>
        </w:rPr>
        <w:t>Unconsolidated Debt - Secured(in $ millions)Pro Rata Debt Maturity Profile as of March 31, 2025Regency aims to have &lt; 15% of total debt maturing in any given yearWtd Avg Interest Rate: 4.2%Wtd Avg Yrs to Maturity: 6.6 YearsTotal Pro Rata Debt: $5.5B5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8496300" cy="63817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496300" cy="6381750"/>
                    </a:xfrm>
                    <a:prstGeom prst="rect">
                      <a:avLst/>
                    </a:prstGeom>
                  </pic:spPr>
                </pic:pic>
              </a:graphicData>
            </a:graphic>
          </wp:inline>
        </w:drawing>
      </w:r>
    </w:p>
    <w:p>
      <w:pPr>
        <w:pStyle w:val="TextBody"/>
        <w:bidi w:val="0"/>
        <w:spacing w:before="0" w:after="160"/>
        <w:jc w:val="left"/>
        <w:rPr>
          <w:rFonts w:ascii="sans-serif" w:hAnsi="sans-serif"/>
          <w:color w:val="FFFFFF"/>
          <w:sz w:val="2"/>
        </w:rPr>
      </w:pPr>
      <w:r>
        <w:rPr>
          <w:rFonts w:ascii="sans-serif" w:hAnsi="sans-serif"/>
          <w:color w:val="FFFFFF"/>
          <w:sz w:val="2"/>
        </w:rPr>
        <w:t>Follow UsFirst Quarter 2025 Earnings Conference CallWednesday, April 30th, 2025Time: 11:00 AM ETDial#: 877-407-0789 or 201-689-8562Webcast: investors.regencycenters.comForward-Looking StatementsCertain statements in this document regarding anticipated financial, business, legal or other outcomes including business and market conditions, outlookand other similar statements relating to Regency’s future events, developments, or financial or operational performance or results such as our 2025Guidance, are “forward-looking statements” made pursuant to the safe harbor provisions of the Private Securities Litigation Reform Act of 1995 andother federal securities laws. These forward-looking statements are identified by the use of words such as “may,” “will,” “could,” “should,” “would,”“expect,” “estimate,” “believe,” “intend,” “forecast,” “project,” “plan,” “anticipate,” “guidance,” and other similar language. However, the absence ofthese or similar words or expressions does not mean a statement is not forward-looking. While we believe these forward-looking statements arereasonable when made, forward-looking statements are not guarantees of future performance or events and undue reliance should not be placed onthese statements. Although we believe the expectations reflected in any forward-looking statements are based on reasonable assumptions, we can giveno assurance these expectations will be attained, and it is possible actual results may differ materially from those indicated by these forward-lookingstatements due to a variety of risks and uncertainties. Our operations are subject to a number of risks and uncertainties including, but not limited to,those risk factors described in our Securities and Exchange Commission (“SEC”) filings, our Annual Report on Form 10-K for the year ended December31, 2024 (“2024 Form 10-K”) under Item 1A, as supplemented by the discussion in Item 1A of Part II of our Quarterly Report on Form 10-Q. Whenconsidering an investment in our securities, you should carefully read and consider these risks, together with all other information in our Annual Reportson Form 10-K, Quarterly Reports on Form 10-Q and our other filings and submissions to the SEC. If any of the events described in the risk factorsactually occur, our business, financial condition or operating results, as well as the market price of our securities, could be materially adversely affected.Forward-looking statements are only as of the date they are made, and Regency undertakes no duty to update its forward-looking statements, whetheras a result of new information, future events or developments or otherwise, except as to the extent required by law. These risks and events include,without limitation:Risk Factors Related to the Current Economic and Geopolitical EnvironmentsInterest rates in the current economic environment may adversely impact our cost to borrow, real estate valuation, and stock price. Economic challengesand policy changes may adversely impact our tenants and our business. Unfavorable developments that may affect the banking and financial servicesindustry could adversely affect our business, liquidity and financial condition, and overall results of operations. Current geopolitical challenges couldimpact the U.S. economy and consumer spending and our results of operations and financial condition. Evolving political and economic events anduncertainties, including tariffs, retaliatory tariffs, international trade disputes, and immigration policies could adversely impact the businesses of our tenantsand our business.Risk Factors Related to Pandemics or other Public Health CrisesPandemics or other public health crises may adversely affect our tenants financial condition, the profitability of our properties, and our access to thecapital markets and could have a material adverse effect on our business, results of operations, cash flows and financial condition.Risk Factors Related to Operating Retail-Based Shopping CentersEconomic and market conditions may adversely affect the retail industry and consequently reduce our revenues and cash flow, and increase ouroperating expenses. Shifts in retail trends, sales, and delivery methods between brick-and-mortar stores, e-commerce, home delivery, and curbsidepick-up may adversely impact our revenues, results of operations, and cash flows. Changing economic and retail market conditions in geographic areaswhere our properties are concentrated may reduce our revenues and cash flow. Our success depends on the continued presence and success of our“anchor” tenants. A percentage of our revenues are derived from “local” tenants and our net income may be adversely impacted if these tenants arenot successful, or if the demand for the types or mix of tenants significantly change. We may be unable to collect balances due from tenants inbankruptcy. Many of our costs and expenses associated with operating our properties may remain constant or increase, even if our lease incomedecreases. Compliance with the Americans with Disabilities Act and other building, fire, and safety regulations may have a material negative effect on us.Risk Factors Related to Real Estate InvestmentsOur real estate assets may decline in value and be subject to impairment losses which may reduce our net income. We face risks associated withdevelopment, redevelopment, and expansion of properties. We face risks associated with the development of mixed-use commercial properties. Weface risks associated with the acquisition of properties. We may be unable to sell properties when desired because of market conditions. Changes in taxlaws could impact our acquisition or disposition of real estate.Risk Factors Related to the Environment Affecting Our PropertiesClimate change may adversely impact our properties, some of which may be more vulnerable due to their geographic location, and may lead toadditional compliance obligations and costs. Costs of environmental remediation may adversely impact our financial performance and reduce our cashflow.Risk Factors Related to Corporate MattersAn increased focus on metrics and reporting related to environmental, social, and governance (“ESG”) factors by investors and other stakeholders mayimpose additional costs and expose us to new risks. An uninsured loss or a loss that exceeds the insurance coverage on our properties may subject usto loss of capital and revenue on those properties. Failure to attract and retain key personnel may adversely affect our business and operations.Risk Factors Related to Our Partnerships and Joint VenturesWe do not have voting control over all of the properties owned in our real estate partnerships and joint ventures, so we are unable to ensure that ourobjectives will be pursued. The termination of our partnerships may adversely affect our cash flow, operating results, and our ability to makedistributions to stock and unit holders.Risk Factors Related to Funding Strategies and Capital StructureOur ability to sell properties and fund acquisitions and developments may be adversely impacted by higher market capitalization rates and lower NOI atour properties which may adversely affect results of operations and financial condition. We depend on external sources of capital, which may not beavailable in the future on favorable terms or at all. Our debt financing may adversely affect our business and financial condition. Covenants in our debtagreements may restrict our operating activities and adversely affect our financial condition. Increases in interest rates would cause our borrowing coststo rise and negatively impact our results of operations. Hedging activity may expose us to risks, including the risks that a counterparty will not performand that the hedge will not yield the economic benefits we anticipate, which may adversely affect us.Risk Factors Related to Information Management and TechnologyThe unauthorized access, use, theft or destruction of tenant or employee personal, financial or other data, or of Regency's proprietary or confidentialinformation stored in our information systems or by third parties on our behalf, could impact operations, and expose us to potential liabilities andmaterial adverse financial impact. Any actual or perceived failure to comply with new or existing laws, regulations and other requirements relating to theprivacy, security and processing of personal information could adversely affect our business, results of operations, or financial condition. The use oftechnology based on artificial intelligence presents risks relating to confidentiality, creation of inaccurate and flawed outputs and emerging regulatoryrisk, any or all of which may adversely affect our business and results of operations.Risk Factors Related to Taxes and the Parent Company’s Qualification as a REITIf the Parent Company fails to qualify as a REIT for federal income tax purposes, it would be subject to federal income tax at regular corporate rates.Dividends paid by REITs generally do not qualify for reduced tax rates. Certain non-U.S. stockholders may be subject to U.S. federal income tax on gainrecognized on a disposition of our common stock if the Parent Company does not qualify as a “domestically controlled” REIT. Legislative or other actionsaffecting REITs may have a negative effect on us or our investors. Complying with REIT requirements may limit our ability to hedge effectively and maycause us to incur tax liabilities. Partnership tax audit rules could have a material adverse effect.Risk Factors Related to the Company’s Common StockRestrictions on the ownership of the Parent Company’s capital stock to preserve its REIT status may delay or prevent a change in control. The issuanceof the Parent Company's capital stock may delay or prevent a change in control. Ownership in the Parent Company may be diluted in the future. TheParent Company’s amended and restated bylaws provides that the courts located in the State of Florida will be the sole and exclusive forum forsubstantially all disputes between us and our stockholders, which could limit our stockholders’ ability to obtain a favorable judicial forum for disputeswith us or our directors, officers, or employees. There is no assurance that we will continue to pay dividends at current or historical ratesNon-GAAP DisclosureWe believe these non-GAAP measures provide useful information to our Board of Directors, management and investors regarding certain trends relatingto our financial condition and results of operations. Our management uses these non-GAAP measures to compare our performance to that of priorperiods for trend analyses, purposes of determining management incentive compensation and budgeting, forecasting and planning purposes.We do not consider non-GAAP measures an alternative to financial measures determined in accordance with GAAP, rather they supplement GAAPmeasures by providing additional information we believe to be useful to our shareholders. The principal limitation of these non-GAAP financial measuresis they may exclude significant expense and income items that are required by GAAP to be recognized in our consolidated financial statements. Inaddition, they reflect the exercise of management’s judgment about which expense and income items are excluded or included in determining thesenon-GAAP financial measures. In order to compensate for these limitations, reconciliations of the non-GAAP financial measures we use to their mostdirectly comparable GAAP measures are provided. Non-GAAP financial measures should not be relied upon in evaluating the financial condition, results ofoperations or future prospects of the Company.Nareit FFO is a commonly used measure of REIT performance, which the National Association of Real Estate Investment Trusts (“Nareit”) defines as netincome, computed in accordance with GAAP, excluding gains on sale and impairments of real estate, net of tax, plus depreciation and amortizationrelated to real estate, and after adjustments for unconsolidated real estate partnerships. Regency computes Nareit FFO for all periods presented inaccordance with Nareit's definition. Since Nareit FFO excludes depreciation and amortization and gains on sales and impairments of real estate, itprovides a performance measure that, when compared year over year, reflects the impact on operations from trends in percent leased, rental rates,operating costs, acquisition and development activities, and financing costs. This provides a perspective of the Company’s financial performance notimmediately apparent from net income determined in accordance with GAAP. Thus, Nareit FFO is a supplemental non-GAAP financial measure of theCompany's operating performance, which does not represent cash generated from operating activities in accordance with GAAP; and, therefore, shouldnot be considered a substitute measure of cash flows from operations. The Company provides a reconciliation of Net Income Attributable to CommonShareholders to Nareit FFO.Core Operating Earnings is an additional performance measure that excludes from Nareit FFO: (i) transaction related income or expenses; (ii) gains orlosses from the early extinguishment of debt; (iii) certain non-cash components of earnings derived from above and below market rent amortization,straight-line rents, and amortization of mark-to-market of debt and derivative adjustments; and (iv) other amounts as they occur. The Company providesa reconciliation of Net Income Attributable to Common Shareholders to Nareit FFO to Core Operating Earnings.Adjusted Funds From Operations is an additional performance measure used by Regency that reflects cash available to fund the Company’s businessneeds and distribution to shareholders. AFFO is calculated by adjusting Core Operating Earnings ("COE") for (i) capital expenditures necessary tomaintain and lease the Company’s portfolio of properties, (ii) debt cost and derivative adjustments and (iii) stock-based compensation. The Companyprovides a reconciliation of Net Income Attributable to Common Shareholders to Nareit FFO, to Core Operating Earnings, and to Adjusted Funds fromOperations.IContact Information: Christy McElroySenior Vice President, Capital Markets904-598-7616ChristyMcElroy@RegencyCenters.com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Tahoma">
    <w:altName w:val="sans-serif"/>
    <w:charset w:val="01"/>
    <w:family w:val="auto"/>
    <w:pitch w:val="default"/>
  </w:font>
  <w:font w:name="Tahom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4.jpeg"/><Relationship Id="rId47" Type="http://schemas.openxmlformats.org/officeDocument/2006/relationships/image" Target="media/image5.jpeg"/><Relationship Id="rId48" Type="http://schemas.openxmlformats.org/officeDocument/2006/relationships/image" Target="media/image6.jpeg"/><Relationship Id="rId49" Type="http://schemas.openxmlformats.org/officeDocument/2006/relationships/image" Target="media/image7.jpeg"/><Relationship Id="rId50" Type="http://schemas.openxmlformats.org/officeDocument/2006/relationships/image" Target="media/image8.jpeg"/><Relationship Id="rId51" Type="http://schemas.openxmlformats.org/officeDocument/2006/relationships/image" Target="media/image9.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26084</Words>
  <Characters>148540</Characters>
  <CharactersWithSpaces>175619</CharactersWithSpaces>
  <Paragraphs>11903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