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REGENCY CENTERS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1,204,484.00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1,204,484.00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1,204,484.00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REAL ESTATE INVESTORS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6,527,228.00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6,527,228.00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6,527,228.00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14"/>
        <w:gridCol w:w="9036"/>
        <w:gridCol w:w="155"/>
      </w:tblGrid>
      <w:tr>
        <w:trPr/>
        <w:tc>
          <w:tcPr>
            <w:tcW w:w="1014" w:type="dxa"/>
            <w:tcBorders/>
            <w:vAlign w:val="center"/>
          </w:tcPr>
          <w:p>
            <w:pPr>
              <w:pStyle w:val="TableContents"/>
              <w:bidi w:val="0"/>
              <w:spacing w:before="0" w:after="283"/>
              <w:jc w:val="left"/>
              <w:rPr/>
            </w:pPr>
            <w:r>
              <w:rPr/>
              <w:t>Item 1.</w:t>
            </w:r>
          </w:p>
        </w:tc>
        <w:tc>
          <w:tcPr>
            <w:tcW w:w="90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jc w:val="left"/>
              <w:rPr/>
            </w:pPr>
            <w:r>
              <w:rPr/>
              <w:t xml:space="preserve">Name of issuer: </w:t>
            </w:r>
          </w:p>
          <w:p>
            <w:pPr>
              <w:pStyle w:val="TableContents"/>
              <w:bidi w:val="0"/>
              <w:spacing w:before="0" w:after="0"/>
              <w:jc w:val="left"/>
              <w:rPr/>
            </w:pPr>
            <w:r>
              <w:rPr/>
              <w:t>REGENCY CENTERS CORP</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INDEPENDENT DRIVE, SUITE 114, JACKSONVILLE, FLORIDA 32202</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2.</w:t>
            </w:r>
          </w:p>
        </w:tc>
        <w:tc>
          <w:tcPr>
            <w:tcW w:w="90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 PRINCIPAL REAL ESTATE INVESTORS LLC</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PRINCIPAL GLOBAL INVESTORS 711 HIGH STREET DES MOINES, Iowa 50392-0300 PRINCIPAL REAL ESTATE INVESTORS, LLC 711 HIGH STREET DES MOINES, Iowa 50392-0300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(c)</w:t>
            </w:r>
          </w:p>
        </w:tc>
        <w:tc>
          <w:tcPr>
            <w:tcW w:w="9036"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 PRINCIPAL REAL ESTATE INVESTORS LLC - DELAWARE</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(d)</w:t>
            </w:r>
          </w:p>
        </w:tc>
        <w:tc>
          <w:tcPr>
            <w:tcW w:w="90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(e)</w:t>
            </w:r>
          </w:p>
        </w:tc>
        <w:tc>
          <w:tcPr>
            <w:tcW w:w="90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3.</w:t>
            </w:r>
          </w:p>
        </w:tc>
        <w:tc>
          <w:tcPr>
            <w:tcW w:w="90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(c)</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(d)</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(e)</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(f)</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(g)</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(h)</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(j)</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(k)</w:t>
            </w:r>
          </w:p>
        </w:tc>
        <w:tc>
          <w:tcPr>
            <w:tcW w:w="903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191" w:type="dxa"/>
            <w:gridSpan w:val="2"/>
            <w:tcBorders/>
            <w:vAlign w:val="center"/>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4.</w:t>
            </w:r>
          </w:p>
        </w:tc>
        <w:tc>
          <w:tcPr>
            <w:tcW w:w="90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7,731,712</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(c)</w:t>
            </w:r>
          </w:p>
        </w:tc>
        <w:tc>
          <w:tcPr>
            <w:tcW w:w="90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 PRINCIPAL REAL ESTATE INVESTORS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- 1,204,484 PRINCIPAL REAL ESTATE INVESTORS LLC - 6,527,228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 PRINCIPAL REAL ESTATE INVESTORS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- 1,204,484 PRINCIPAL REAL ESTATE INVESTORS LLC - 6,527,228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5.</w:t>
            </w:r>
          </w:p>
        </w:tc>
        <w:tc>
          <w:tcPr>
            <w:tcW w:w="90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7.</w:t>
            </w:r>
          </w:p>
        </w:tc>
        <w:tc>
          <w:tcPr>
            <w:tcW w:w="90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8.</w:t>
            </w:r>
          </w:p>
        </w:tc>
        <w:tc>
          <w:tcPr>
            <w:tcW w:w="90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Item 9.</w:t>
            </w:r>
          </w:p>
        </w:tc>
        <w:tc>
          <w:tcPr>
            <w:tcW w:w="90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4"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7"/>
        <w:gridCol w:w="5088"/>
      </w:tblGrid>
      <w:tr>
        <w:trPr/>
        <w:tc>
          <w:tcPr>
            <w:tcW w:w="5117" w:type="dxa"/>
            <w:tcBorders/>
            <w:vAlign w:val="center"/>
          </w:tcPr>
          <w:p>
            <w:pPr>
              <w:pStyle w:val="TableContents"/>
              <w:bidi w:val="0"/>
              <w:spacing w:before="0" w:after="0"/>
              <w:jc w:val="left"/>
              <w:rPr/>
            </w:pPr>
            <w:r>
              <w:rPr/>
              <w:t> </w:t>
            </w:r>
          </w:p>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0"/>
                    <w:jc w:val="left"/>
                    <w:rPr/>
                  </w:pPr>
                  <w:r>
                    <w:rPr/>
                    <w:t>PRINCIPAL REAL ESTATE INVESTORS LLC</w:t>
                  </w:r>
                </w:p>
              </w:tc>
            </w:tr>
          </w:tbl>
          <w:p>
            <w:pPr>
              <w:pStyle w:val="TableContents"/>
              <w:bidi w:val="0"/>
              <w:spacing w:before="0" w:after="283"/>
              <w:jc w:val="left"/>
              <w:rPr/>
            </w:pPr>
            <w:r>
              <w:rPr/>
            </w:r>
          </w:p>
        </w:tc>
        <w:tc>
          <w:tcPr>
            <w:tcW w:w="5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This statement is filed by Principal Global Investors LLC and Principal Real Estate Investors LLC jointly pursuant to a Joint Filing Agreement, which is filed with this Schedule 13G as Exhibit 99.1.</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977</Words>
  <Characters>5155</Characters>
  <CharactersWithSpaces>6108</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