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60630.htm"/>
      <w:bookmarkStart w:id="1" w:name="ksreg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center"/>
              <w:rPr/>
            </w:pPr>
            <w:r>
              <w:rPr>
                <w:color w:val="000000"/>
              </w:rPr>
              <w:t xml:space="preserve">☒ </w:t>
            </w: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For the quarterly period ended June 30, 2026</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color w:val="000000"/>
          <w:sz w:val="18"/>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Commission File Number 1-12298</w:t>
      </w:r>
      <w:r>
        <w:rPr>
          <w:rFonts w:ascii="Times New Roman" w:hAnsi="Times New Roman"/>
          <w:color w:val="000000"/>
          <w:sz w:val="20"/>
        </w:rPr>
        <w:t xml:space="preserve"> </w:t>
      </w:r>
      <w:r>
        <w:rPr>
          <w:rFonts w:ascii="Times New Roman" w:hAnsi="Times New Roman"/>
          <w:color w:val="000000"/>
          <w:sz w:val="18"/>
        </w:rPr>
        <w:t>(Regency Centers Corporation)</w:t>
      </w:r>
    </w:p>
    <w:p>
      <w:pPr>
        <w:pStyle w:val="TextBody"/>
        <w:bidi w:val="0"/>
        <w:jc w:val="center"/>
        <w:rPr>
          <w:rFonts w:ascii="Times New Roman" w:hAnsi="Times New Roman"/>
          <w:sz w:val="20"/>
        </w:rPr>
      </w:pPr>
      <w:r>
        <w:rPr>
          <w:rFonts w:ascii="Times New Roman" w:hAnsi="Times New Roman"/>
          <w:color w:val="000000"/>
          <w:sz w:val="18"/>
        </w:rPr>
        <w:t>Commission File Number 0-24763</w:t>
      </w:r>
      <w:r>
        <w:rPr>
          <w:rFonts w:ascii="Times New Roman" w:hAnsi="Times New Roman"/>
          <w:color w:val="000000"/>
          <w:sz w:val="20"/>
        </w:rPr>
        <w:t xml:space="preserve"> </w:t>
      </w:r>
      <w:r>
        <w:rPr>
          <w:rFonts w:ascii="Times New Roman" w:hAnsi="Times New Roman"/>
          <w:color w:val="000000"/>
          <w:sz w:val="18"/>
        </w:rPr>
        <w:t>(Regency Centers, L.P.)</w:t>
      </w:r>
    </w:p>
    <w:p>
      <w:pPr>
        <w:pStyle w:val="TextBody"/>
        <w:bidi w:val="0"/>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4144"/>
        <w:gridCol w:w="2426"/>
        <w:gridCol w:w="3635"/>
      </w:tblGrid>
      <w:tr>
        <w:trPr/>
        <w:tc>
          <w:tcPr>
            <w:tcW w:w="4144"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tcMar>
              <w:top w:w="0" w:type="dxa"/>
              <w:left w:w="0" w:type="dxa"/>
              <w:bottom w:w="0" w:type="dxa"/>
              <w:right w:w="0" w:type="dxa"/>
            </w:tcMar>
            <w:vAlign w:val="center"/>
          </w:tcPr>
          <w:p>
            <w:pPr>
              <w:pStyle w:val="TableContents"/>
              <w:bidi w:val="0"/>
              <w:spacing w:before="0" w:after="283"/>
              <w:jc w:val="left"/>
              <w:rPr/>
            </w:pPr>
            <w:r>
              <w:rPr/>
              <w:t> </w:t>
            </w:r>
          </w:p>
        </w:tc>
        <w:tc>
          <w:tcPr>
            <w:tcW w:w="24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aps/>
                <w:color w:val="000000"/>
                <w:sz w:val="16"/>
              </w:rPr>
              <w:t>florida</w:t>
            </w:r>
            <w:r>
              <w:rPr>
                <w:rFonts w:ascii="Times New Roman" w:hAnsi="Times New Roman"/>
                <w:color w:val="000000"/>
                <w:sz w:val="16"/>
              </w:rPr>
              <w:t> </w:t>
            </w:r>
            <w:r>
              <w:rPr>
                <w:rFonts w:ascii="Times New Roman" w:hAnsi="Times New Roman"/>
                <w:b/>
                <w:color w:val="000000"/>
                <w:sz w:val="16"/>
              </w:rPr>
              <w:t>(REGENCY CENTERS CORPORATION)</w:t>
            </w:r>
          </w:p>
        </w:tc>
        <w:tc>
          <w:tcPr>
            <w:tcW w:w="2426"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859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866775"/>
                          </a:xfrm>
                          <a:prstGeom prst="rect">
                            <a:avLst/>
                          </a:prstGeom>
                        </pic:spPr>
                      </pic:pic>
                    </a:graphicData>
                  </a:graphic>
                </wp:inline>
              </w:drawing>
            </w:r>
          </w:p>
        </w:tc>
        <w:tc>
          <w:tcPr>
            <w:tcW w:w="3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59-3191743</w:t>
            </w:r>
          </w:p>
        </w:tc>
      </w:tr>
      <w:tr>
        <w:trPr/>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aps/>
                <w:color w:val="000000"/>
                <w:sz w:val="16"/>
              </w:rPr>
              <w:t>Delaware</w:t>
            </w:r>
            <w:r>
              <w:rPr>
                <w:rFonts w:ascii="Times New Roman" w:hAnsi="Times New Roman"/>
                <w:color w:val="000000"/>
                <w:sz w:val="16"/>
              </w:rPr>
              <w:t> </w:t>
            </w:r>
            <w:r>
              <w:rPr>
                <w:rFonts w:ascii="Times New Roman" w:hAnsi="Times New Roman"/>
                <w:b/>
                <w:color w:val="000000"/>
                <w:sz w:val="16"/>
              </w:rPr>
              <w:t>(REGENCY CENTERS, L.P.)</w:t>
            </w:r>
          </w:p>
        </w:tc>
        <w:tc>
          <w:tcPr>
            <w:tcW w:w="2426" w:type="dxa"/>
            <w:vMerge w:val="continue"/>
            <w:tcBorders/>
            <w:tcMar>
              <w:top w:w="0" w:type="dxa"/>
              <w:left w:w="0" w:type="dxa"/>
              <w:bottom w:w="0" w:type="dxa"/>
              <w:right w:w="0" w:type="dxa"/>
            </w:tcMar>
            <w:vAlign w:val="center"/>
          </w:tcPr>
          <w:p>
            <w:pPr>
              <w:pStyle w:val="Normal"/>
              <w:bidi w:val="0"/>
              <w:jc w:val="left"/>
              <w:rPr/>
            </w:pPr>
            <w:r>
              <w:rPr/>
            </w:r>
          </w:p>
        </w:tc>
        <w:tc>
          <w:tcPr>
            <w:tcW w:w="3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59-3429602</w:t>
            </w:r>
          </w:p>
        </w:tc>
      </w:tr>
      <w:tr>
        <w:trPr/>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2426" w:type="dxa"/>
            <w:vMerge w:val="continue"/>
            <w:tcBorders/>
            <w:tcMar>
              <w:top w:w="0" w:type="dxa"/>
              <w:left w:w="0" w:type="dxa"/>
              <w:bottom w:w="0" w:type="dxa"/>
              <w:right w:w="0" w:type="dxa"/>
            </w:tcMar>
            <w:vAlign w:val="center"/>
          </w:tcPr>
          <w:p>
            <w:pPr>
              <w:pStyle w:val="Normal"/>
              <w:bidi w:val="0"/>
              <w:jc w:val="left"/>
              <w:rPr/>
            </w:pPr>
            <w:r>
              <w:rPr/>
            </w:r>
          </w:p>
        </w:tc>
        <w:tc>
          <w:tcPr>
            <w:tcW w:w="3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144" w:type="dxa"/>
            <w:tcBorders/>
            <w:tcMar>
              <w:top w:w="0" w:type="dxa"/>
              <w:left w:w="0" w:type="dxa"/>
              <w:bottom w:w="0" w:type="dxa"/>
              <w:right w:w="0" w:type="dxa"/>
            </w:tcMar>
            <w:vAlign w:val="center"/>
          </w:tcPr>
          <w:p>
            <w:pPr>
              <w:pStyle w:val="TableContents"/>
              <w:bidi w:val="0"/>
              <w:spacing w:before="0" w:after="283"/>
              <w:jc w:val="left"/>
              <w:rPr/>
            </w:pPr>
            <w:r>
              <w:rPr/>
              <w:t> </w:t>
            </w:r>
          </w:p>
        </w:tc>
        <w:tc>
          <w:tcPr>
            <w:tcW w:w="2426" w:type="dxa"/>
            <w:vMerge w:val="continue"/>
            <w:tcBorders/>
            <w:tcMar>
              <w:top w:w="0" w:type="dxa"/>
              <w:left w:w="0" w:type="dxa"/>
              <w:bottom w:w="0" w:type="dxa"/>
              <w:right w:w="0" w:type="dxa"/>
            </w:tcMar>
            <w:vAlign w:val="center"/>
          </w:tcPr>
          <w:p>
            <w:pPr>
              <w:pStyle w:val="Normal"/>
              <w:bidi w:val="0"/>
              <w:jc w:val="left"/>
              <w:rPr/>
            </w:pPr>
            <w:r>
              <w:rPr/>
            </w:r>
          </w:p>
        </w:tc>
        <w:tc>
          <w:tcPr>
            <w:tcW w:w="36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One Independent Drive, Suite 114</w:t>
            </w:r>
          </w:p>
          <w:p>
            <w:pPr>
              <w:pStyle w:val="TableContents"/>
              <w:bidi w:val="0"/>
              <w:spacing w:before="0" w:after="283"/>
              <w:jc w:val="center"/>
              <w:rPr>
                <w:rFonts w:ascii="Times New Roman" w:hAnsi="Times New Roman"/>
                <w:sz w:val="20"/>
              </w:rPr>
            </w:pPr>
            <w:r>
              <w:rPr>
                <w:rFonts w:ascii="Times New Roman" w:hAnsi="Times New Roman"/>
                <w:b/>
                <w:color w:val="000000"/>
                <w:sz w:val="16"/>
              </w:rPr>
              <w:t>Jacksonville, Florida</w:t>
            </w:r>
            <w:r>
              <w:rPr>
                <w:rFonts w:ascii="Times New Roman" w:hAnsi="Times New Roman"/>
                <w:color w:val="000000"/>
                <w:sz w:val="20"/>
              </w:rPr>
              <w:t xml:space="preserve"> </w:t>
            </w:r>
            <w:r>
              <w:rPr>
                <w:rFonts w:ascii="Times New Roman" w:hAnsi="Times New Roman"/>
                <w:b/>
                <w:color w:val="000000"/>
                <w:sz w:val="16"/>
              </w:rPr>
              <w:t>32202</w:t>
            </w:r>
          </w:p>
        </w:tc>
        <w:tc>
          <w:tcPr>
            <w:tcW w:w="2426" w:type="dxa"/>
            <w:vMerge w:val="continue"/>
            <w:tcBorders/>
            <w:tcMar>
              <w:top w:w="0" w:type="dxa"/>
              <w:left w:w="0" w:type="dxa"/>
              <w:bottom w:w="0" w:type="dxa"/>
              <w:right w:w="0" w:type="dxa"/>
            </w:tcMar>
            <w:vAlign w:val="center"/>
          </w:tcPr>
          <w:p>
            <w:pPr>
              <w:pStyle w:val="Normal"/>
              <w:bidi w:val="0"/>
              <w:jc w:val="left"/>
              <w:rPr/>
            </w:pPr>
            <w:r>
              <w:rPr/>
            </w:r>
          </w:p>
        </w:tc>
        <w:tc>
          <w:tcPr>
            <w:tcW w:w="3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(904) 598-7000</w:t>
            </w:r>
          </w:p>
        </w:tc>
      </w:tr>
      <w:tr>
        <w:trPr/>
        <w:tc>
          <w:tcPr>
            <w:tcW w:w="41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 (zip code)</w:t>
            </w:r>
          </w:p>
        </w:tc>
        <w:tc>
          <w:tcPr>
            <w:tcW w:w="24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(Registrant's telephone number, including area code)</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Regency Centers Corporation</w:t>
      </w:r>
    </w:p>
    <w:tbl>
      <w:tblPr>
        <w:tblW w:w="10205" w:type="dxa"/>
        <w:jc w:val="left"/>
        <w:tblInd w:w="0" w:type="dxa"/>
        <w:tblLayout w:type="fixed"/>
        <w:tblCellMar>
          <w:top w:w="28" w:type="dxa"/>
          <w:left w:w="28" w:type="dxa"/>
          <w:bottom w:w="28" w:type="dxa"/>
          <w:right w:w="28" w:type="dxa"/>
        </w:tblCellMar>
      </w:tblPr>
      <w:tblGrid>
        <w:gridCol w:w="5565"/>
        <w:gridCol w:w="146"/>
        <w:gridCol w:w="1357"/>
        <w:gridCol w:w="146"/>
        <w:gridCol w:w="2991"/>
      </w:tblGrid>
      <w:tr>
        <w:trPr/>
        <w:tc>
          <w:tcPr>
            <w:tcW w:w="5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r>
      <w:tr>
        <w:trPr/>
        <w:tc>
          <w:tcPr>
            <w:tcW w:w="55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9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5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5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5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Regency Centers, L.P.</w:t>
      </w:r>
    </w:p>
    <w:tbl>
      <w:tblPr>
        <w:tblW w:w="6460" w:type="dxa"/>
        <w:jc w:val="left"/>
        <w:tblInd w:w="0" w:type="dxa"/>
        <w:tblLayout w:type="fixed"/>
        <w:tblCellMar>
          <w:top w:w="28" w:type="dxa"/>
          <w:left w:w="28" w:type="dxa"/>
          <w:bottom w:w="28" w:type="dxa"/>
          <w:right w:w="28" w:type="dxa"/>
        </w:tblCellMar>
      </w:tblPr>
      <w:tblGrid>
        <w:gridCol w:w="1396"/>
        <w:gridCol w:w="146"/>
        <w:gridCol w:w="145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80" w:after="283"/>
        <w:jc w:val="center"/>
        <w:rPr>
          <w:rFonts w:ascii="Times New Roman" w:hAnsi="Times New Roman"/>
          <w:sz w:val="20"/>
        </w:rPr>
      </w:pPr>
      <w:r>
        <w:rPr>
          <w:rFonts w:ascii="Times New Roman" w:hAnsi="Times New Roman"/>
          <w:b/>
          <w:color w:val="000000"/>
          <w:sz w:val="16"/>
        </w:rPr>
        <w:t xml:space="preserve">Regency Centers Corporation </w:t>
      </w:r>
      <w:r>
        <w:rPr>
          <w:rFonts w:ascii="Times New Roman" w:hAnsi="Times New Roman"/>
          <w:b/>
          <w:caps/>
          <w:color w:val="000000"/>
          <w:sz w:val="16"/>
        </w:rPr>
        <w:t>Yes</w:t>
      </w:r>
      <w:r>
        <w:rPr>
          <w:rFonts w:ascii="Times New Roman" w:hAnsi="Times New Roman"/>
          <w:color w:val="000000"/>
          <w:sz w:val="20"/>
        </w:rPr>
        <w:t xml:space="preserve"> ☒ </w:t>
      </w:r>
      <w:r>
        <w:rPr>
          <w:rFonts w:ascii="Times New Roman" w:hAnsi="Times New Roman"/>
          <w:b/>
          <w:caps/>
          <w:color w:val="000000"/>
          <w:sz w:val="16"/>
        </w:rPr>
        <w:t>No</w:t>
      </w:r>
      <w:r>
        <w:rPr>
          <w:rFonts w:ascii="Times New Roman" w:hAnsi="Times New Roman"/>
          <w:color w:val="000000"/>
          <w:sz w:val="20"/>
        </w:rPr>
        <w:t xml:space="preserve"> ☐ </w:t>
      </w:r>
      <w:r>
        <w:rPr>
          <w:rFonts w:ascii="Times New Roman" w:hAnsi="Times New Roman"/>
          <w:b/>
          <w:color w:val="000000"/>
          <w:sz w:val="16"/>
        </w:rPr>
        <w:t xml:space="preserve">Regency Centers, L.P. </w:t>
      </w:r>
      <w:r>
        <w:rPr>
          <w:rFonts w:ascii="Times New Roman" w:hAnsi="Times New Roman"/>
          <w:b/>
          <w:caps/>
          <w:color w:val="000000"/>
          <w:sz w:val="16"/>
        </w:rPr>
        <w:t>Yes</w:t>
      </w:r>
      <w:r>
        <w:rPr>
          <w:rFonts w:ascii="Times New Roman" w:hAnsi="Times New Roman"/>
          <w:color w:val="000000"/>
          <w:sz w:val="20"/>
        </w:rPr>
        <w:t xml:space="preserve"> ☒ </w:t>
      </w:r>
      <w:r>
        <w:rPr>
          <w:rFonts w:ascii="Times New Roman" w:hAnsi="Times New Roman"/>
          <w:b/>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w:t>
      </w:r>
      <w:r>
        <w:rPr>
          <w:rFonts w:ascii="Times New Roman" w:hAnsi="Times New Roman"/>
          <w:color w:val="000000"/>
          <w:sz w:val="16"/>
          <w:u w:val="single"/>
        </w:rPr>
        <w:t xml:space="preserve">§232.405 of this chapter) </w:t>
      </w:r>
      <w:r>
        <w:rPr>
          <w:rFonts w:ascii="Times New Roman" w:hAnsi="Times New Roman"/>
          <w:color w:val="000000"/>
          <w:sz w:val="16"/>
        </w:rPr>
        <w:t>during the preceding 12 months (or for such shorter period that the registrant was required to submit such files).</w:t>
      </w:r>
    </w:p>
    <w:p>
      <w:pPr>
        <w:pStyle w:val="TextBody"/>
        <w:bidi w:val="0"/>
        <w:spacing w:before="80" w:after="283"/>
        <w:jc w:val="center"/>
        <w:rPr>
          <w:rFonts w:ascii="Times New Roman" w:hAnsi="Times New Roman"/>
          <w:sz w:val="20"/>
        </w:rPr>
      </w:pPr>
      <w:r>
        <w:rPr>
          <w:rFonts w:ascii="Times New Roman" w:hAnsi="Times New Roman"/>
          <w:b/>
          <w:color w:val="000000"/>
          <w:sz w:val="16"/>
        </w:rPr>
        <w:t xml:space="preserve">Regency Centers Corporation </w:t>
      </w:r>
      <w:r>
        <w:rPr>
          <w:rFonts w:ascii="Times New Roman" w:hAnsi="Times New Roman"/>
          <w:b/>
          <w:caps/>
          <w:color w:val="000000"/>
          <w:sz w:val="16"/>
        </w:rPr>
        <w:t>Yes</w:t>
      </w:r>
      <w:r>
        <w:rPr>
          <w:rFonts w:ascii="Times New Roman" w:hAnsi="Times New Roman"/>
          <w:color w:val="000000"/>
          <w:sz w:val="20"/>
        </w:rPr>
        <w:t xml:space="preserve"> ☒ </w:t>
      </w:r>
      <w:r>
        <w:rPr>
          <w:rFonts w:ascii="Times New Roman" w:hAnsi="Times New Roman"/>
          <w:b/>
          <w:caps/>
          <w:color w:val="000000"/>
          <w:sz w:val="16"/>
        </w:rPr>
        <w:t>No</w:t>
      </w:r>
      <w:r>
        <w:rPr>
          <w:rFonts w:ascii="Times New Roman" w:hAnsi="Times New Roman"/>
          <w:color w:val="000000"/>
          <w:sz w:val="20"/>
        </w:rPr>
        <w:t xml:space="preserve"> ☐ </w:t>
      </w:r>
      <w:r>
        <w:rPr>
          <w:rFonts w:ascii="Times New Roman" w:hAnsi="Times New Roman"/>
          <w:b/>
          <w:color w:val="000000"/>
          <w:sz w:val="16"/>
        </w:rPr>
        <w:t xml:space="preserve">Regency Centers, L.P. </w:t>
      </w:r>
      <w:r>
        <w:rPr>
          <w:rFonts w:ascii="Times New Roman" w:hAnsi="Times New Roman"/>
          <w:b/>
          <w:caps/>
          <w:color w:val="000000"/>
          <w:sz w:val="16"/>
        </w:rPr>
        <w:t>Yes</w:t>
      </w:r>
      <w:r>
        <w:rPr>
          <w:rFonts w:ascii="Times New Roman" w:hAnsi="Times New Roman"/>
          <w:color w:val="000000"/>
          <w:sz w:val="20"/>
        </w:rPr>
        <w:t xml:space="preserve"> ☒ </w:t>
      </w:r>
      <w:r>
        <w:rPr>
          <w:rFonts w:ascii="Times New Roman" w:hAnsi="Times New Roman"/>
          <w:b/>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Regency Centers Corporation:</w:t>
      </w:r>
    </w:p>
    <w:tbl>
      <w:tblPr>
        <w:tblW w:w="8896" w:type="dxa"/>
        <w:jc w:val="left"/>
        <w:tblInd w:w="0" w:type="dxa"/>
        <w:tblLayout w:type="fixed"/>
        <w:tblCellMar>
          <w:top w:w="28" w:type="dxa"/>
          <w:left w:w="28" w:type="dxa"/>
          <w:bottom w:w="28" w:type="dxa"/>
          <w:right w:w="28" w:type="dxa"/>
        </w:tblCellMar>
      </w:tblPr>
      <w:tblGrid>
        <w:gridCol w:w="2766"/>
        <w:gridCol w:w="316"/>
        <w:gridCol w:w="2011"/>
        <w:gridCol w:w="316"/>
        <w:gridCol w:w="2026"/>
        <w:gridCol w:w="1461"/>
      </w:tblGrid>
      <w:tr>
        <w:trPr/>
        <w:tc>
          <w:tcPr>
            <w:tcW w:w="2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ind w:left="0" w:right="0" w:firstLine="110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1" w:type="dxa"/>
            <w:tcBorders/>
            <w:tcMar>
              <w:top w:w="0" w:type="dxa"/>
              <w:left w:w="0" w:type="dxa"/>
              <w:bottom w:w="0" w:type="dxa"/>
              <w:right w:w="0" w:type="dxa"/>
            </w:tcMar>
            <w:vAlign w:val="center"/>
          </w:tcPr>
          <w:p>
            <w:pPr>
              <w:pStyle w:val="TableContents"/>
              <w:bidi w:val="0"/>
              <w:spacing w:before="0" w:after="283"/>
              <w:ind w:left="0" w:right="0" w:firstLine="1100"/>
              <w:jc w:val="center"/>
              <w:rPr>
                <w:color w:val="000000"/>
              </w:rPr>
            </w:pPr>
            <w:r>
              <w:rPr>
                <w:color w:val="000000"/>
              </w:rPr>
              <w:t>☐</w:t>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46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bl>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Regency Centers, L.P.:</w:t>
      </w:r>
    </w:p>
    <w:tbl>
      <w:tblPr>
        <w:tblW w:w="8896" w:type="dxa"/>
        <w:jc w:val="left"/>
        <w:tblInd w:w="0" w:type="dxa"/>
        <w:tblLayout w:type="fixed"/>
        <w:tblCellMar>
          <w:top w:w="28" w:type="dxa"/>
          <w:left w:w="28" w:type="dxa"/>
          <w:bottom w:w="28" w:type="dxa"/>
          <w:right w:w="28" w:type="dxa"/>
        </w:tblCellMar>
      </w:tblPr>
      <w:tblGrid>
        <w:gridCol w:w="2766"/>
        <w:gridCol w:w="316"/>
        <w:gridCol w:w="2011"/>
        <w:gridCol w:w="316"/>
        <w:gridCol w:w="2026"/>
        <w:gridCol w:w="1461"/>
      </w:tblGrid>
      <w:tr>
        <w:trPr/>
        <w:tc>
          <w:tcPr>
            <w:tcW w:w="2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ind w:left="0" w:right="0" w:firstLine="110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1" w:type="dxa"/>
            <w:tcBorders/>
            <w:tcMar>
              <w:top w:w="0" w:type="dxa"/>
              <w:left w:w="0" w:type="dxa"/>
              <w:bottom w:w="0" w:type="dxa"/>
              <w:right w:w="0" w:type="dxa"/>
            </w:tcMar>
            <w:vAlign w:val="center"/>
          </w:tcPr>
          <w:p>
            <w:pPr>
              <w:pStyle w:val="TableContents"/>
              <w:bidi w:val="0"/>
              <w:spacing w:before="0" w:after="283"/>
              <w:ind w:left="0" w:right="0" w:firstLine="1100"/>
              <w:jc w:val="center"/>
              <w:rPr>
                <w:color w:val="000000"/>
              </w:rPr>
            </w:pPr>
            <w:r>
              <w:rPr>
                <w:color w:val="000000"/>
              </w:rPr>
              <w:t>☐</w:t>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80" w:after="283"/>
        <w:jc w:val="center"/>
        <w:rPr>
          <w:rFonts w:ascii="Times New Roman" w:hAnsi="Times New Roman"/>
          <w:sz w:val="20"/>
        </w:rPr>
      </w:pPr>
      <w:r>
        <w:rPr>
          <w:rFonts w:ascii="Times New Roman" w:hAnsi="Times New Roman"/>
          <w:b/>
          <w:color w:val="000000"/>
          <w:sz w:val="16"/>
        </w:rPr>
        <w:t xml:space="preserve">Regency Centers Corporation </w:t>
      </w:r>
      <w:r>
        <w:rPr>
          <w:rFonts w:ascii="Times New Roman" w:hAnsi="Times New Roman"/>
          <w:color w:val="000000"/>
          <w:sz w:val="20"/>
        </w:rPr>
        <w:t xml:space="preserve">☐ </w:t>
      </w:r>
      <w:r>
        <w:rPr>
          <w:rFonts w:ascii="Times New Roman" w:hAnsi="Times New Roman"/>
          <w:b/>
          <w:color w:val="000000"/>
          <w:sz w:val="16"/>
        </w:rPr>
        <w:t xml:space="preserve">Regency Centers, L.P.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w:t>
      </w:r>
    </w:p>
    <w:p>
      <w:pPr>
        <w:pStyle w:val="TextBody"/>
        <w:bidi w:val="0"/>
        <w:spacing w:before="80" w:after="283"/>
        <w:jc w:val="center"/>
        <w:rPr>
          <w:rFonts w:ascii="Times New Roman" w:hAnsi="Times New Roman"/>
          <w:sz w:val="20"/>
        </w:rPr>
      </w:pPr>
      <w:r>
        <w:rPr>
          <w:rFonts w:ascii="Times New Roman" w:hAnsi="Times New Roman"/>
          <w:b/>
          <w:color w:val="000000"/>
          <w:sz w:val="16"/>
        </w:rPr>
        <w:t xml:space="preserve">Regency Centers Corporation </w:t>
      </w:r>
      <w:r>
        <w:rPr>
          <w:rFonts w:ascii="Times New Roman" w:hAnsi="Times New Roman"/>
          <w:b/>
          <w:caps/>
          <w:color w:val="000000"/>
          <w:sz w:val="16"/>
        </w:rPr>
        <w:t>Yes</w:t>
      </w:r>
      <w:r>
        <w:rPr>
          <w:rFonts w:ascii="Times New Roman" w:hAnsi="Times New Roman"/>
          <w:color w:val="000000"/>
          <w:sz w:val="20"/>
        </w:rPr>
        <w:t xml:space="preserve"> ☐ </w:t>
      </w:r>
      <w:r>
        <w:rPr>
          <w:rFonts w:ascii="Times New Roman" w:hAnsi="Times New Roman"/>
          <w:b/>
          <w:caps/>
          <w:color w:val="000000"/>
          <w:sz w:val="16"/>
        </w:rPr>
        <w:t>No</w:t>
      </w:r>
      <w:r>
        <w:rPr>
          <w:rFonts w:ascii="Times New Roman" w:hAnsi="Times New Roman"/>
          <w:color w:val="000000"/>
          <w:sz w:val="20"/>
        </w:rPr>
        <w:t xml:space="preserve"> ☒ </w:t>
      </w:r>
      <w:r>
        <w:rPr>
          <w:rFonts w:ascii="Times New Roman" w:hAnsi="Times New Roman"/>
          <w:b/>
          <w:color w:val="000000"/>
          <w:sz w:val="16"/>
        </w:rPr>
        <w:t xml:space="preserve">Regency Centers, L.P. </w:t>
      </w:r>
      <w:r>
        <w:rPr>
          <w:rFonts w:ascii="Times New Roman" w:hAnsi="Times New Roman"/>
          <w:b/>
          <w:caps/>
          <w:color w:val="000000"/>
          <w:sz w:val="16"/>
        </w:rPr>
        <w:t>Yes</w:t>
      </w:r>
      <w:r>
        <w:rPr>
          <w:rFonts w:ascii="Times New Roman" w:hAnsi="Times New Roman"/>
          <w:color w:val="000000"/>
          <w:sz w:val="20"/>
        </w:rPr>
        <w:t xml:space="preserve"> ☐ </w:t>
      </w:r>
      <w:r>
        <w:rPr>
          <w:rFonts w:ascii="Times New Roman" w:hAnsi="Times New Roman"/>
          <w:b/>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The number of shares outstanding of Regency Centers Corporation's common stock was 183,120,547</w:t>
      </w:r>
      <w:r>
        <w:rPr>
          <w:rFonts w:ascii="Times New Roman" w:hAnsi="Times New Roman"/>
          <w:color w:val="000000"/>
          <w:sz w:val="20"/>
        </w:rPr>
        <w:t xml:space="preserve"> </w:t>
      </w:r>
      <w:r>
        <w:rPr>
          <w:rFonts w:ascii="Times New Roman" w:hAnsi="Times New Roman"/>
          <w:color w:val="000000"/>
          <w:sz w:val="16"/>
        </w:rPr>
        <w:t>as of July 31, 2026.</w:t>
      </w:r>
    </w:p>
    <w:p>
      <w:pPr>
        <w:pStyle w:val="TextBody"/>
        <w:pBdr>
          <w:bottom w:val="double" w:sz="4"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EXPLANATORY NOTE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Quarterly Report on Form 10-Q (this "Report") combines the quarterly reports on Form 10-Q for the quarter ended June 30, 2026, of Regency Centers Corporation and Regency Centers, L.P. Unless stated otherwise or the context otherwise requires, references to "Regency Centers Corporation" or the "Parent Company" mean Regency Centers Corporation and its controlled subsidiaries and references to "Regency Centers, L.P." or the "Operating Partnership" mean Regency Centers, L.P. and its controlled subsidiaries. The terms "the Company," "Regency Centers," "Regency," "we," "our," and "us" as used in this Report mean the Parent Company, the Operating Partnership and their controlled subsidiaries, collectively.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Parent Company is a real estate investment trust ("REIT") and the general partner of the Operating Partnership. As the sole general partner of the Operating Partnership, the Parent Company has exclusive control of the Operating Partnership's day-to-day management. The Operating Partnership's capital includes general and limited common partnership units ("Common Units"). As of June 30, 2026, the Parent Company owned approximately 97.9% of the Common Units in the Operating Partnership. The remaining Common Units, which are all limited Common Units, are owned by third party investors. In addition to the Common Units, the Operating Partnership has also issued two series of preferred units: the 6.250% Series A Cumulative Redeemable Preferred Units (the "Series A Preferred Units") and the 5.875% Series B Cumulative Redeemable Preferred Units (the "Series B Preferred Units"). The Parent Company currently owns all of the Series A Preferred Units and Series B Preferred Units. The Series A Preferred Units and Series B Preferred Units are sometimes referred to collectively as the "Preferred Units."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believes combining the quarterly reports on Form 10-Q of the Parent Company and the Operating Partnership into this single report provides the following benefits: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Enhances investors' understanding of the Parent Company and the Operating Partnership by enabling investors to view the business as a whole in the same manner as management views and operates the business;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Eliminates duplicative disclosure and provides a more streamlined and readable presentation;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Creates time and cost efficiencies through the preparation of one combined report instead of two separate reports.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Management operates the Parent Company and the Operating Partnership as a single business. The management of the Parent Company consists of the same individuals as the management of the Operating Partnership. These individuals are officers of the Parent Company, and officers and employees of the Operating Partnership.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believes it is important to understand the key differences between the Parent Company and the Operating Partnership in the context of how the Parent Company and the Operating Partnership operate as a consolidated company. The Parent Company is a REIT, whose only material asset is its ownership of Common and Preferred Units of the Operating Partnership. As a result, the Parent Company does not conduct business itself, other than acting as the sole general partner of the Operating Partnership, issuing public equity from time to time and guaranteeing certain debt of the Operating Partnership. Except for $100 million of unsecured private placement debt, the Parent Company does not directly hold any indebtedness, but guarantees all of the unsecured debt of the Operating Partnership. The Operating Partnership is also the guarantor of the Parent Company's $100 million unsecured private placement debt referenced above. The Operating Partnership holds all the assets of the Company and ownership of the Company's subsidiaries and equity interests in its joint ventures. Except for net proceeds from public equity issuances by the Parent Company, which are contributed to the Operating Partnership in exchange for Common Units or Preferred Units, the Operating Partnership generates all other capital required by the Company's business. These sources include the Operating Partnership's operations, its direct or indirect incurrence of indebtedness, and the issuance of Common Units and Preferred Units.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Shareholders' equity, partners' capital, and noncontrolling interests are the main areas of difference between the Consolidated Financial Statements of the Parent Company and those of the Operating Partnership. The Operating Partnership's capital includes the Common Units and the Preferred Units. The limited partners' Common Units in the Operating Partnership owned by third parties are accounted for in partners' capital in the Operating Partnership's financial statements and outside of shareholders' equity in noncontrolling interests in the Parent Company's financial statements. The Preferred Units owned by the Parent Company are eliminated in consolidation in the accompanying consolidated financial statements of the Parent Company and are classified as preferred units of the general partner in the accompanying consolidated financial statements of the Operating Partnership.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order to highlight the differences between the Parent Company and the Operating Partnership, there are sections in this Report that separately discuss the Parent Company and the Operating Partnership, including separate financial statements, controls and procedures sections, and separate Exhibit 31 and 32 certifications. In the sections that combine disclosure for the Parent Company and the Operating Partnership, this Report refers to actions or holdings as being actions or holdings of the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general partner with control of the Operating Partnership, 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781"/>
        <w:gridCol w:w="7096"/>
        <w:gridCol w:w="1096"/>
      </w:tblGrid>
      <w:tr>
        <w:trPr/>
        <w:tc>
          <w:tcPr>
            <w:tcW w:w="781"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897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7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bottom w:val="single" w:sz="6" w:space="0" w:color="000000"/>
            </w:tcBorders>
            <w:tcMar>
              <w:top w:w="0" w:type="dxa"/>
              <w:left w:w="0" w:type="dxa"/>
              <w:right w:w="0" w:type="dxa"/>
            </w:tcMar>
            <w:vAlign w:val="center"/>
          </w:tcPr>
          <w:p>
            <w:pPr>
              <w:pStyle w:val="TableContents"/>
              <w:bidi w:val="0"/>
              <w:ind w:left="0" w:right="0" w:firstLine="30"/>
              <w:jc w:val="center"/>
              <w:rPr>
                <w:rFonts w:ascii="Times New Roman" w:hAnsi="Times New Roman"/>
                <w:b/>
                <w:color w:val="000000"/>
                <w:sz w:val="16"/>
              </w:rPr>
            </w:pPr>
            <w:r>
              <w:rPr>
                <w:rFonts w:ascii="Times New Roman" w:hAnsi="Times New Roman"/>
                <w:b/>
                <w:color w:val="000000"/>
                <w:sz w:val="16"/>
              </w:rPr>
              <w:t>Form 10-Q</w:t>
            </w:r>
          </w:p>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Report Page</w:t>
            </w:r>
          </w:p>
        </w:tc>
      </w:tr>
      <w:tr>
        <w:trPr/>
        <w:tc>
          <w:tcPr>
            <w:tcW w:w="787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1">
              <w:r>
                <w:rPr>
                  <w:rStyle w:val="InternetLink"/>
                  <w:rFonts w:ascii="Times New Roman" w:hAnsi="Times New Roman"/>
                  <w:b/>
                  <w:color w:val="0563C1"/>
                  <w:sz w:val="20"/>
                  <w:u w:val="single"/>
                </w:rPr>
                <w:t>PART I - FINANCIAL INFORMATION</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1_item_1">
              <w:r>
                <w:rPr>
                  <w:rStyle w:val="InternetLink"/>
                  <w:rFonts w:ascii="Times New Roman" w:hAnsi="Times New Roman"/>
                  <w:color w:val="0563C1"/>
                  <w:sz w:val="18"/>
                  <w:u w:val="single"/>
                </w:rPr>
                <w:t>Financial Statements (Unaudited)</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7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rPr>
            </w:pPr>
            <w:r>
              <w:rPr>
                <w:rFonts w:ascii="Times New Roman" w:hAnsi="Times New Roman"/>
                <w:b/>
                <w:color w:val="000000"/>
                <w:sz w:val="20"/>
              </w:rPr>
              <w:t>Regency Centers Corporation:</w:t>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bs_rcc">
              <w:r>
                <w:rPr>
                  <w:rStyle w:val="InternetLink"/>
                  <w:rFonts w:ascii="Times New Roman" w:hAnsi="Times New Roman"/>
                  <w:color w:val="0563C1"/>
                  <w:sz w:val="18"/>
                  <w:u w:val="single"/>
                </w:rPr>
                <w:t>Consolidated Balance Sheets as of June 30, 2026 and December 31,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is_rcc">
              <w:r>
                <w:rPr>
                  <w:rStyle w:val="InternetLink"/>
                  <w:rFonts w:ascii="Times New Roman" w:hAnsi="Times New Roman"/>
                  <w:color w:val="0563C1"/>
                  <w:sz w:val="18"/>
                  <w:u w:val="single"/>
                </w:rPr>
                <w:t>Consolidated Statements of Operations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comp_inc_rcc">
              <w:r>
                <w:rPr>
                  <w:rStyle w:val="InternetLink"/>
                  <w:rFonts w:ascii="Times New Roman" w:hAnsi="Times New Roman"/>
                  <w:color w:val="0563C1"/>
                  <w:sz w:val="18"/>
                  <w:u w:val="single"/>
                </w:rPr>
                <w:t>Consolidated Statements of Comprehensive Income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equity_rcc">
              <w:r>
                <w:rPr>
                  <w:rStyle w:val="InternetLink"/>
                  <w:rFonts w:ascii="Times New Roman" w:hAnsi="Times New Roman"/>
                  <w:color w:val="0563C1"/>
                  <w:sz w:val="18"/>
                  <w:u w:val="single"/>
                </w:rPr>
                <w:t>Consolidated Statements of Equity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cf_rcc">
              <w:r>
                <w:rPr>
                  <w:rStyle w:val="InternetLink"/>
                  <w:rFonts w:ascii="Times New Roman" w:hAnsi="Times New Roman"/>
                  <w:color w:val="0563C1"/>
                  <w:sz w:val="18"/>
                  <w:u w:val="single"/>
                </w:rPr>
                <w:t>Consolidated Statements of Cash Flows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6</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7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b/>
                <w:color w:val="000000"/>
                <w:sz w:val="20"/>
              </w:rPr>
            </w:pPr>
            <w:r>
              <w:rPr>
                <w:rFonts w:ascii="Times New Roman" w:hAnsi="Times New Roman"/>
                <w:b/>
                <w:color w:val="000000"/>
                <w:sz w:val="20"/>
              </w:rPr>
              <w:t>Regency Centers, L.P.:</w:t>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bs_rclp">
              <w:r>
                <w:rPr>
                  <w:rStyle w:val="InternetLink"/>
                  <w:rFonts w:ascii="Times New Roman" w:hAnsi="Times New Roman"/>
                  <w:color w:val="0563C1"/>
                  <w:sz w:val="18"/>
                  <w:u w:val="single"/>
                </w:rPr>
                <w:t>Consolidated Balance Sheets as of June 30, 2026 and December 31,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8</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is_rclp">
              <w:r>
                <w:rPr>
                  <w:rStyle w:val="InternetLink"/>
                  <w:rFonts w:ascii="Times New Roman" w:hAnsi="Times New Roman"/>
                  <w:color w:val="0563C1"/>
                  <w:sz w:val="18"/>
                  <w:u w:val="single"/>
                </w:rPr>
                <w:t>Consolidated Statements of Operations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9</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comp_inc_rclp">
              <w:r>
                <w:rPr>
                  <w:rStyle w:val="InternetLink"/>
                  <w:rFonts w:ascii="Times New Roman" w:hAnsi="Times New Roman"/>
                  <w:color w:val="0563C1"/>
                  <w:sz w:val="18"/>
                  <w:u w:val="single"/>
                </w:rPr>
                <w:t>Consolidated Statements of Comprehensive Income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10</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_equity_rclp">
              <w:r>
                <w:rPr>
                  <w:rStyle w:val="InternetLink"/>
                  <w:rFonts w:ascii="Times New Roman" w:hAnsi="Times New Roman"/>
                  <w:color w:val="0563C1"/>
                  <w:sz w:val="18"/>
                  <w:u w:val="single"/>
                </w:rPr>
                <w:t>Consolidated Statements of Capital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solidated_statements_cash_flows_2">
              <w:r>
                <w:rPr>
                  <w:rStyle w:val="InternetLink"/>
                  <w:rFonts w:ascii="Times New Roman" w:hAnsi="Times New Roman"/>
                  <w:color w:val="0563C1"/>
                  <w:sz w:val="18"/>
                  <w:u w:val="single"/>
                </w:rPr>
                <w:t>Consolidated Statements of Cash Flows for the periods ended June 30, 2026 and 2025</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13</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
              <w:r>
                <w:rPr>
                  <w:rStyle w:val="InternetLink"/>
                  <w:rFonts w:ascii="Times New Roman" w:hAnsi="Times New Roman"/>
                  <w:color w:val="0563C1"/>
                  <w:sz w:val="18"/>
                  <w:u w:val="single"/>
                </w:rPr>
                <w:t>Notes to Consolidated Financial Statements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15</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2.</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mda">
              <w:r>
                <w:rPr>
                  <w:rStyle w:val="InternetLink"/>
                  <w:rFonts w:ascii="Times New Roman" w:hAnsi="Times New Roman"/>
                  <w:color w:val="0563C1"/>
                  <w:sz w:val="18"/>
                  <w:u w:val="single"/>
                </w:rPr>
                <w:t>Management's Discussion and Analysis of Financial Condition and Results of Operations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29</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3.</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
              <w:r>
                <w:rPr>
                  <w:rStyle w:val="InternetLink"/>
                  <w:rFonts w:ascii="Times New Roman" w:hAnsi="Times New Roman"/>
                  <w:color w:val="0563C1"/>
                  <w:sz w:val="18"/>
                  <w:u w:val="single"/>
                </w:rPr>
                <w:t>Quantitative and Qualitative Disclosures about Market Risk</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49</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4.</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
              <w:r>
                <w:rPr>
                  <w:rStyle w:val="InternetLink"/>
                  <w:rFonts w:ascii="Times New Roman" w:hAnsi="Times New Roman"/>
                  <w:color w:val="0563C1"/>
                  <w:sz w:val="18"/>
                  <w:u w:val="single"/>
                </w:rPr>
                <w:t>Controls and Procedures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50</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7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
              <w:r>
                <w:rPr>
                  <w:rStyle w:val="InternetLink"/>
                  <w:rFonts w:ascii="Times New Roman" w:hAnsi="Times New Roman"/>
                  <w:b/>
                  <w:color w:val="0563C1"/>
                  <w:sz w:val="20"/>
                  <w:u w:val="single"/>
                </w:rPr>
                <w:t>PART II - OTHER INFORMATION</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1.</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1">
              <w:r>
                <w:rPr>
                  <w:rStyle w:val="InternetLink"/>
                  <w:rFonts w:ascii="Times New Roman" w:hAnsi="Times New Roman"/>
                  <w:color w:val="0563C1"/>
                  <w:sz w:val="18"/>
                  <w:u w:val="single"/>
                </w:rPr>
                <w:t>Legal Proceedings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1A.</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1a">
              <w:r>
                <w:rPr>
                  <w:rStyle w:val="InternetLink"/>
                  <w:rFonts w:ascii="Times New Roman" w:hAnsi="Times New Roman"/>
                  <w:color w:val="0563C1"/>
                  <w:sz w:val="18"/>
                  <w:u w:val="single"/>
                </w:rPr>
                <w:t>Risk Factors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2.</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2">
              <w:r>
                <w:rPr>
                  <w:rStyle w:val="InternetLink"/>
                  <w:rFonts w:ascii="Times New Roman" w:hAnsi="Times New Roman"/>
                  <w:color w:val="0563C1"/>
                  <w:sz w:val="18"/>
                  <w:u w:val="single"/>
                </w:rPr>
                <w:t>Unregistered Sales of Equity Securities and Use of Proceeds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3.</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3">
              <w:r>
                <w:rPr>
                  <w:rStyle w:val="InternetLink"/>
                  <w:rFonts w:ascii="Times New Roman" w:hAnsi="Times New Roman"/>
                  <w:color w:val="0563C1"/>
                  <w:sz w:val="18"/>
                  <w:u w:val="single"/>
                </w:rPr>
                <w:t>Defaults Upon Senior Securities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4.</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4">
              <w:r>
                <w:rPr>
                  <w:rStyle w:val="InternetLink"/>
                  <w:rFonts w:ascii="Times New Roman" w:hAnsi="Times New Roman"/>
                  <w:color w:val="0563C1"/>
                  <w:sz w:val="18"/>
                  <w:u w:val="single"/>
                </w:rPr>
                <w:t>Mine Safety Disclosures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51</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5.</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5">
              <w:r>
                <w:rPr>
                  <w:rStyle w:val="InternetLink"/>
                  <w:rFonts w:ascii="Times New Roman" w:hAnsi="Times New Roman"/>
                  <w:color w:val="0563C1"/>
                  <w:sz w:val="18"/>
                  <w:u w:val="single"/>
                </w:rPr>
                <w:t>Other Information</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52</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18"/>
              </w:rPr>
            </w:pPr>
            <w:r>
              <w:rPr>
                <w:rFonts w:ascii="Times New Roman" w:hAnsi="Times New Roman"/>
                <w:color w:val="000000"/>
                <w:sz w:val="18"/>
              </w:rPr>
              <w:t>Item 6.</w:t>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2_item_6">
              <w:r>
                <w:rPr>
                  <w:rStyle w:val="InternetLink"/>
                  <w:rFonts w:ascii="Times New Roman" w:hAnsi="Times New Roman"/>
                  <w:color w:val="0563C1"/>
                  <w:sz w:val="18"/>
                  <w:u w:val="single"/>
                </w:rPr>
                <w:t>Exhibits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53</w:t>
            </w:r>
          </w:p>
        </w:tc>
      </w:tr>
      <w:tr>
        <w:trPr/>
        <w:tc>
          <w:tcPr>
            <w:tcW w:w="78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877" w:type="dxa"/>
            <w:gridSpan w:val="2"/>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s">
              <w:r>
                <w:rPr>
                  <w:rStyle w:val="InternetLink"/>
                  <w:rFonts w:ascii="Times New Roman" w:hAnsi="Times New Roman"/>
                  <w:b/>
                  <w:color w:val="0563C1"/>
                  <w:sz w:val="20"/>
                  <w:u w:val="single"/>
                </w:rPr>
                <w:t>SIGNATURES</w:t>
              </w:r>
            </w:hyperlink>
          </w:p>
        </w:tc>
        <w:tc>
          <w:tcPr>
            <w:tcW w:w="1096"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54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2" w:name="part_1"/>
      <w:bookmarkEnd w:id="2"/>
      <w:r>
        <w:rPr>
          <w:rFonts w:ascii="Times New Roman" w:hAnsi="Times New Roman"/>
          <w:b/>
          <w:color w:val="000000"/>
          <w:sz w:val="20"/>
        </w:rPr>
        <w:t>PART I - FINANCIAL INFORMATION</w:t>
      </w:r>
    </w:p>
    <w:p>
      <w:pPr>
        <w:pStyle w:val="TextBody"/>
        <w:bidi w:val="0"/>
        <w:spacing w:before="180" w:after="283"/>
        <w:jc w:val="left"/>
        <w:rPr>
          <w:rFonts w:ascii="Times New Roman" w:hAnsi="Times New Roman"/>
          <w:b/>
          <w:color w:val="000000"/>
          <w:sz w:val="20"/>
        </w:rPr>
      </w:pPr>
      <w:bookmarkStart w:id="3" w:name="part_1_item_1"/>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center"/>
        <w:rPr>
          <w:rFonts w:ascii="Times New Roman" w:hAnsi="Times New Roman"/>
          <w:b/>
          <w:color w:val="000000"/>
          <w:sz w:val="20"/>
        </w:rPr>
      </w:pPr>
      <w:bookmarkStart w:id="4" w:name="consol_bs_rcc"/>
      <w:bookmarkEnd w:id="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June 30, 2026 and</w:t>
      </w:r>
      <w:r>
        <w:rPr>
          <w:rFonts w:ascii="Times New Roman" w:hAnsi="Times New Roman"/>
          <w:color w:val="000000"/>
          <w:sz w:val="20"/>
        </w:rPr>
        <w:t xml:space="preserve"> </w:t>
      </w: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82"/>
        <w:gridCol w:w="146"/>
        <w:gridCol w:w="196"/>
        <w:gridCol w:w="916"/>
        <w:gridCol w:w="166"/>
        <w:gridCol w:w="146"/>
        <w:gridCol w:w="146"/>
        <w:gridCol w:w="916"/>
        <w:gridCol w:w="1191"/>
      </w:tblGrid>
      <w:tr>
        <w:trPr/>
        <w:tc>
          <w:tcPr>
            <w:tcW w:w="6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assets,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14,767,372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14,561,924</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3,267,728</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 estate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11,294,196</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sales-type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16,727</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349,856</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11,660,779</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cash equivalents, and restricted cash, including $5,643</w:t>
            </w:r>
            <w:r>
              <w:rPr>
                <w:rFonts w:ascii="Times New Roman" w:hAnsi="Times New Roman"/>
                <w:color w:val="000000"/>
                <w:sz w:val="20"/>
              </w:rPr>
              <w:t> </w:t>
            </w:r>
            <w:r>
              <w:rPr>
                <w:rFonts w:ascii="Times New Roman" w:hAnsi="Times New Roman"/>
                <w:color w:val="000000"/>
                <w:sz w:val="18"/>
              </w:rPr>
              <w:t>and $16,004</w:t>
            </w:r>
            <w:r>
              <w:rPr>
                <w:rFonts w:ascii="Times New Roman" w:hAnsi="Times New Roman"/>
                <w:color w:val="000000"/>
                <w:sz w:val="20"/>
              </w:rPr>
              <w:t> </w:t>
            </w:r>
            <w:r>
              <w:rPr>
                <w:rFonts w:ascii="Times New Roman" w:hAnsi="Times New Roman"/>
                <w:color w:val="000000"/>
                <w:sz w:val="18"/>
              </w:rPr>
              <w:t>of restricted cash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120,661</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Tenant and 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273,862</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Deferred leasing costs, less accumulated amortization of $142,917</w:t>
            </w:r>
            <w:r>
              <w:rPr>
                <w:rFonts w:ascii="Times New Roman" w:hAnsi="Times New Roman"/>
                <w:color w:val="000000"/>
                <w:sz w:val="20"/>
              </w:rPr>
              <w:t> </w:t>
            </w:r>
            <w:r>
              <w:rPr>
                <w:rFonts w:ascii="Times New Roman" w:hAnsi="Times New Roman"/>
                <w:color w:val="000000"/>
                <w:sz w:val="18"/>
              </w:rPr>
              <w:t>and $138,391</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97,253</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Acquired lease intangible assets, less accumulated amortization of $440,278</w:t>
            </w:r>
            <w:r>
              <w:rPr>
                <w:rFonts w:ascii="Times New Roman" w:hAnsi="Times New Roman"/>
                <w:color w:val="000000"/>
                <w:sz w:val="20"/>
              </w:rPr>
              <w:t> </w:t>
            </w:r>
            <w:r>
              <w:rPr>
                <w:rFonts w:ascii="Times New Roman" w:hAnsi="Times New Roman"/>
                <w:color w:val="000000"/>
                <w:sz w:val="18"/>
              </w:rPr>
              <w:t>and $421,433</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254,201</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315,804</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278,723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13,122,942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13,001,283</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4,619,301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Unsecured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391,847</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Acquired lease intangible liabilities, less accumulated amortization of $256,559</w:t>
            </w:r>
            <w:r>
              <w:rPr>
                <w:rFonts w:ascii="Times New Roman" w:hAnsi="Times New Roman"/>
                <w:color w:val="000000"/>
                <w:sz w:val="20"/>
              </w:rPr>
              <w:t> </w:t>
            </w:r>
            <w:r>
              <w:rPr>
                <w:rFonts w:ascii="Times New Roman" w:hAnsi="Times New Roman"/>
                <w:color w:val="000000"/>
                <w:sz w:val="18"/>
              </w:rPr>
              <w:t>and $243,040</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356,454</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242,368</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Tenants' security, escrow deposits and prepaid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89,707</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5,975,754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5,819,677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per share, 30,000,000</w:t>
            </w:r>
            <w:r>
              <w:rPr>
                <w:rFonts w:ascii="Times New Roman" w:hAnsi="Times New Roman"/>
                <w:color w:val="000000"/>
                <w:sz w:val="20"/>
              </w:rPr>
              <w:t> </w:t>
            </w:r>
            <w:r>
              <w:rPr>
                <w:rFonts w:ascii="Times New Roman" w:hAnsi="Times New Roman"/>
                <w:color w:val="000000"/>
                <w:sz w:val="18"/>
              </w:rPr>
              <w:t>shares authorized; 9,000,000</w:t>
            </w:r>
            <w:r>
              <w:rPr>
                <w:rFonts w:ascii="Times New Roman" w:hAnsi="Times New Roman"/>
                <w:color w:val="000000"/>
                <w:sz w:val="20"/>
              </w:rPr>
              <w:t> </w:t>
            </w:r>
            <w:r>
              <w:rPr>
                <w:rFonts w:ascii="Times New Roman" w:hAnsi="Times New Roman"/>
                <w:color w:val="000000"/>
                <w:sz w:val="18"/>
              </w:rPr>
              <w:t>shares issued and outstanding, in the aggregate, in Series A and Series B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per share, 220,000,000</w:t>
            </w:r>
            <w:r>
              <w:rPr>
                <w:rFonts w:ascii="Times New Roman" w:hAnsi="Times New Roman"/>
                <w:color w:val="000000"/>
                <w:sz w:val="20"/>
              </w:rPr>
              <w:t> </w:t>
            </w:r>
            <w:r>
              <w:rPr>
                <w:rFonts w:ascii="Times New Roman" w:hAnsi="Times New Roman"/>
                <w:color w:val="000000"/>
                <w:sz w:val="18"/>
              </w:rPr>
              <w:t>shares authorized; 183,117,863</w:t>
            </w:r>
            <w:r>
              <w:rPr>
                <w:rFonts w:ascii="Times New Roman" w:hAnsi="Times New Roman"/>
                <w:color w:val="000000"/>
                <w:sz w:val="20"/>
              </w:rPr>
              <w:t> </w:t>
            </w:r>
            <w:r>
              <w:rPr>
                <w:rFonts w:ascii="Times New Roman" w:hAnsi="Times New Roman"/>
                <w:color w:val="000000"/>
                <w:sz w:val="18"/>
              </w:rPr>
              <w:t>and 182,902,234</w:t>
            </w:r>
            <w:r>
              <w:rPr>
                <w:rFonts w:ascii="Times New Roman" w:hAnsi="Times New Roman"/>
                <w:color w:val="000000"/>
                <w:sz w:val="20"/>
              </w:rPr>
              <w:t> </w:t>
            </w:r>
            <w:r>
              <w:rPr>
                <w:rFonts w:ascii="Times New Roman" w:hAnsi="Times New Roman"/>
                <w:color w:val="000000"/>
                <w:sz w:val="18"/>
              </w:rPr>
              <w:t>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Treasury stock at cost, 411,590</w:t>
            </w:r>
            <w:r>
              <w:rPr>
                <w:rFonts w:ascii="Times New Roman" w:hAnsi="Times New Roman"/>
                <w:color w:val="000000"/>
                <w:sz w:val="20"/>
              </w:rPr>
              <w:t> </w:t>
            </w:r>
            <w:r>
              <w:rPr>
                <w:rFonts w:ascii="Times New Roman" w:hAnsi="Times New Roman"/>
                <w:color w:val="000000"/>
                <w:sz w:val="18"/>
              </w:rPr>
              <w:t>and 494,307</w:t>
            </w:r>
            <w:r>
              <w:rPr>
                <w:rFonts w:ascii="Times New Roman" w:hAnsi="Times New Roman"/>
                <w:color w:val="000000"/>
                <w:sz w:val="20"/>
              </w:rPr>
              <w:t> </w:t>
            </w:r>
            <w:r>
              <w:rPr>
                <w:rFonts w:ascii="Times New Roman" w:hAnsi="Times New Roman"/>
                <w:color w:val="000000"/>
                <w:sz w:val="18"/>
              </w:rPr>
              <w:t>shares held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(31,075</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8,709,547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8,704,138</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in excess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(1,988,782</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6,874,951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6,906,890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Exchangeable operating partnership units, aggregate redemption value of $306,057</w:t>
            </w:r>
            <w:r>
              <w:rPr>
                <w:rFonts w:ascii="Times New Roman" w:hAnsi="Times New Roman"/>
                <w:color w:val="000000"/>
                <w:sz w:val="20"/>
              </w:rPr>
              <w:t> </w:t>
            </w:r>
            <w:r>
              <w:rPr>
                <w:rFonts w:ascii="Times New Roman" w:hAnsi="Times New Roman"/>
                <w:color w:val="000000"/>
                <w:sz w:val="18"/>
              </w:rPr>
              <w:t>and $264,950</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144,940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Limited partners' interests in consolidated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129,776</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274,716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8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7,181,606</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6382"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13,122,942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13,001,283</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center"/>
        <w:rPr>
          <w:rFonts w:ascii="Times New Roman" w:hAnsi="Times New Roman"/>
          <w:b/>
          <w:color w:val="000000"/>
          <w:sz w:val="20"/>
        </w:rPr>
      </w:pPr>
      <w:bookmarkStart w:id="5" w:name="consol_is_rcc"/>
      <w:bookmarkEnd w:id="5"/>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periods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90"/>
        <w:gridCol w:w="146"/>
        <w:gridCol w:w="221"/>
        <w:gridCol w:w="781"/>
        <w:gridCol w:w="187"/>
        <w:gridCol w:w="165"/>
        <w:gridCol w:w="165"/>
        <w:gridCol w:w="781"/>
        <w:gridCol w:w="166"/>
        <w:gridCol w:w="146"/>
        <w:gridCol w:w="206"/>
        <w:gridCol w:w="727"/>
        <w:gridCol w:w="174"/>
        <w:gridCol w:w="153"/>
        <w:gridCol w:w="153"/>
        <w:gridCol w:w="727"/>
        <w:gridCol w:w="617"/>
      </w:tblGrid>
      <w:tr>
        <w:trPr/>
        <w:tc>
          <w:tcPr>
            <w:tcW w:w="4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402,798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805,411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740,184</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property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413,510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825,963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761,760</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108,803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70,946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129,218</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49,985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101,395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93,860</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47,080</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259,338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517,077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470,099</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98,285</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impairment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99,713</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before equity in income of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213,997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191,948</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income of 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28,254</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119,739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Exchangeable operating partnership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Limited partners' interests in consolidated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(8,224</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115,764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215,608</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237,487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208,782</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p>
      <w:pPr>
        <w:pStyle w:val="TextBody"/>
        <w:bidi w:val="0"/>
        <w:jc w:val="center"/>
        <w:rPr>
          <w:rFonts w:ascii="Times New Roman" w:hAnsi="Times New Roman"/>
          <w:b/>
          <w:color w:val="000000"/>
          <w:sz w:val="20"/>
        </w:rPr>
      </w:pPr>
      <w:bookmarkStart w:id="6" w:name="consol_comp_inc_rcc"/>
      <w:bookmarkEnd w:id="6"/>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For the periods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39"/>
        <w:gridCol w:w="146"/>
        <w:gridCol w:w="218"/>
        <w:gridCol w:w="770"/>
        <w:gridCol w:w="184"/>
        <w:gridCol w:w="162"/>
        <w:gridCol w:w="162"/>
        <w:gridCol w:w="770"/>
        <w:gridCol w:w="166"/>
        <w:gridCol w:w="146"/>
        <w:gridCol w:w="204"/>
        <w:gridCol w:w="722"/>
        <w:gridCol w:w="173"/>
        <w:gridCol w:w="152"/>
        <w:gridCol w:w="152"/>
        <w:gridCol w:w="722"/>
        <w:gridCol w:w="817"/>
      </w:tblGrid>
      <w:tr>
        <w:trPr/>
        <w:tc>
          <w:tcPr>
            <w:tcW w:w="4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119,739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Effective portion of change in fair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Effective portion of 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Reclassification adjustment of derivative instruments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(6,415</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121,941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256,375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213,787</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comprehensive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4,193</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Comprehensive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117,877</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247,959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209,594</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7" w:name="consol_equity_rcc"/>
      <w:bookmarkEnd w:id="7"/>
      <w:r>
        <w:rPr>
          <w:rFonts w:ascii="Times New Roman" w:hAnsi="Times New Roman"/>
          <w:b/>
          <w:color w:val="000000"/>
          <w:sz w:val="18"/>
        </w:rPr>
        <w:t>REGENCY CENTERS CORPORATION</w:t>
      </w:r>
    </w:p>
    <w:p>
      <w:pPr>
        <w:pStyle w:val="TextBody"/>
        <w:bidi w:val="0"/>
        <w:jc w:val="center"/>
        <w:rPr>
          <w:rFonts w:ascii="Times New Roman" w:hAnsi="Times New Roman"/>
          <w:b/>
          <w:color w:val="000000"/>
          <w:sz w:val="18"/>
        </w:rPr>
      </w:pPr>
      <w:r>
        <w:rPr>
          <w:rFonts w:ascii="Times New Roman" w:hAnsi="Times New Roman"/>
          <w:b/>
          <w:color w:val="000000"/>
          <w:sz w:val="18"/>
        </w:rPr>
        <w:t>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For the three months ended June 30, 2026 and 2025</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14298" w:type="dxa"/>
        <w:jc w:val="left"/>
        <w:tblInd w:w="0" w:type="dxa"/>
        <w:tblLayout w:type="fixed"/>
        <w:tblCellMar>
          <w:top w:w="28" w:type="dxa"/>
          <w:left w:w="28" w:type="dxa"/>
          <w:bottom w:w="28" w:type="dxa"/>
          <w:right w:w="28" w:type="dxa"/>
        </w:tblCellMar>
      </w:tblPr>
      <w:tblGrid>
        <w:gridCol w:w="1166"/>
        <w:gridCol w:w="306"/>
        <w:gridCol w:w="181"/>
        <w:gridCol w:w="586"/>
        <w:gridCol w:w="146"/>
        <w:gridCol w:w="146"/>
        <w:gridCol w:w="158"/>
        <w:gridCol w:w="473"/>
        <w:gridCol w:w="146"/>
        <w:gridCol w:w="146"/>
        <w:gridCol w:w="146"/>
        <w:gridCol w:w="556"/>
        <w:gridCol w:w="151"/>
        <w:gridCol w:w="146"/>
        <w:gridCol w:w="146"/>
        <w:gridCol w:w="691"/>
        <w:gridCol w:w="151"/>
        <w:gridCol w:w="146"/>
        <w:gridCol w:w="237"/>
        <w:gridCol w:w="784"/>
        <w:gridCol w:w="151"/>
        <w:gridCol w:w="146"/>
        <w:gridCol w:w="149"/>
        <w:gridCol w:w="752"/>
        <w:gridCol w:w="151"/>
        <w:gridCol w:w="146"/>
        <w:gridCol w:w="165"/>
        <w:gridCol w:w="781"/>
        <w:gridCol w:w="151"/>
        <w:gridCol w:w="146"/>
        <w:gridCol w:w="188"/>
        <w:gridCol w:w="758"/>
        <w:gridCol w:w="151"/>
        <w:gridCol w:w="146"/>
        <w:gridCol w:w="179"/>
        <w:gridCol w:w="722"/>
        <w:gridCol w:w="151"/>
        <w:gridCol w:w="146"/>
        <w:gridCol w:w="203"/>
        <w:gridCol w:w="818"/>
        <w:gridCol w:w="151"/>
        <w:gridCol w:w="146"/>
        <w:gridCol w:w="146"/>
        <w:gridCol w:w="691"/>
        <w:gridCol w:w="356"/>
      </w:tblGrid>
      <w:tr>
        <w:trPr/>
        <w:tc>
          <w:tcPr>
            <w:tcW w:w="1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 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Distributions</w:t>
              <w:br/>
              <w:t>in Excess of</w:t>
              <w:b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Exchangeable</w:t>
              <w:br/>
              <w:t>Operating</w:t>
              <w:br/>
              <w:t>Partnership</w:t>
              <w:b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Limited</w:t>
              <w:br/>
              <w:t>Partners'</w:t>
              <w:br/>
              <w:t>Interest in</w:t>
              <w:br/>
              <w:t>Consolidated</w:t>
              <w:br/>
              <w:t>Partnerships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8,505,489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(2,001,878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6,699,578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176,862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6,876,440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108,349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 before reclassification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Amounts reclassified from accumulated other comprehensive loss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compensation plan, net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equity awards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stock-based compensation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exchangeable operating partnership units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issued under dividend reinvestment plan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Contributions from partners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partners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Dividends declared:</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stock</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stock/unit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(128,736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8,512,308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(2,027,254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6,677,872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179,068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6,856,940</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8,702,768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(2,001,870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6,892,835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144,705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272,072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7,164,907</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119,739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income before reclassification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Amounts reclassified from accumulated other comprehensive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compensation plan, net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equity awards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stock-based compensation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issued under dividend reinvestment plan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Contributions from partners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partners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(3,075</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Dividends declared:</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stock</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stock/unit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(141,147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8,709,547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(2,027,768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6,874,951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272,237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7,147,188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4"/>
        </w:rPr>
      </w:pPr>
      <w:r>
        <w:rPr>
          <w:rFonts w:ascii="Times New Roman" w:hAnsi="Times New Roman"/>
          <w:color w:val="000000"/>
          <w:sz w:val="14"/>
        </w:rPr>
        <w:t>The accompanying notes are an integral part of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REGENCY CENTERS CORPORATION</w:t>
      </w:r>
    </w:p>
    <w:p>
      <w:pPr>
        <w:pStyle w:val="TextBody"/>
        <w:bidi w:val="0"/>
        <w:jc w:val="center"/>
        <w:rPr>
          <w:rFonts w:ascii="Times New Roman" w:hAnsi="Times New Roman"/>
          <w:b/>
          <w:color w:val="000000"/>
          <w:sz w:val="18"/>
        </w:rPr>
      </w:pPr>
      <w:r>
        <w:rPr>
          <w:rFonts w:ascii="Times New Roman" w:hAnsi="Times New Roman"/>
          <w:b/>
          <w:color w:val="000000"/>
          <w:sz w:val="18"/>
        </w:rPr>
        <w:t>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For the six months ended June 30, 2026 and 2025</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p>
      <w:pPr>
        <w:pStyle w:val="TextBody"/>
        <w:bidi w:val="0"/>
        <w:jc w:val="center"/>
        <w:rPr/>
      </w:pPr>
      <w:r>
        <w:rPr/>
        <w:t> </w:t>
      </w:r>
    </w:p>
    <w:tbl>
      <w:tblPr>
        <w:tblW w:w="14298" w:type="dxa"/>
        <w:jc w:val="left"/>
        <w:tblInd w:w="0" w:type="dxa"/>
        <w:tblLayout w:type="fixed"/>
        <w:tblCellMar>
          <w:top w:w="28" w:type="dxa"/>
          <w:left w:w="28" w:type="dxa"/>
          <w:bottom w:w="28" w:type="dxa"/>
          <w:right w:w="28" w:type="dxa"/>
        </w:tblCellMar>
      </w:tblPr>
      <w:tblGrid>
        <w:gridCol w:w="1166"/>
        <w:gridCol w:w="306"/>
        <w:gridCol w:w="181"/>
        <w:gridCol w:w="586"/>
        <w:gridCol w:w="146"/>
        <w:gridCol w:w="146"/>
        <w:gridCol w:w="158"/>
        <w:gridCol w:w="473"/>
        <w:gridCol w:w="146"/>
        <w:gridCol w:w="146"/>
        <w:gridCol w:w="146"/>
        <w:gridCol w:w="556"/>
        <w:gridCol w:w="151"/>
        <w:gridCol w:w="146"/>
        <w:gridCol w:w="146"/>
        <w:gridCol w:w="691"/>
        <w:gridCol w:w="151"/>
        <w:gridCol w:w="146"/>
        <w:gridCol w:w="237"/>
        <w:gridCol w:w="784"/>
        <w:gridCol w:w="151"/>
        <w:gridCol w:w="146"/>
        <w:gridCol w:w="149"/>
        <w:gridCol w:w="752"/>
        <w:gridCol w:w="151"/>
        <w:gridCol w:w="146"/>
        <w:gridCol w:w="165"/>
        <w:gridCol w:w="781"/>
        <w:gridCol w:w="151"/>
        <w:gridCol w:w="146"/>
        <w:gridCol w:w="188"/>
        <w:gridCol w:w="758"/>
        <w:gridCol w:w="151"/>
        <w:gridCol w:w="146"/>
        <w:gridCol w:w="179"/>
        <w:gridCol w:w="722"/>
        <w:gridCol w:w="151"/>
        <w:gridCol w:w="146"/>
        <w:gridCol w:w="203"/>
        <w:gridCol w:w="818"/>
        <w:gridCol w:w="151"/>
        <w:gridCol w:w="146"/>
        <w:gridCol w:w="146"/>
        <w:gridCol w:w="691"/>
        <w:gridCol w:w="356"/>
      </w:tblGrid>
      <w:tr>
        <w:trPr/>
        <w:tc>
          <w:tcPr>
            <w:tcW w:w="1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 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Distributions</w:t>
              <w:br/>
              <w:t>in Excess of</w:t>
              <w:b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b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Exchangeable</w:t>
              <w:br/>
              <w:t>Operating</w:t>
              <w:br/>
              <w:t>Partnership</w:t>
              <w:b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Limited</w:t>
              <w:br/>
              <w:t>Partners'</w:t>
              <w:br/>
              <w:t>Interest in</w:t>
              <w:br/>
              <w:t>Consolidated</w:t>
              <w:br/>
              <w:t>Partnerships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Noncontrolling</w:t>
              <w:br/>
              <w:t>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8,503,227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(1,980,076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6,724,146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6,900,307</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 before reclassification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Amounts reclassified from accumulated other comprehensive loss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Adjustment for noncontrolling interests</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compensation plan, net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equity awards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stock-based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exchangeable operating partnership units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issued under dividend reinvestment plan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Contributions from partners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partners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Dividends declared:</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stock</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stock/unit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(255,960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(255,960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(257,486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8,512,308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(2,027,254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6,677,872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179,068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6,856,940</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8,704,138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(1,988,782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6,906,890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274,716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7,181,606</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252,537</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income before reclassification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Amounts reclassified from accumulated other comprehensive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compensation plan, net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equity awards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12,186</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Tax withholding on stock-based compensation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issued under dividend reinvestment plan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Contributions from partners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 to partners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Dividends declared:</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Preferred stock</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Common stock/unit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(276,473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(276,473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(282,268</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8,709,547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(2,027,768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6,874,951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272,237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7,147,188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The accompanying notes are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8" w:name="consol_cf_rcc"/>
      <w:bookmarkEnd w:id="8"/>
      <w:r>
        <w:rPr>
          <w:rFonts w:ascii="Times New Roman" w:hAnsi="Times New Roman"/>
          <w:b/>
          <w:color w:val="000000"/>
          <w:sz w:val="20"/>
        </w:rPr>
        <w:t>REGENCY</w:t>
      </w:r>
      <w:r>
        <w:rPr>
          <w:rFonts w:ascii="Times New Roman" w:hAnsi="Times New Roman"/>
          <w:color w:val="000000"/>
          <w:sz w:val="20"/>
        </w:rPr>
        <w:t xml:space="preserve"> </w:t>
      </w:r>
      <w:r>
        <w:rPr>
          <w:rFonts w:ascii="Times New Roman" w:hAnsi="Times New Roman"/>
          <w:b/>
          <w:color w:val="000000"/>
          <w:sz w:val="20"/>
        </w:rPr>
        <w:t>CENTERS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periods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5991"/>
        <w:gridCol w:w="146"/>
        <w:gridCol w:w="197"/>
        <w:gridCol w:w="757"/>
        <w:gridCol w:w="167"/>
        <w:gridCol w:w="147"/>
        <w:gridCol w:w="147"/>
        <w:gridCol w:w="757"/>
        <w:gridCol w:w="991"/>
      </w:tblGrid>
      <w:tr>
        <w:trPr/>
        <w:tc>
          <w:tcPr>
            <w:tcW w:w="5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financing costs and debt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above and below market 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net of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income of 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impairment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 of earnings from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compensation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Realized and 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Tenant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leasing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Tenants' security, escrow deposits and prepaid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434,030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405,079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Acquisition of operating real estate, net of cash acquired of $787</w:t>
            </w:r>
            <w:r>
              <w:rPr>
                <w:rFonts w:ascii="Times New Roman" w:hAnsi="Times New Roman"/>
                <w:color w:val="000000"/>
                <w:sz w:val="20"/>
              </w:rPr>
              <w:t> </w:t>
            </w:r>
            <w:r>
              <w:rPr>
                <w:rFonts w:ascii="Times New Roman" w:hAnsi="Times New Roman"/>
                <w:color w:val="000000"/>
                <w:sz w:val="18"/>
              </w:rPr>
              <w:t>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 estate development and capital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(204,657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property insurance casualty claims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Issuance of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Return of capital from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on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(96,226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(219,157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(372,693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7"/>
        <w:gridCol w:w="146"/>
        <w:gridCol w:w="196"/>
        <w:gridCol w:w="756"/>
        <w:gridCol w:w="166"/>
        <w:gridCol w:w="146"/>
        <w:gridCol w:w="146"/>
        <w:gridCol w:w="756"/>
        <w:gridCol w:w="1016"/>
      </w:tblGrid>
      <w:tr>
        <w:trPr/>
        <w:tc>
          <w:tcPr>
            <w:tcW w:w="6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 withholding on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Redemption of 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to and redemptions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to exchangeable operating partnership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(255,455</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to preferred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 of fixed rate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issuance of fixed rate unsecured notes, net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397,116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unsecured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395,000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 of unsecured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(430,000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(32,787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Scheduled principal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 of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(3,812</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(143,920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60,549</w:t>
            </w:r>
          </w:p>
        </w:tc>
        <w:tc>
          <w:tcPr>
            <w:tcW w:w="10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6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92,935</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61,884</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154,819</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Cash paid for interest (net of capitalized interest of $5,061</w:t>
            </w:r>
            <w:r>
              <w:rPr>
                <w:rFonts w:ascii="Times New Roman" w:hAnsi="Times New Roman"/>
                <w:color w:val="000000"/>
                <w:sz w:val="20"/>
              </w:rPr>
              <w:t> </w:t>
            </w:r>
            <w:r>
              <w:rPr>
                <w:rFonts w:ascii="Times New Roman" w:hAnsi="Times New Roman"/>
                <w:color w:val="000000"/>
                <w:sz w:val="18"/>
              </w:rPr>
              <w:t>and $4,534</w:t>
            </w:r>
            <w:r>
              <w:rPr>
                <w:rFonts w:ascii="Times New Roman" w:hAnsi="Times New Roman"/>
                <w:color w:val="000000"/>
                <w:sz w:val="20"/>
              </w:rPr>
              <w:t> </w:t>
            </w:r>
            <w:r>
              <w:rPr>
                <w:rFonts w:ascii="Times New Roman" w:hAnsi="Times New Roman"/>
                <w:color w:val="000000"/>
                <w:sz w:val="18"/>
              </w:rPr>
              <w:t>in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90,174</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and Preferred stock, and exchangeable operating partnership dividends declared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131,017</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operating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Acquired lease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Notes payable assumed in acquisition,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40,060</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Intangible liabilities, 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18,945</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previously unconsolidated real estate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Acquired lease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Notes payable assumed in acquisition,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16,749</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15,244</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to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center"/>
        <w:rPr>
          <w:rFonts w:ascii="Times New Roman" w:hAnsi="Times New Roman"/>
          <w:sz w:val="20"/>
        </w:rPr>
      </w:pPr>
      <w:bookmarkStart w:id="9" w:name="consol_bs_rclp"/>
      <w:bookmarkEnd w:id="9"/>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sz w:val="20"/>
        </w:rPr>
      </w:pPr>
      <w:r>
        <w:rPr>
          <w:rFonts w:ascii="Times New Roman" w:hAnsi="Times New Roman"/>
          <w:b/>
          <w:color w:val="000000"/>
          <w:sz w:val="20"/>
        </w:rPr>
        <w:t>June 30, 2026</w:t>
      </w:r>
      <w:r>
        <w:rPr>
          <w:rFonts w:ascii="Times New Roman" w:hAnsi="Times New Roman"/>
          <w:color w:val="000000"/>
          <w:sz w:val="20"/>
        </w:rPr>
        <w:t xml:space="preserve">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unit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82"/>
        <w:gridCol w:w="146"/>
        <w:gridCol w:w="196"/>
        <w:gridCol w:w="916"/>
        <w:gridCol w:w="166"/>
        <w:gridCol w:w="146"/>
        <w:gridCol w:w="146"/>
        <w:gridCol w:w="916"/>
        <w:gridCol w:w="991"/>
      </w:tblGrid>
      <w:tr>
        <w:trPr/>
        <w:tc>
          <w:tcPr>
            <w:tcW w:w="6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assets,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14,767,372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14,561,924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3,267,728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 estate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11,294,196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sales-type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349,856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11,660,779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Cash, cash equivalents, and restricted cash, including $5,643</w:t>
            </w:r>
            <w:r>
              <w:rPr>
                <w:rFonts w:ascii="Times New Roman" w:hAnsi="Times New Roman"/>
                <w:color w:val="000000"/>
                <w:sz w:val="20"/>
              </w:rPr>
              <w:t> </w:t>
            </w:r>
            <w:r>
              <w:rPr>
                <w:rFonts w:ascii="Times New Roman" w:hAnsi="Times New Roman"/>
                <w:color w:val="000000"/>
                <w:sz w:val="18"/>
              </w:rPr>
              <w:t>and $16,004</w:t>
            </w:r>
            <w:r>
              <w:rPr>
                <w:rFonts w:ascii="Times New Roman" w:hAnsi="Times New Roman"/>
                <w:color w:val="000000"/>
                <w:sz w:val="20"/>
              </w:rPr>
              <w:t> </w:t>
            </w:r>
            <w:r>
              <w:rPr>
                <w:rFonts w:ascii="Times New Roman" w:hAnsi="Times New Roman"/>
                <w:color w:val="000000"/>
                <w:sz w:val="18"/>
              </w:rPr>
              <w:t>of restricted cash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Tenant and 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273,862</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Deferred leasing costs, less accumulated amortization of $142,917</w:t>
            </w:r>
            <w:r>
              <w:rPr>
                <w:rFonts w:ascii="Times New Roman" w:hAnsi="Times New Roman"/>
                <w:color w:val="000000"/>
                <w:sz w:val="20"/>
              </w:rPr>
              <w:t> </w:t>
            </w:r>
            <w:r>
              <w:rPr>
                <w:rFonts w:ascii="Times New Roman" w:hAnsi="Times New Roman"/>
                <w:color w:val="000000"/>
                <w:sz w:val="18"/>
              </w:rPr>
              <w:t>and $138,391</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97,253</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Acquired lease intangible assets, less accumulated amortization of $440,278</w:t>
            </w:r>
            <w:r>
              <w:rPr>
                <w:rFonts w:ascii="Times New Roman" w:hAnsi="Times New Roman"/>
                <w:color w:val="000000"/>
                <w:sz w:val="20"/>
              </w:rPr>
              <w:t> </w:t>
            </w:r>
            <w:r>
              <w:rPr>
                <w:rFonts w:ascii="Times New Roman" w:hAnsi="Times New Roman"/>
                <w:color w:val="000000"/>
                <w:sz w:val="18"/>
              </w:rPr>
              <w:t>and $421,433</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254,201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315,804</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13,122,942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13,001,283</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 and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4,619,301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Unsecured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391,847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Acquired lease intangible liabilities, less accumulated amortization of $256,559</w:t>
            </w:r>
            <w:r>
              <w:rPr>
                <w:rFonts w:ascii="Times New Roman" w:hAnsi="Times New Roman"/>
                <w:color w:val="000000"/>
                <w:sz w:val="20"/>
              </w:rPr>
              <w:t> </w:t>
            </w:r>
            <w:r>
              <w:rPr>
                <w:rFonts w:ascii="Times New Roman" w:hAnsi="Times New Roman"/>
                <w:color w:val="000000"/>
                <w:sz w:val="18"/>
              </w:rPr>
              <w:t>and $243,040</w:t>
            </w:r>
            <w:r>
              <w:rPr>
                <w:rFonts w:ascii="Times New Roman" w:hAnsi="Times New Roman"/>
                <w:color w:val="000000"/>
                <w:sz w:val="20"/>
              </w:rPr>
              <w:t> </w:t>
            </w:r>
            <w:r>
              <w:rPr>
                <w:rFonts w:ascii="Times New Roman" w:hAnsi="Times New Roman"/>
                <w:color w:val="000000"/>
                <w:sz w:val="18"/>
              </w:rPr>
              <w:t>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356,454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242,368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Tenants' security, escrow deposits and prepaid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89,707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5,975,754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5,819,677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Preferred units $0.01</w:t>
            </w:r>
            <w:r>
              <w:rPr>
                <w:rFonts w:ascii="Times New Roman" w:hAnsi="Times New Roman"/>
                <w:color w:val="000000"/>
                <w:sz w:val="20"/>
              </w:rPr>
              <w:t> </w:t>
            </w:r>
            <w:r>
              <w:rPr>
                <w:rFonts w:ascii="Times New Roman" w:hAnsi="Times New Roman"/>
                <w:color w:val="000000"/>
                <w:sz w:val="18"/>
              </w:rPr>
              <w:t>par value per unit, 30,000,000</w:t>
            </w:r>
            <w:r>
              <w:rPr>
                <w:rFonts w:ascii="Times New Roman" w:hAnsi="Times New Roman"/>
                <w:color w:val="000000"/>
                <w:sz w:val="20"/>
              </w:rPr>
              <w:t> </w:t>
            </w:r>
            <w:r>
              <w:rPr>
                <w:rFonts w:ascii="Times New Roman" w:hAnsi="Times New Roman"/>
                <w:color w:val="000000"/>
                <w:sz w:val="18"/>
              </w:rPr>
              <w:t>units authorized; 9,000,000</w:t>
            </w:r>
            <w:r>
              <w:rPr>
                <w:rFonts w:ascii="Times New Roman" w:hAnsi="Times New Roman"/>
                <w:color w:val="000000"/>
                <w:sz w:val="20"/>
              </w:rPr>
              <w:t> </w:t>
            </w:r>
            <w:r>
              <w:rPr>
                <w:rFonts w:ascii="Times New Roman" w:hAnsi="Times New Roman"/>
                <w:color w:val="000000"/>
                <w:sz w:val="18"/>
              </w:rPr>
              <w:t>units issued and outstanding, in the aggregate, in Series A and Series B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General partner's common units, 183,117,863</w:t>
            </w:r>
            <w:r>
              <w:rPr>
                <w:rFonts w:ascii="Times New Roman" w:hAnsi="Times New Roman"/>
                <w:color w:val="000000"/>
                <w:sz w:val="20"/>
              </w:rPr>
              <w:t> </w:t>
            </w:r>
            <w:r>
              <w:rPr>
                <w:rFonts w:ascii="Times New Roman" w:hAnsi="Times New Roman"/>
                <w:color w:val="000000"/>
                <w:sz w:val="18"/>
              </w:rPr>
              <w:t>and 182,902,234</w:t>
            </w:r>
            <w:r>
              <w:rPr>
                <w:rFonts w:ascii="Times New Roman" w:hAnsi="Times New Roman"/>
                <w:color w:val="000000"/>
                <w:sz w:val="20"/>
              </w:rPr>
              <w:t> </w:t>
            </w:r>
            <w:r>
              <w:rPr>
                <w:rFonts w:ascii="Times New Roman" w:hAnsi="Times New Roman"/>
                <w:color w:val="000000"/>
                <w:sz w:val="18"/>
              </w:rPr>
              <w:t>units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6,650,525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6,686,110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Limited partners' common units, 3,838,188</w:t>
            </w:r>
            <w:r>
              <w:rPr>
                <w:rFonts w:ascii="Times New Roman" w:hAnsi="Times New Roman"/>
                <w:color w:val="000000"/>
                <w:sz w:val="20"/>
              </w:rPr>
              <w:t> </w:t>
            </w:r>
            <w:r>
              <w:rPr>
                <w:rFonts w:ascii="Times New Roman" w:hAnsi="Times New Roman"/>
                <w:color w:val="000000"/>
                <w:sz w:val="18"/>
              </w:rPr>
              <w:t>and 3,838,188</w:t>
            </w:r>
            <w:r>
              <w:rPr>
                <w:rFonts w:ascii="Times New Roman" w:hAnsi="Times New Roman"/>
                <w:color w:val="000000"/>
                <w:sz w:val="20"/>
              </w:rPr>
              <w:t> </w:t>
            </w:r>
            <w:r>
              <w:rPr>
                <w:rFonts w:ascii="Times New Roman" w:hAnsi="Times New Roman"/>
                <w:color w:val="000000"/>
                <w:sz w:val="18"/>
              </w:rPr>
              <w:t>units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144,940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partners'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7,019,173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7,051,830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 Limited partners' interests in consolidated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129,776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8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7,147,188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7,181,606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liabilities and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13,122,942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13,001,283</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center"/>
        <w:rPr>
          <w:rFonts w:ascii="Times New Roman" w:hAnsi="Times New Roman"/>
          <w:b/>
          <w:color w:val="000000"/>
          <w:sz w:val="20"/>
        </w:rPr>
      </w:pPr>
      <w:bookmarkStart w:id="10" w:name="consol_is_rclp"/>
      <w:bookmarkEnd w:id="10"/>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periods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unit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89"/>
        <w:gridCol w:w="146"/>
        <w:gridCol w:w="221"/>
        <w:gridCol w:w="782"/>
        <w:gridCol w:w="187"/>
        <w:gridCol w:w="165"/>
        <w:gridCol w:w="165"/>
        <w:gridCol w:w="782"/>
        <w:gridCol w:w="166"/>
        <w:gridCol w:w="146"/>
        <w:gridCol w:w="206"/>
        <w:gridCol w:w="727"/>
        <w:gridCol w:w="174"/>
        <w:gridCol w:w="153"/>
        <w:gridCol w:w="153"/>
        <w:gridCol w:w="727"/>
        <w:gridCol w:w="616"/>
      </w:tblGrid>
      <w:tr>
        <w:trPr/>
        <w:tc>
          <w:tcPr>
            <w:tcW w:w="4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402,798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805,411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740,184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property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413,510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825,963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761,760</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108,803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70,946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129,218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49,985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101,395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93,860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259,338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517,077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470,099</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53,582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98,285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impairment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before equity in income of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213,997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191,948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income of 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119,739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Limited partners' interests in consolidated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(3,247</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the Partnership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118,124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249,290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216,836</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unit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common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114,711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242,464</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210,010</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common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 common unit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 common unit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center"/>
        <w:rPr>
          <w:rFonts w:ascii="Times New Roman" w:hAnsi="Times New Roman"/>
          <w:b/>
          <w:color w:val="000000"/>
          <w:sz w:val="20"/>
        </w:rPr>
      </w:pPr>
      <w:bookmarkStart w:id="11" w:name="consol_comp_inc_rclp"/>
      <w:bookmarkEnd w:id="11"/>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For the periods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39"/>
        <w:gridCol w:w="146"/>
        <w:gridCol w:w="218"/>
        <w:gridCol w:w="770"/>
        <w:gridCol w:w="184"/>
        <w:gridCol w:w="162"/>
        <w:gridCol w:w="162"/>
        <w:gridCol w:w="770"/>
        <w:gridCol w:w="166"/>
        <w:gridCol w:w="146"/>
        <w:gridCol w:w="204"/>
        <w:gridCol w:w="722"/>
        <w:gridCol w:w="173"/>
        <w:gridCol w:w="152"/>
        <w:gridCol w:w="152"/>
        <w:gridCol w:w="722"/>
        <w:gridCol w:w="817"/>
      </w:tblGrid>
      <w:tr>
        <w:trPr/>
        <w:tc>
          <w:tcPr>
            <w:tcW w:w="4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119,739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Effective portion of change in fair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Effective portion of 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(3,943</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Reclassification adjustment of derivative instruments included in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(6,415</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121,941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256,375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213,787</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comprehensive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income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5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Comprehensive income attributable to the Partnership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120,292</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253,036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210,781</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center"/>
        <w:rPr>
          <w:rFonts w:ascii="Times New Roman" w:hAnsi="Times New Roman"/>
          <w:b/>
          <w:color w:val="000000"/>
          <w:sz w:val="20"/>
        </w:rPr>
      </w:pPr>
      <w:bookmarkStart w:id="12" w:name="consol_equity_rclp"/>
      <w:bookmarkEnd w:id="12"/>
      <w:r>
        <w:rPr>
          <w:rFonts w:ascii="Times New Roman" w:hAnsi="Times New Roman"/>
          <w:b/>
          <w:color w:val="000000"/>
          <w:sz w:val="20"/>
        </w:rPr>
        <w:t>Consolidated Statements of Capital</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5"/>
        <w:gridCol w:w="146"/>
        <w:gridCol w:w="208"/>
        <w:gridCol w:w="877"/>
        <w:gridCol w:w="166"/>
        <w:gridCol w:w="146"/>
        <w:gridCol w:w="146"/>
        <w:gridCol w:w="691"/>
        <w:gridCol w:w="166"/>
        <w:gridCol w:w="146"/>
        <w:gridCol w:w="247"/>
        <w:gridCol w:w="969"/>
        <w:gridCol w:w="166"/>
        <w:gridCol w:w="146"/>
        <w:gridCol w:w="146"/>
        <w:gridCol w:w="826"/>
        <w:gridCol w:w="166"/>
        <w:gridCol w:w="146"/>
        <w:gridCol w:w="219"/>
        <w:gridCol w:w="1041"/>
        <w:gridCol w:w="166"/>
        <w:gridCol w:w="146"/>
        <w:gridCol w:w="146"/>
        <w:gridCol w:w="826"/>
        <w:gridCol w:w="412"/>
      </w:tblGrid>
      <w:tr>
        <w:trPr/>
        <w:tc>
          <w:tcPr>
            <w:tcW w:w="1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 Partner Preferred</w:t>
              <w:br/>
              <w:t>and Common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Limited</w:t>
              <w:br/>
              <w:t>Partners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Partners’</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 in</w:t>
              <w:br/>
              <w:t>Limited Partners’ Interest in</w:t>
              <w:br/>
              <w:t>Consolidated Partnerships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Capital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6,701,293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6,740,162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6,876,440</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108,349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before 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Amounts reclassified from 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(131,356</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unit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units issued as a result of restricted stock issued by Parent Company, net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5,570</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 repurchased as a result of common stock repurchased by Parent Company, net of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6,681,660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6,716,231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140,709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6,856,940</w:t>
            </w:r>
          </w:p>
        </w:tc>
        <w:tc>
          <w:tcPr>
            <w:tcW w:w="4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6,895,522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7,164,907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119,739</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before reclassification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Amounts reclassified from 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compensation plan,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(144,222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unit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units issued as a result of restricted stock issued by Parent Company, net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 repurchased as a result of common stock repurchased by Parent Company, net of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6,875,525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144,222</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7,019,173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128,015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7,147,188</w:t>
            </w:r>
          </w:p>
        </w:tc>
        <w:tc>
          <w:tcPr>
            <w:tcW w:w="4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The accompanying notes are an integral part of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Capital</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5"/>
        <w:gridCol w:w="146"/>
        <w:gridCol w:w="208"/>
        <w:gridCol w:w="877"/>
        <w:gridCol w:w="166"/>
        <w:gridCol w:w="146"/>
        <w:gridCol w:w="146"/>
        <w:gridCol w:w="691"/>
        <w:gridCol w:w="166"/>
        <w:gridCol w:w="146"/>
        <w:gridCol w:w="247"/>
        <w:gridCol w:w="969"/>
        <w:gridCol w:w="166"/>
        <w:gridCol w:w="146"/>
        <w:gridCol w:w="146"/>
        <w:gridCol w:w="826"/>
        <w:gridCol w:w="166"/>
        <w:gridCol w:w="146"/>
        <w:gridCol w:w="219"/>
        <w:gridCol w:w="1040"/>
        <w:gridCol w:w="166"/>
        <w:gridCol w:w="146"/>
        <w:gridCol w:w="146"/>
        <w:gridCol w:w="826"/>
        <w:gridCol w:w="413"/>
      </w:tblGrid>
      <w:tr>
        <w:trPr/>
        <w:tc>
          <w:tcPr>
            <w:tcW w:w="1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 Partner Preferred</w:t>
              <w:br/>
              <w:t>and Common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Limited</w:t>
              <w:br/>
              <w:t>Partners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Partners'</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 in</w:t>
              <w:br/>
              <w:t>Limited Partners' Interest in</w:t>
              <w:br/>
              <w:t>Consolidated Partnerships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Capital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6,764,890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6,900,307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220,202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before 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Amounts reclassified from 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for noncontrolling interests in the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(263,616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unit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units issued as a result of restricted stock issued by Parent Company,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exchangeable operating partnership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 repurchased as a result of common stock repurchased by Parent Company, net of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6,681,660</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6,716,231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140,709</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6,856,940</w:t>
            </w:r>
          </w:p>
        </w:tc>
        <w:tc>
          <w:tcPr>
            <w:tcW w:w="4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6,911,110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7,051,830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7,181,606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252,537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before reclassification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Amounts reclassified from 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compensation plan,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(289,679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unit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units issued as a result of restricted stock issued by Parent Company, net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 repurchased as a result of common stock repurchased by Parent Company, net of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6,875,525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144,222</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7,019,173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128,015</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7,147,188</w:t>
            </w:r>
          </w:p>
        </w:tc>
        <w:tc>
          <w:tcPr>
            <w:tcW w:w="4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center"/>
        <w:rPr>
          <w:rFonts w:ascii="Times New Roman" w:hAnsi="Times New Roman"/>
          <w:b/>
          <w:color w:val="000000"/>
          <w:sz w:val="20"/>
        </w:rPr>
      </w:pPr>
      <w:bookmarkStart w:id="13" w:name="consolidated_statements_cash_flows_2"/>
      <w:bookmarkEnd w:id="13"/>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periods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5991"/>
        <w:gridCol w:w="146"/>
        <w:gridCol w:w="197"/>
        <w:gridCol w:w="757"/>
        <w:gridCol w:w="167"/>
        <w:gridCol w:w="147"/>
        <w:gridCol w:w="147"/>
        <w:gridCol w:w="757"/>
        <w:gridCol w:w="991"/>
      </w:tblGrid>
      <w:tr>
        <w:trPr/>
        <w:tc>
          <w:tcPr>
            <w:tcW w:w="5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financing costs and debt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above and below market 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net of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income of 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impairment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 of earnings from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compensation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Realized and 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Tenant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leasing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Tenants' security, escrow deposits and prepaid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434,030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405,079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Acquisition of operating real estate, net of cash acquired of $787</w:t>
            </w:r>
            <w:r>
              <w:rPr>
                <w:rFonts w:ascii="Times New Roman" w:hAnsi="Times New Roman"/>
                <w:color w:val="000000"/>
                <w:sz w:val="20"/>
              </w:rPr>
              <w:t> </w:t>
            </w:r>
            <w:r>
              <w:rPr>
                <w:rFonts w:ascii="Times New Roman" w:hAnsi="Times New Roman"/>
                <w:color w:val="000000"/>
                <w:sz w:val="18"/>
              </w:rPr>
              <w:t>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 estate development and capital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(204,657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property insurance casualty claims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Issuance of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Return of capital from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on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(96,226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(219,157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(372,693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8"/>
        <w:gridCol w:w="146"/>
        <w:gridCol w:w="196"/>
        <w:gridCol w:w="755"/>
        <w:gridCol w:w="166"/>
        <w:gridCol w:w="146"/>
        <w:gridCol w:w="146"/>
        <w:gridCol w:w="755"/>
        <w:gridCol w:w="1017"/>
      </w:tblGrid>
      <w:tr>
        <w:trPr/>
        <w:tc>
          <w:tcPr>
            <w:tcW w:w="6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 withholding on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Redemption of 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to and redemptions of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(6,130</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to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(257,001</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to preferred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 of fixed rate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issuance of fixed rate unsecured notes, net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397,116</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unsecured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395,000</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 of unsecured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(430,000</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(32,787</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Scheduled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 of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(3,812</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(143,920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60,549</w:t>
            </w:r>
          </w:p>
        </w:tc>
        <w:tc>
          <w:tcPr>
            <w:tcW w:w="101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6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increase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92,935</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61,884</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154,819</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Cash paid for interest (net of capitalized interest of $5,061</w:t>
            </w:r>
            <w:r>
              <w:rPr>
                <w:rFonts w:ascii="Times New Roman" w:hAnsi="Times New Roman"/>
                <w:color w:val="000000"/>
                <w:sz w:val="20"/>
              </w:rPr>
              <w:t> </w:t>
            </w:r>
            <w:r>
              <w:rPr>
                <w:rFonts w:ascii="Times New Roman" w:hAnsi="Times New Roman"/>
                <w:color w:val="000000"/>
                <w:sz w:val="18"/>
              </w:rPr>
              <w:t>and $4,534</w:t>
            </w:r>
            <w:r>
              <w:rPr>
                <w:rFonts w:ascii="Times New Roman" w:hAnsi="Times New Roman"/>
                <w:color w:val="000000"/>
                <w:sz w:val="20"/>
              </w:rPr>
              <w:t> </w:t>
            </w:r>
            <w:r>
              <w:rPr>
                <w:rFonts w:ascii="Times New Roman" w:hAnsi="Times New Roman"/>
                <w:color w:val="000000"/>
                <w:sz w:val="18"/>
              </w:rPr>
              <w:t>in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90,174</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and Preferred units, and exchangeable operating partnership units distributions declared but not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131,017</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operating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Acquired lease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Notes payable assumed in acquisition,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40,060</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Intangible liabilities, 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18,945</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previously unconsolidated real estate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Acquired lease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Notes payable assumed in acquisition,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16,749</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15,244</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to investments in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631"/>
        <w:gridCol w:w="4561"/>
      </w:tblGrid>
      <w:tr>
        <w:trPr/>
        <w:tc>
          <w:tcPr>
            <w:tcW w:w="631"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1.</w:t>
            </w:r>
          </w:p>
        </w:tc>
        <w:tc>
          <w:tcPr>
            <w:tcW w:w="456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bookmarkStart w:id="14" w:name="notes"/>
            <w:bookmarkEnd w:id="14"/>
            <w:r>
              <w:rPr>
                <w:rFonts w:ascii="Times New Roman" w:hAnsi="Times New Roman"/>
                <w:color w:val="000000"/>
                <w:sz w:val="20"/>
              </w:rPr>
              <w:t>Organization and Significant Accounting Policies</w:t>
            </w:r>
          </w:p>
        </w:tc>
      </w:tr>
    </w:tbl>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General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Regency Centers Corporation (the "Parent Company") began its operations as a REIT in 1993 and is the general partner of Regency Centers, L.P. (the "Operating Partnership"). The Parent Company primarily engages in the ownership, management, leasing, acquisition, development, and redevelopment of shopping centers through the Operating Partnership and has no other assets other than through its investment in the Operating Partnership. Its only indebtedness consists of $100 million of unsecured private placement notes, which are guaranteed by the Operating Partnership, which the Company plans to payoff at maturity in 2026. The Parent Company guarantees all of the unsecured debt of the Operating Partnership.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the Parent Company, the Operating Partnership, and their controlled subsidiaries on a consolidated basis (the "Company" or "Regency") owned 392 properties and held partial interests in an additional 90 properties through unconsolidated Investments in real estate partnerships (also referred to as "joint ventures" or "investment partnerships").</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Basis of Presentation</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information included in this Report should be read in conjunction with the Company's Annual Report on Form 10-K for the year ended December 31, 2025 (the “Annual Report on Form 10-K”), as certain disclosures in this Report that would duplicate those included in such Annual Report on Form 10-K are not included in these consolidated financial statements. The consolidated financial statements reflect all adjustments which are, in the opinion of management, necessary to fairly state the results for the interim periods presented. These adjustments are considered to be of a normal recurring nature.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Estimates, Risks and Uncertainties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Generally Accepted Accounting Principles ("GAAP") requires the Company's management to make estimates and assumptions that affect the reported amounts of assets and liabilities, and disclosure of commitments and contingent assets and liabilities, as of the date of the financial statements and the reported amounts of revenues and expenses during the reporting period. Actual results could differ from those estimates. The most significant estimates in the Company's financial statements relate to the net carrying values of its real estate investments, collectibility of lease income, and acquired lease intangible assets and liabilities. It is possible that the estimates and assumptions that have been utilized in the preparation of the Consolidated Financial Statements could change significantly if economic conditions were to change.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success of the Company's tenants in operating their businesses and their corresponding ability to pay rent may be influenced by evolving political, economic, trade, tax and immigration policies and macroeconomic uncertainty, and the success of the Company's tenants, in the aggregate, is important to the operating and financial success of the Company. These include, without limitation, changes in trade and tariff policies (as well as potential trade disputes and retaliatory actions by other countries), entry into and termination of treaties and trade agreements, and economic sanctions, as well as global economic conflicts. Additionally, geopolitical and macroeconomic challenges, including the war involving Russia and Ukraine, and conflicts in the Middle East involving the U.S. and its allies, Iran and its allies, and Israel, could adversely impact aspects of the U.S. economy and, therefore, consumer confidence and spending.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policies implemented by the U.S. government to address these and related issues, including changes by the Board of Governors of the Federal Reserve System of its benchmark federal funds rate, increases or decreases in federal government spending, and economic sanctions and tariffs, could result in adverse impacts on the U.S. economy, including inflation, reduction in consumer confidence and spending, a slowing of growth, and potentially a recession, thereby adversely impacting the costs to our tenants of operating their businesses, demand for their products and services, and their ability to pay rent, and/or decreasing future demand for space in shopping centers, which could adversely impact occupancy rates and rents. The potential impact of current macroeconomic and geopolitical challenges on the Company's financial condition, results of operations, and cash flows is subject to change and continues to depend on the extent and duration of these risks and uncertainties. See Item 1A of Part I of the Company's Annual Report on Form 10-K, as supplemented by the discussion in Item 1A of Part II of this Quarterly Report on Form 10-Q, for a more detailed discussion of the Risk Factors potentially impacting the Company's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Investment Risk Concentrations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20"/>
        </w:rPr>
        <w:t>As of June 30, 2026, no single tenant comprised 10% or more of our aggregate annualized base rent ("ABR")</w:t>
      </w:r>
      <w:r>
        <w:rPr>
          <w:rFonts w:ascii="Times New Roman" w:hAnsi="Times New Roman"/>
          <w:color w:val="000000"/>
          <w:sz w:val="22"/>
        </w:rPr>
        <w:t xml:space="preserve">. </w:t>
      </w:r>
      <w:r>
        <w:rPr>
          <w:rFonts w:ascii="Times New Roman" w:hAnsi="Times New Roman"/>
          <w:color w:val="000000"/>
          <w:sz w:val="20"/>
        </w:rPr>
        <w:t>As of June 30, 2026, the Company had three geographic concentrations that individually accounted for at least 10% of its aggregate ABR. Real estate properties located in California, Florida and the New York-Newark-Jersey City core-based statistical area accounted for 24.7%, 19.9% and 12.8% of ABR, respectively. As a result, this geographic concentration of our portfolio makes it potentially more susceptible to adverse weather, natural disasters or economic events that may impact these locations. None of Regency's shopping centers are located outside the United States.</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Consolidation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consolidates properties that are wholly-owned and properties where it owns less than 100% but holds a controlling financial interest in the entity. Controlling financial interest is determined using an evaluation based on accounting standards related to the consolidation of Variable Interest Entities ("VIEs") and voting interest entities.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Ownership of the Parent Company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Parent Company currently has a single class of common stock and two series of preferred stock outstanding.</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Ownership of the Operating Partnership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Operating Partnership's capital includes Common Units and Preferred Units. As of June 30, 2026, the Parent Company owned approximately 97.9% of the outstanding Common Units, with the remaining limited partners' Common Units held by third parties ("Exchangeable operating partnership units" or "EOP units"). The Parent Company currently owns all of the Preferred Units.</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Real Estate Partnerships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June 30, 2026, the Company held partial ownership interests in 107 properties through various real estate partnerships, of which 17 are consolidated partnerships. These partnerships were formed for the purpose of owning and operating real estate properties. The Company's partners in these arrangements include institutional investors, real estate developers or operators, and passive investors (collectively, the "Partners" or "Limited Partners"). The Company’s involvement in these partnerships is through its ownership of its equity interests and its role in property-level management.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assets of these partnerships are restricted to use by the respective partnerships and cannot be directly reached by general creditors of the Company. Similarly, the obligations of the partnerships are backed by, and can only be settled through the assets of these partnerships or by additional capital contributions by the partners, except to the extent that the Company has provided contractual payment guarantees.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Some of these entities have been determined to be variable interest entities ("VIEs") under applicable accounting guidelines. This determination is primarily based on the assessment that the Limited Partners lack substantive kick-out rights (i.e., the ability to remove the general or managing partner with a simple majority vote or less) and do not possess substantive participating rights.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those VIE partnerships in which the Company is deemed to be the primary beneficiary in accordance with GAAP, the Company consolidates the entity in its financial statements and the Limited Partners’ ownership interests in such entities are reported as noncontrolling interests.</w:t>
      </w:r>
    </w:p>
    <w:p>
      <w:pPr>
        <w:pStyle w:val="TextBody"/>
        <w:bidi w:val="0"/>
        <w:spacing w:before="1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carrying amounts of VIEs' assets and liabilities included in the Company's consolidated financial statements, exclusive of the Operating Partnership, are as follows:</w:t>
      </w:r>
    </w:p>
    <w:p>
      <w:pPr>
        <w:pStyle w:val="TextBody"/>
        <w:bidi w:val="0"/>
        <w:jc w:val="left"/>
        <w:rPr/>
      </w:pPr>
      <w:r>
        <w:rPr/>
        <w:t> </w:t>
      </w:r>
    </w:p>
    <w:tbl>
      <w:tblPr>
        <w:tblW w:w="7650" w:type="dxa"/>
        <w:jc w:val="left"/>
        <w:tblInd w:w="0" w:type="dxa"/>
        <w:tblLayout w:type="fixed"/>
        <w:tblCellMar>
          <w:top w:w="28" w:type="dxa"/>
          <w:left w:w="28" w:type="dxa"/>
          <w:bottom w:w="28" w:type="dxa"/>
          <w:right w:w="28" w:type="dxa"/>
        </w:tblCellMar>
      </w:tblPr>
      <w:tblGrid>
        <w:gridCol w:w="3921"/>
        <w:gridCol w:w="146"/>
        <w:gridCol w:w="255"/>
        <w:gridCol w:w="900"/>
        <w:gridCol w:w="146"/>
        <w:gridCol w:w="146"/>
        <w:gridCol w:w="268"/>
        <w:gridCol w:w="1277"/>
        <w:gridCol w:w="591"/>
      </w:tblGrid>
      <w:tr>
        <w:trPr/>
        <w:tc>
          <w:tcPr>
            <w:tcW w:w="3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Tenant and 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Acquired lease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 of 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391,737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Acquired lease intangible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Tenants' security, escrow deposits and 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partnerships in which the Company is not the primary beneficiary and does not hold a controlling financial interest but is able to exercise significant influence, the Company accounts for its investments using the equity method of accounting.</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Revenues, and Tenant and other Receivables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Income within Management, transaction, and other fees is primarily derived from contracts with the Company's investments in real estate partnerships. The primary components of these revenue streams, the timing of satisfying the performance obligations, and amounts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2"/>
        <w:gridCol w:w="146"/>
        <w:gridCol w:w="2444"/>
        <w:gridCol w:w="146"/>
        <w:gridCol w:w="238"/>
        <w:gridCol w:w="620"/>
        <w:gridCol w:w="177"/>
        <w:gridCol w:w="177"/>
        <w:gridCol w:w="177"/>
        <w:gridCol w:w="620"/>
        <w:gridCol w:w="146"/>
        <w:gridCol w:w="146"/>
        <w:gridCol w:w="213"/>
        <w:gridCol w:w="655"/>
        <w:gridCol w:w="159"/>
        <w:gridCol w:w="159"/>
        <w:gridCol w:w="159"/>
        <w:gridCol w:w="655"/>
        <w:gridCol w:w="596"/>
      </w:tblGrid>
      <w:tr>
        <w:trPr/>
        <w:tc>
          <w:tcPr>
            <w:tcW w:w="2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Timing of satisfaction of performance obligations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management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 management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transaction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management, transaction, and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accounts receivable for total management, transactions, and other fees, which are included within Tenant and other receivables, net in the accompanying Consolidated Balance Sheets, are $18.0 million and $17.8 million,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Recent Accounting Pronouncements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provides a brief description of recent accounting pronouncements and the expected impact on our financial statements:</w:t>
      </w:r>
    </w:p>
    <w:tbl>
      <w:tblPr>
        <w:tblW w:w="9406" w:type="dxa"/>
        <w:jc w:val="left"/>
        <w:tblInd w:w="0" w:type="dxa"/>
        <w:tblLayout w:type="fixed"/>
        <w:tblCellMar>
          <w:top w:w="28" w:type="dxa"/>
          <w:left w:w="28" w:type="dxa"/>
          <w:bottom w:w="28" w:type="dxa"/>
          <w:right w:w="28" w:type="dxa"/>
        </w:tblCellMar>
      </w:tblPr>
      <w:tblGrid>
        <w:gridCol w:w="1456"/>
        <w:gridCol w:w="109"/>
        <w:gridCol w:w="1081"/>
        <w:gridCol w:w="109"/>
        <w:gridCol w:w="1261"/>
        <w:gridCol w:w="109"/>
        <w:gridCol w:w="5281"/>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4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Standard</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date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on the financial statements or other significant matters</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u w:val="single"/>
              </w:rPr>
            </w:pPr>
            <w:r>
              <w:rPr>
                <w:rFonts w:ascii="Times New Roman" w:hAnsi="Times New Roman"/>
                <w:b/>
                <w:i/>
                <w:color w:val="000000"/>
                <w:sz w:val="20"/>
                <w:u w:val="single"/>
              </w:rPr>
              <w:t>Recently issued: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7"/>
        <w:gridCol w:w="146"/>
        <w:gridCol w:w="3076"/>
        <w:gridCol w:w="146"/>
        <w:gridCol w:w="1513"/>
        <w:gridCol w:w="146"/>
        <w:gridCol w:w="2911"/>
      </w:tblGrid>
      <w:tr>
        <w:trPr/>
        <w:tc>
          <w:tcPr>
            <w:tcW w:w="2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2267"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 xml:space="preserve">ASU 2024-03, </w:t>
            </w:r>
            <w:r>
              <w:rPr>
                <w:rFonts w:ascii="Times New Roman" w:hAnsi="Times New Roman"/>
                <w:i/>
                <w:color w:val="000000"/>
                <w:sz w:val="20"/>
              </w:rPr>
              <w:t>Income Statement—Reporting Comprehensive Income—Expense Disaggregation Disclosures (Subtopic 220-40): Disaggregation of Income Statement Expenses</w:t>
            </w:r>
          </w:p>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ASU 2025-01, </w:t>
            </w:r>
            <w:r>
              <w:rPr>
                <w:rFonts w:ascii="Times New Roman" w:hAnsi="Times New Roman"/>
                <w:i/>
                <w:color w:val="000000"/>
                <w:sz w:val="20"/>
              </w:rPr>
              <w:t>Income Statement - Reporting Comprehensive, Income -Expense Disaggregation Disclosures (Subtopic 220-40), Clarifying the Effective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ASU 2024-03 requires public business entities to provide additional disclosures that disaggregate certain income statement expense captions into specified categories. The ASU does not impact the presentation of expenses on the face of the income statement but requires additional footnote disclosures to provide users of the financial statements with greater insight into the nature and composition of reported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Fiscal years beginning January 1, 2027, and interim periods for fiscal years beginning January 1, 2028; Early adoption permitted.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 is assessing the impact this ASU will have on the Company’s financial statement disclosures. While the adoption of this standard is not expected to have a material impact on the financial position or results of operations, it will require enhanced footnote disclosures related to the disaggregation of income statement expenses.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93"/>
        <w:gridCol w:w="146"/>
        <w:gridCol w:w="3123"/>
        <w:gridCol w:w="146"/>
        <w:gridCol w:w="1273"/>
        <w:gridCol w:w="146"/>
        <w:gridCol w:w="2578"/>
      </w:tblGrid>
      <w:tr>
        <w:trPr/>
        <w:tc>
          <w:tcPr>
            <w:tcW w:w="2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2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ASU 2025-03, </w:t>
            </w:r>
            <w:r>
              <w:rPr>
                <w:rFonts w:ascii="Times New Roman" w:hAnsi="Times New Roman"/>
                <w:i/>
                <w:color w:val="000000"/>
                <w:sz w:val="20"/>
              </w:rPr>
              <w:t>Business Combinations (Topic 805) and Consolidation (Topic 810): Determining the Accounting Acquirer in the Acquisition of a Variable Interest Entity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ASU 2025-03 clarifies the guidance in determining the accounting acquirer in a business combination effected primarily by exchanging equity interests when the acquiree is a VIE that meets the definition of a business.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January 1, 2027; Early adoption is permitted.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Company is currently evaluating the impact of this ASU, but the adoption will not have a material effect on the Company's financial position or results of operations.</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8"/>
        <w:gridCol w:w="146"/>
        <w:gridCol w:w="3159"/>
        <w:gridCol w:w="146"/>
        <w:gridCol w:w="1279"/>
        <w:gridCol w:w="146"/>
        <w:gridCol w:w="2631"/>
      </w:tblGrid>
      <w:tr>
        <w:trPr/>
        <w:tc>
          <w:tcPr>
            <w:tcW w:w="2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26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ASU 2025-06, </w:t>
            </w:r>
            <w:r>
              <w:rPr>
                <w:rFonts w:ascii="Times New Roman" w:hAnsi="Times New Roman"/>
                <w:i/>
                <w:color w:val="000000"/>
                <w:sz w:val="20"/>
              </w:rPr>
              <w:t>Intangibles—Goodwill and Other— Internal-Use Software (Subtopic 350-40): Targeted Improvements to the Accounting for Internal-Use 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ASU 2025-06 amends certain aspects of the accounting for and disclosure of software costs and makes targeted improvements for accounting for internally developed software to be sold or marketed externally.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January 1, 2028; Early adoption is permitted.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Company is currently evaluating the impact of this ASU, but the adoption will not have a material effect on the Company’s financial position or results of operations.</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2"/>
        <w:gridCol w:w="146"/>
        <w:gridCol w:w="4259"/>
        <w:gridCol w:w="146"/>
        <w:gridCol w:w="1217"/>
        <w:gridCol w:w="146"/>
        <w:gridCol w:w="2359"/>
      </w:tblGrid>
      <w:tr>
        <w:trPr/>
        <w:tc>
          <w:tcPr>
            <w:tcW w:w="1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1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ASU 2026-02, Environmental Credits and Environmental Credit Obligations </w:t>
            </w:r>
            <w:r>
              <w:rPr>
                <w:rFonts w:ascii="Times New Roman" w:hAnsi="Times New Roman"/>
                <w:i/>
                <w:color w:val="000000"/>
                <w:sz w:val="20"/>
              </w:rPr>
              <w:t>(Topic 818)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ASU 2026-02 establishes a comprehensive accounting framework for environmental credits and related environmental compliance obligations. The ASU provides guidance on the recognition, measurement, presentation, derecognition, and disclosure of environmental credits, including renewable energy certificates, carbon offsets, emissions allowances, and similar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January 1, 2028; Early adoption is permitted.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Company is currently evaluating the impact of this ASU, but the adoption will not have a material effect on the Company’s financial position or results of operations.</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jc w:val="left"/>
        <w:rPr/>
      </w:pPr>
      <w:r>
        <w:rPr/>
        <w:t> </w:t>
      </w:r>
    </w:p>
    <w:tbl>
      <w:tblPr>
        <w:tblW w:w="2357" w:type="dxa"/>
        <w:jc w:val="left"/>
        <w:tblInd w:w="0" w:type="dxa"/>
        <w:tblLayout w:type="fixed"/>
        <w:tblCellMar>
          <w:top w:w="28" w:type="dxa"/>
          <w:left w:w="28" w:type="dxa"/>
          <w:bottom w:w="28" w:type="dxa"/>
          <w:right w:w="28" w:type="dxa"/>
        </w:tblCellMar>
      </w:tblPr>
      <w:tblGrid>
        <w:gridCol w:w="271"/>
        <w:gridCol w:w="2086"/>
      </w:tblGrid>
      <w:tr>
        <w:trPr/>
        <w:tc>
          <w:tcPr>
            <w:tcW w:w="27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Investments</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tables detail the properties acquired for the periods set forth below: </w:t>
      </w:r>
    </w:p>
    <w:tbl>
      <w:tblPr>
        <w:tblW w:w="10205" w:type="dxa"/>
        <w:jc w:val="left"/>
        <w:tblInd w:w="0" w:type="dxa"/>
        <w:tblLayout w:type="fixed"/>
        <w:tblCellMar>
          <w:top w:w="28" w:type="dxa"/>
          <w:left w:w="28" w:type="dxa"/>
          <w:bottom w:w="28" w:type="dxa"/>
          <w:right w:w="28" w:type="dxa"/>
        </w:tblCellMar>
      </w:tblPr>
      <w:tblGrid>
        <w:gridCol w:w="919"/>
        <w:gridCol w:w="972"/>
        <w:gridCol w:w="1092"/>
        <w:gridCol w:w="1186"/>
        <w:gridCol w:w="981"/>
        <w:gridCol w:w="196"/>
        <w:gridCol w:w="601"/>
        <w:gridCol w:w="146"/>
        <w:gridCol w:w="146"/>
        <w:gridCol w:w="295"/>
        <w:gridCol w:w="703"/>
        <w:gridCol w:w="146"/>
        <w:gridCol w:w="146"/>
        <w:gridCol w:w="186"/>
        <w:gridCol w:w="655"/>
        <w:gridCol w:w="146"/>
        <w:gridCol w:w="146"/>
        <w:gridCol w:w="210"/>
        <w:gridCol w:w="738"/>
        <w:gridCol w:w="595"/>
      </w:tblGrid>
      <w:tr>
        <w:trPr/>
        <w:tc>
          <w:tcPr>
            <w:tcW w:w="91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89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771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Purchased</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Name</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City/State</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Type</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Regency's Ownership</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Purchase</w:t>
              <w:br/>
              <w:t xml:space="preserve">Price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Debt</w:t>
              <w:br/>
              <w:t>Assumed,</w:t>
              <w:br/>
              <w:t>Net of</w:t>
              <w:br/>
              <w:t xml:space="preserve">Discounts (Premium)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Intangible</w:t>
              <w:br/>
              <w:t xml:space="preserve">Assets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Intangible</w:t>
              <w:br/>
              <w:t>Liabilities</w:t>
            </w:r>
            <w:r>
              <w:rPr>
                <w:rFonts w:ascii="Times New Roman" w:hAnsi="Times New Roman"/>
                <w:color w:val="000000"/>
                <w:sz w:val="16"/>
              </w:rPr>
              <w:t> </w:t>
            </w:r>
            <w:r>
              <w:rPr>
                <w:rFonts w:ascii="Times New Roman" w:hAnsi="Times New Roman"/>
                <w:b/>
                <w:color w:val="000000"/>
                <w:sz w:val="11"/>
              </w:rPr>
              <w:t>(1)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1/1/2026</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Haddon Commons </w:t>
            </w:r>
            <w:r>
              <w:rPr>
                <w:rFonts w:ascii="Times New Roman" w:hAnsi="Times New Roman"/>
                <w:color w:val="000000"/>
                <w:sz w:val="11"/>
              </w:rPr>
              <w:t>(2)</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Westmont, NJ</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1/28/2026</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Crystal Brook Corner</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Brookhaven, NY</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Redevelopment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4/24/2026</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Pablo Plaza</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Jacksonville Beach, FL</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Outparcel</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5/6/2026</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Berkshire Commons</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Naples, FL</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Outparcel</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6/25/2026</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Berkeley at Durbin Park</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 Johns, FL</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Development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consolidated</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58,800</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0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5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4,543</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4,033</w:t>
            </w:r>
          </w:p>
        </w:tc>
        <w:tc>
          <w:tcPr>
            <w:tcW w:w="5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Unconsolidated</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6/11/2026</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Shops at Highland Walk</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Denver, CO</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unconsolidated</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w:t>
            </w:r>
          </w:p>
        </w:tc>
        <w:tc>
          <w:tcPr>
            <w:tcW w:w="5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400"/>
              <w:jc w:val="left"/>
              <w:rPr/>
            </w:pPr>
            <w:r>
              <w:rPr/>
              <w:t> </w:t>
            </w:r>
          </w:p>
        </w:tc>
      </w:tr>
      <w:tr>
        <w:trPr/>
        <w:tc>
          <w:tcPr>
            <w:tcW w:w="189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property acquisitions</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for purchase price and allocation are reflected at 100%.</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This property was held within an unconsolidated real estate partnership, in which the Company held a 40% interest. Effective January 1, 2026, the Company purchased its partner's remaining 60% ownership interest in this property. Upon acquisition, this property was consolidated into Regency's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7"/>
        <w:gridCol w:w="1005"/>
        <w:gridCol w:w="997"/>
        <w:gridCol w:w="796"/>
        <w:gridCol w:w="1114"/>
        <w:gridCol w:w="196"/>
        <w:gridCol w:w="691"/>
        <w:gridCol w:w="146"/>
        <w:gridCol w:w="146"/>
        <w:gridCol w:w="225"/>
        <w:gridCol w:w="929"/>
        <w:gridCol w:w="146"/>
        <w:gridCol w:w="146"/>
        <w:gridCol w:w="164"/>
        <w:gridCol w:w="677"/>
        <w:gridCol w:w="146"/>
        <w:gridCol w:w="146"/>
        <w:gridCol w:w="185"/>
        <w:gridCol w:w="769"/>
        <w:gridCol w:w="594"/>
      </w:tblGrid>
      <w:tr>
        <w:trPr/>
        <w:tc>
          <w:tcPr>
            <w:tcW w:w="98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19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761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Purchased</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Name</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City/State</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w:t>
              <w:br/>
              <w:t>Type</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Regency's Ownership</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Purchase</w:t>
              <w:br/>
              <w:t xml:space="preserve">Price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Debt</w:t>
              <w:br/>
              <w:t>Assumed,</w:t>
              <w:br/>
              <w:t>Net of</w:t>
              <w:br/>
              <w:t xml:space="preserve">Discounts (Premium)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Intangible</w:t>
              <w:br/>
              <w:t xml:space="preserve">Assets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Intangible</w:t>
              <w:br/>
              <w:t>Liabilities</w:t>
            </w:r>
            <w:r>
              <w:rPr>
                <w:rFonts w:ascii="Times New Roman" w:hAnsi="Times New Roman"/>
                <w:color w:val="000000"/>
                <w:sz w:val="16"/>
              </w:rPr>
              <w:t> </w:t>
            </w:r>
            <w:r>
              <w:rPr>
                <w:rFonts w:ascii="Times New Roman" w:hAnsi="Times New Roman"/>
                <w:b/>
                <w:color w:val="000000"/>
                <w:sz w:val="11"/>
              </w:rPr>
              <w:t>(1)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1/1/2025</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Putnam Plaza </w:t>
            </w:r>
            <w:r>
              <w:rPr>
                <w:rFonts w:ascii="Times New Roman" w:hAnsi="Times New Roman"/>
                <w:color w:val="000000"/>
                <w:sz w:val="11"/>
              </w:rPr>
              <w:t>(2)</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Carmel Hamlet, NY</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1/10/2025</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Orange Meadows</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Orange, CT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Outparcel</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3/14/2025</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Brentwood Place</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Nashville, TN</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consolidated</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153,700</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56,809</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6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14,033</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8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19,054</w:t>
            </w:r>
          </w:p>
        </w:tc>
        <w:tc>
          <w:tcPr>
            <w:tcW w:w="59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Unconsolidated</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5/12/2025</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Armonk Square</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Armonk, NY</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Operating</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unconsolidated</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26,250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5,498</w:t>
            </w:r>
          </w:p>
        </w:tc>
        <w:tc>
          <w:tcPr>
            <w:tcW w:w="5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400"/>
              <w:jc w:val="left"/>
              <w:rPr/>
            </w:pPr>
            <w:r>
              <w:rPr/>
              <w:t> </w:t>
            </w:r>
          </w:p>
        </w:tc>
      </w:tr>
      <w:tr>
        <w:trPr/>
        <w:tc>
          <w:tcPr>
            <w:tcW w:w="1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property acquisitions</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24,552</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for purchase price and allocation are reflected at 100%.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property was held within a single property unconsolidated real estate partnership, in which the Company held a 66.7% ownership interest. Effective January 1, 2025, the Company purchased its partner's 33.3% ownership interest. Upon acquisition, this property was consolidated into Regency's financial statements.</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2177" w:type="dxa"/>
        <w:jc w:val="left"/>
        <w:tblInd w:w="0" w:type="dxa"/>
        <w:tblLayout w:type="fixed"/>
        <w:tblCellMar>
          <w:top w:w="28" w:type="dxa"/>
          <w:left w:w="28" w:type="dxa"/>
          <w:bottom w:w="28" w:type="dxa"/>
          <w:right w:w="28" w:type="dxa"/>
        </w:tblCellMar>
      </w:tblPr>
      <w:tblGrid>
        <w:gridCol w:w="271"/>
        <w:gridCol w:w="1906"/>
      </w:tblGrid>
      <w:tr>
        <w:trPr/>
        <w:tc>
          <w:tcPr>
            <w:tcW w:w="27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Dispositions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consolidated operating properties and land parcels sold during the current period:</w:t>
      </w:r>
    </w:p>
    <w:p>
      <w:pPr>
        <w:pStyle w:val="TextBody"/>
        <w:bidi w:val="0"/>
        <w:jc w:val="left"/>
        <w:rPr/>
      </w:pPr>
      <w:r>
        <w:rPr/>
        <w:t> </w:t>
      </w:r>
    </w:p>
    <w:tbl>
      <w:tblPr>
        <w:tblW w:w="8796" w:type="dxa"/>
        <w:jc w:val="left"/>
        <w:tblInd w:w="0" w:type="dxa"/>
        <w:tblLayout w:type="fixed"/>
        <w:tblCellMar>
          <w:top w:w="28" w:type="dxa"/>
          <w:left w:w="28" w:type="dxa"/>
          <w:bottom w:w="28" w:type="dxa"/>
          <w:right w:w="28" w:type="dxa"/>
        </w:tblCellMar>
      </w:tblPr>
      <w:tblGrid>
        <w:gridCol w:w="3571"/>
        <w:gridCol w:w="146"/>
        <w:gridCol w:w="282"/>
        <w:gridCol w:w="736"/>
        <w:gridCol w:w="210"/>
        <w:gridCol w:w="210"/>
        <w:gridCol w:w="210"/>
        <w:gridCol w:w="736"/>
        <w:gridCol w:w="166"/>
        <w:gridCol w:w="146"/>
        <w:gridCol w:w="244"/>
        <w:gridCol w:w="749"/>
        <w:gridCol w:w="181"/>
        <w:gridCol w:w="181"/>
        <w:gridCol w:w="181"/>
        <w:gridCol w:w="636"/>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number sold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proceeds from sale of real estate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Provision for impairment of real estate sold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operating properties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land parcels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 interest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The Company recognized a total Provision for impairment of $1.3</w:t>
      </w:r>
      <w:r>
        <w:rPr>
          <w:rFonts w:ascii="Times New Roman" w:hAnsi="Times New Roman"/>
          <w:color w:val="000000"/>
          <w:sz w:val="20"/>
        </w:rPr>
        <w:t xml:space="preserve"> </w:t>
      </w:r>
      <w:r>
        <w:rPr>
          <w:rFonts w:ascii="Times New Roman" w:hAnsi="Times New Roman"/>
          <w:color w:val="000000"/>
          <w:sz w:val="18"/>
        </w:rPr>
        <w:t>million during the three and six months ended June 30, 2025 which includes a $0.7</w:t>
      </w:r>
      <w:r>
        <w:rPr>
          <w:rFonts w:ascii="Times New Roman" w:hAnsi="Times New Roman"/>
          <w:color w:val="000000"/>
          <w:sz w:val="20"/>
        </w:rPr>
        <w:t xml:space="preserve"> </w:t>
      </w:r>
      <w:r>
        <w:rPr>
          <w:rFonts w:ascii="Times New Roman" w:hAnsi="Times New Roman"/>
          <w:color w:val="000000"/>
          <w:sz w:val="18"/>
        </w:rPr>
        <w:t>million impairment charge related to the operating property held for sale as of June 30, 2025 and subsequently sold in July 2025.</w:t>
      </w:r>
      <w:r>
        <w:rPr>
          <w:rFonts w:ascii="Times New Roman" w:hAnsi="Times New Roman"/>
          <w:color w:val="000000"/>
          <w:sz w:val="20"/>
        </w:rPr>
        <w:br/>
        <w:t> </w:t>
      </w:r>
    </w:p>
    <w:p>
      <w:pPr>
        <w:pStyle w:val="TextBody"/>
        <w:bidi w:val="0"/>
        <w:jc w:val="left"/>
        <w:rPr/>
      </w:pPr>
      <w:r>
        <w:rPr/>
        <w:t> </w:t>
      </w:r>
    </w:p>
    <w:tbl>
      <w:tblPr>
        <w:tblW w:w="1427" w:type="dxa"/>
        <w:jc w:val="left"/>
        <w:tblInd w:w="0" w:type="dxa"/>
        <w:tblLayout w:type="fixed"/>
        <w:tblCellMar>
          <w:top w:w="28" w:type="dxa"/>
          <w:left w:w="28" w:type="dxa"/>
          <w:bottom w:w="28" w:type="dxa"/>
          <w:right w:w="28" w:type="dxa"/>
        </w:tblCellMar>
      </w:tblPr>
      <w:tblGrid>
        <w:gridCol w:w="271"/>
        <w:gridCol w:w="1156"/>
      </w:tblGrid>
      <w:tr>
        <w:trPr/>
        <w:tc>
          <w:tcPr>
            <w:tcW w:w="27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represents the components of Other assets in the accompanying Consolidated Balance Sheets as of the periods set forth below:</w:t>
      </w:r>
    </w:p>
    <w:p>
      <w:pPr>
        <w:pStyle w:val="TextBody"/>
        <w:bidi w:val="0"/>
        <w:jc w:val="left"/>
        <w:rPr/>
      </w:pPr>
      <w:r>
        <w:rPr/>
        <w:t> </w:t>
      </w:r>
    </w:p>
    <w:tbl>
      <w:tblPr>
        <w:tblW w:w="7130" w:type="dxa"/>
        <w:jc w:val="left"/>
        <w:tblInd w:w="0" w:type="dxa"/>
        <w:tblLayout w:type="fixed"/>
        <w:tblCellMar>
          <w:top w:w="28" w:type="dxa"/>
          <w:left w:w="28" w:type="dxa"/>
          <w:bottom w:w="28" w:type="dxa"/>
          <w:right w:w="28" w:type="dxa"/>
        </w:tblCellMar>
      </w:tblPr>
      <w:tblGrid>
        <w:gridCol w:w="3601"/>
        <w:gridCol w:w="146"/>
        <w:gridCol w:w="255"/>
        <w:gridCol w:w="900"/>
        <w:gridCol w:w="146"/>
        <w:gridCol w:w="146"/>
        <w:gridCol w:w="268"/>
        <w:gridCol w:w="1277"/>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fixtures, and equipment, net ("FF&amp;E")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287,671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4172" w:type="dxa"/>
        <w:jc w:val="left"/>
        <w:tblInd w:w="0" w:type="dxa"/>
        <w:tblLayout w:type="fixed"/>
        <w:tblCellMar>
          <w:top w:w="28" w:type="dxa"/>
          <w:left w:w="28" w:type="dxa"/>
          <w:bottom w:w="28" w:type="dxa"/>
          <w:right w:w="28" w:type="dxa"/>
        </w:tblCellMar>
      </w:tblPr>
      <w:tblGrid>
        <w:gridCol w:w="271"/>
        <w:gridCol w:w="3901"/>
      </w:tblGrid>
      <w:tr>
        <w:trPr/>
        <w:tc>
          <w:tcPr>
            <w:tcW w:w="271"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and Unsecured Credit Facilities</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Company's outstanding debt, net of unamortized debt premium (discount) and debt issuance costs, consisted of the following as of the dates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1"/>
        <w:gridCol w:w="146"/>
        <w:gridCol w:w="1655"/>
        <w:gridCol w:w="146"/>
        <w:gridCol w:w="1036"/>
        <w:gridCol w:w="146"/>
        <w:gridCol w:w="841"/>
        <w:gridCol w:w="146"/>
        <w:gridCol w:w="219"/>
        <w:gridCol w:w="928"/>
        <w:gridCol w:w="146"/>
        <w:gridCol w:w="146"/>
        <w:gridCol w:w="227"/>
        <w:gridCol w:w="1288"/>
        <w:gridCol w:w="594"/>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Maturity</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Contractual</w:t>
              <w:b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Effective</w:t>
              <w:b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Fixed rate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1/1/2027</w:t>
            </w:r>
            <w:r>
              <w:rPr>
                <w:rFonts w:ascii="Times New Roman" w:hAnsi="Times New Roman"/>
                <w:color w:val="000000"/>
                <w:sz w:val="20"/>
              </w:rPr>
              <w:t> </w:t>
            </w:r>
            <w:r>
              <w:rPr>
                <w:rFonts w:ascii="Times New Roman" w:hAnsi="Times New Roman"/>
                <w:color w:val="000000"/>
                <w:sz w:val="18"/>
              </w:rPr>
              <w:t>- 10/1/2038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475,948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Variable rate mortgage loans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10/1/2026</w:t>
            </w:r>
            <w:r>
              <w:rPr>
                <w:rFonts w:ascii="Times New Roman" w:hAnsi="Times New Roman"/>
                <w:color w:val="000000"/>
                <w:sz w:val="20"/>
              </w:rPr>
              <w:t> </w:t>
            </w:r>
            <w:r>
              <w:rPr>
                <w:rFonts w:ascii="Times New Roman" w:hAnsi="Times New Roman"/>
                <w:color w:val="000000"/>
                <w:sz w:val="18"/>
              </w:rPr>
              <w:t>- 2/20/2032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270,489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Fixed rate unsecured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8/11/2026</w:t>
            </w:r>
            <w:r>
              <w:rPr>
                <w:rFonts w:ascii="Times New Roman" w:hAnsi="Times New Roman"/>
                <w:color w:val="000000"/>
                <w:sz w:val="20"/>
              </w:rPr>
              <w:t> </w:t>
            </w:r>
            <w:r>
              <w:rPr>
                <w:rFonts w:ascii="Times New Roman" w:hAnsi="Times New Roman"/>
                <w:color w:val="000000"/>
                <w:sz w:val="18"/>
              </w:rPr>
              <w:t>- 3/15/2049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4,219,056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3,872,864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notes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4,619,301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Unsecured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$1.5 Billion line of credit</w:t>
              <w:br/>
              <w:t>(the "Line") </w:t>
            </w:r>
            <w:r>
              <w:rPr>
                <w:rFonts w:ascii="Times New Roman" w:hAnsi="Times New Roman"/>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unsecured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5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4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debt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4,903,182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4,739,301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As of June 30, 2026, 99.5%</w:t>
      </w:r>
      <w:r>
        <w:rPr>
          <w:rFonts w:ascii="Times New Roman" w:hAnsi="Times New Roman"/>
          <w:color w:val="000000"/>
          <w:sz w:val="20"/>
        </w:rPr>
        <w:t xml:space="preserve"> </w:t>
      </w:r>
      <w:r>
        <w:rPr>
          <w:rFonts w:ascii="Times New Roman" w:hAnsi="Times New Roman"/>
          <w:color w:val="000000"/>
          <w:sz w:val="18"/>
        </w:rPr>
        <w:t xml:space="preserve">of the variable rate debt are fixed through interest rate swaps.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sz w:val="20"/>
        </w:rPr>
      </w:pPr>
      <w:r>
        <w:rPr>
          <w:rFonts w:ascii="Times New Roman" w:hAnsi="Times New Roman"/>
          <w:color w:val="000000"/>
          <w:sz w:val="18"/>
        </w:rPr>
        <w:t>The Company has the option to extend the maturity date by two additional six-month periods beyond the Scheduled Maturity Date set forth in the table above. Weighted average effective rate for the Line is calculated based on a fully drawn Line balance using the period end variable rate.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Significant financing activity during 2026 includes: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2, 2026, $88.0 million of a fixed rate mortgage loan was repaid at maturity.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18, 2026, the Company issued $450.0 million aggregate principal amount of senior unsecured notes due 2033 (the “2026 Notes”). The 2026 Notes were issued at 99.376% of par and bear interest at a rate of 4.50% per annum.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May 11, 2026, the Company repaid $100.0 million aggregate principal amount of unsecured private placement notes at maturity. The repayment was funded with available liquidity, including proceeds from the Company's February 2026 senior unsecured notes offering.</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Scheduled principal payments and maturities on notes payable and the unsecured credit facility were as follows:</w:t>
      </w:r>
    </w:p>
    <w:tbl>
      <w:tblPr>
        <w:tblW w:w="9493" w:type="dxa"/>
        <w:jc w:val="left"/>
        <w:tblInd w:w="0" w:type="dxa"/>
        <w:tblLayout w:type="fixed"/>
        <w:tblCellMar>
          <w:top w:w="28" w:type="dxa"/>
          <w:left w:w="28" w:type="dxa"/>
          <w:bottom w:w="28" w:type="dxa"/>
          <w:right w:w="28" w:type="dxa"/>
        </w:tblCellMar>
      </w:tblPr>
      <w:tblGrid>
        <w:gridCol w:w="4351"/>
        <w:gridCol w:w="146"/>
        <w:gridCol w:w="221"/>
        <w:gridCol w:w="680"/>
        <w:gridCol w:w="146"/>
        <w:gridCol w:w="146"/>
        <w:gridCol w:w="157"/>
        <w:gridCol w:w="744"/>
        <w:gridCol w:w="166"/>
        <w:gridCol w:w="146"/>
        <w:gridCol w:w="164"/>
        <w:gridCol w:w="931"/>
        <w:gridCol w:w="166"/>
        <w:gridCol w:w="146"/>
        <w:gridCol w:w="146"/>
        <w:gridCol w:w="826"/>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Scheduled Principal Payments and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Principal</w:t>
              <w:br/>
              <w:t>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w:t>
              <w:br/>
              <w:t>Loan</w:t>
              <w:br/>
              <w:t>Maturities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Unsecured</w:t>
              <w:br/>
              <w:t xml:space="preserve">Maturities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2026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390,304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607,608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Beyond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2,514,890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Unamortized debt premium/(discount)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4,249,056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4,903,182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unsecured public and private debt and unsecured credit facilities.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Reflects scheduled principal payments and maturities for the remainder of the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was in compliance as of June 30, 2026, with all debt covenants. </w:t>
      </w:r>
    </w:p>
    <w:p>
      <w:pPr>
        <w:pStyle w:val="TextBody"/>
        <w:bidi w:val="0"/>
        <w:jc w:val="left"/>
        <w:rPr/>
      </w:pPr>
      <w:r>
        <w:rPr/>
        <w:t> </w:t>
      </w:r>
    </w:p>
    <w:tbl>
      <w:tblPr>
        <w:tblW w:w="2987" w:type="dxa"/>
        <w:jc w:val="left"/>
        <w:tblInd w:w="0" w:type="dxa"/>
        <w:tblLayout w:type="fixed"/>
        <w:tblCellMar>
          <w:top w:w="28" w:type="dxa"/>
          <w:left w:w="28" w:type="dxa"/>
          <w:bottom w:w="28" w:type="dxa"/>
          <w:right w:w="28" w:type="dxa"/>
        </w:tblCellMar>
      </w:tblPr>
      <w:tblGrid>
        <w:gridCol w:w="631"/>
        <w:gridCol w:w="2356"/>
      </w:tblGrid>
      <w:tr>
        <w:trPr/>
        <w:tc>
          <w:tcPr>
            <w:tcW w:w="63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6.</w:t>
            </w:r>
          </w:p>
        </w:tc>
        <w:tc>
          <w:tcPr>
            <w:tcW w:w="235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Derivative Instruments</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may use derivative financial instruments, including interest rate swaps, caps, options, floors, and other interest rate derivative contracts, to hedge all or a portion of the interest rate risk associated with its borrowings. The Company does not intend to utilize derivative instruments for speculative transactions or purposes other than mitigation of interest rate risk. The use of derivative financial instruments carries certain risks, including the risk that the counterparties to these contractual arrangements are not able to perform under the agreements. To mitigate this risk, the Company only enters into derivative financial instruments with counterparties that meet the Company's stringent standards for creditworthiness. The Company does not anticipate that any of the counterparties will fail to meet their obligations.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Detail on the Company's interest rate derivatives outstanding is as follows:</w:t>
      </w:r>
    </w:p>
    <w:tbl>
      <w:tblPr>
        <w:tblW w:w="6990" w:type="dxa"/>
        <w:jc w:val="left"/>
        <w:tblInd w:w="0" w:type="dxa"/>
        <w:tblLayout w:type="fixed"/>
        <w:tblCellMar>
          <w:top w:w="28" w:type="dxa"/>
          <w:left w:w="28" w:type="dxa"/>
          <w:bottom w:w="28" w:type="dxa"/>
          <w:right w:w="28" w:type="dxa"/>
        </w:tblCellMar>
      </w:tblPr>
      <w:tblGrid>
        <w:gridCol w:w="3661"/>
        <w:gridCol w:w="146"/>
        <w:gridCol w:w="255"/>
        <w:gridCol w:w="900"/>
        <w:gridCol w:w="146"/>
        <w:gridCol w:w="146"/>
        <w:gridCol w:w="268"/>
        <w:gridCol w:w="1277"/>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 except number of instruments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Swaps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Notional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Detail on the fair value of the Company's interest rate derivatives is as follows:</w:t>
      </w:r>
    </w:p>
    <w:tbl>
      <w:tblPr>
        <w:tblW w:w="5965" w:type="dxa"/>
        <w:jc w:val="left"/>
        <w:tblInd w:w="0" w:type="dxa"/>
        <w:tblLayout w:type="fixed"/>
        <w:tblCellMar>
          <w:top w:w="28" w:type="dxa"/>
          <w:left w:w="28" w:type="dxa"/>
          <w:bottom w:w="28" w:type="dxa"/>
          <w:right w:w="28" w:type="dxa"/>
        </w:tblCellMar>
      </w:tblPr>
      <w:tblGrid>
        <w:gridCol w:w="2596"/>
        <w:gridCol w:w="146"/>
        <w:gridCol w:w="320"/>
        <w:gridCol w:w="835"/>
        <w:gridCol w:w="166"/>
        <w:gridCol w:w="146"/>
        <w:gridCol w:w="314"/>
        <w:gridCol w:w="123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 rate swaps classified 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Derivatives in an asset position are included within Other assets in the accompanying Consolidated Balance Sheets, while those in a liability position are included within Accounts payable and other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These derivative financial instruments are all interest rate swaps, which are designated and qualify as cash flow hedges. The Company does not enter into derivative instruments for trading or speculative purposes. As of June 30, 2026, all of the Company's derivatives are designated as cash flow hedges.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changes in the fair value of derivatives designated and qualifying as cash flow hedges are recorded in Accumulated other comprehensive income ("AOCI") and subsequently reclassified into earnings in the period that the hedged interest payments affect earnings.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represents the effect of the derivative financial instruments on the accompanying Consolidated Financial Statements:</w:t>
      </w:r>
    </w:p>
    <w:tbl>
      <w:tblPr>
        <w:tblW w:w="10205" w:type="dxa"/>
        <w:jc w:val="left"/>
        <w:tblInd w:w="0" w:type="dxa"/>
        <w:tblLayout w:type="fixed"/>
        <w:tblCellMar>
          <w:top w:w="28" w:type="dxa"/>
          <w:left w:w="28" w:type="dxa"/>
          <w:bottom w:w="28" w:type="dxa"/>
          <w:right w:w="28" w:type="dxa"/>
        </w:tblCellMar>
      </w:tblPr>
      <w:tblGrid>
        <w:gridCol w:w="985"/>
        <w:gridCol w:w="156"/>
        <w:gridCol w:w="210"/>
        <w:gridCol w:w="549"/>
        <w:gridCol w:w="156"/>
        <w:gridCol w:w="156"/>
        <w:gridCol w:w="156"/>
        <w:gridCol w:w="614"/>
        <w:gridCol w:w="166"/>
        <w:gridCol w:w="146"/>
        <w:gridCol w:w="914"/>
        <w:gridCol w:w="156"/>
        <w:gridCol w:w="210"/>
        <w:gridCol w:w="467"/>
        <w:gridCol w:w="177"/>
        <w:gridCol w:w="156"/>
        <w:gridCol w:w="156"/>
        <w:gridCol w:w="611"/>
        <w:gridCol w:w="166"/>
        <w:gridCol w:w="146"/>
        <w:gridCol w:w="1090"/>
        <w:gridCol w:w="173"/>
        <w:gridCol w:w="232"/>
        <w:gridCol w:w="820"/>
        <w:gridCol w:w="173"/>
        <w:gridCol w:w="173"/>
        <w:gridCol w:w="173"/>
        <w:gridCol w:w="713"/>
        <w:gridCol w:w="205"/>
      </w:tblGrid>
      <w:tr>
        <w:trPr/>
        <w:tc>
          <w:tcPr>
            <w:tcW w:w="9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8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and Amount of (Loss) Gain Recognized in OCI on Derivative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and Amount of Gain Reclassified from AOCI into 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amounts presented in the Consolidated Statements of Operations in which the effects of cash flow hedges are recorded</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53,582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50,272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swaps</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105,767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98,285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the Company expects approximately $1.6 million of accumulated comprehensive income on derivative instruments, including the Company's share from its Investments in real estate partnerships, to be reclassified into earnings during the next 12 months.</w:t>
      </w:r>
    </w:p>
    <w:p>
      <w:pPr>
        <w:pStyle w:val="TextBody"/>
        <w:bidi w:val="0"/>
        <w:jc w:val="left"/>
        <w:rPr/>
      </w:pPr>
      <w:r>
        <w:rPr/>
        <w:t> </w:t>
      </w:r>
    </w:p>
    <w:tbl>
      <w:tblPr>
        <w:tblW w:w="1682" w:type="dxa"/>
        <w:jc w:val="left"/>
        <w:tblInd w:w="0" w:type="dxa"/>
        <w:tblLayout w:type="fixed"/>
        <w:tblCellMar>
          <w:top w:w="28" w:type="dxa"/>
          <w:left w:w="28" w:type="dxa"/>
          <w:bottom w:w="28" w:type="dxa"/>
          <w:right w:w="28" w:type="dxa"/>
        </w:tblCellMar>
      </w:tblPr>
      <w:tblGrid>
        <w:gridCol w:w="631"/>
        <w:gridCol w:w="1051"/>
      </w:tblGrid>
      <w:tr>
        <w:trPr/>
        <w:tc>
          <w:tcPr>
            <w:tcW w:w="63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7.</w:t>
            </w:r>
          </w:p>
        </w:tc>
        <w:tc>
          <w:tcPr>
            <w:tcW w:w="105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Leases</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Substantially all of the Company's leases are classified as operating leases. The Company's Lease income is comprised of both fixed and variable income. Fixed and in-substance fixed lease income includes stated amounts per lease contracts, which are primarily related to base rent, and in some cases stated amounts for common area maintenance, real estate taxes and insurance (collectively, "Recoverable Costs"). Income for these amounts is recognized on a straight-line basis.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Variable lease income includes the following two main items in the lease contracts: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Recoveries from tenants represent the tenants' contractual obligations to reimburse the Company for their portion of Recoverable Costs incurred. Generally, the Company's leases provide for the tenants to reimburse the Company based on the tenants' share of the actual costs incurred in proportion to the tenants' share of leased space in the property.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Percentage rent represents amounts billable to tenants based on the tenants' actual sales volume in excess of levels specified in the lease contract.</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provides a disaggregation of lease income recognized as either fixed or variable lease income based on the criteria specified in Topic 842:</w:t>
      </w:r>
    </w:p>
    <w:tbl>
      <w:tblPr>
        <w:tblW w:w="10205" w:type="dxa"/>
        <w:jc w:val="left"/>
        <w:tblInd w:w="0" w:type="dxa"/>
        <w:tblLayout w:type="fixed"/>
        <w:tblCellMar>
          <w:top w:w="28" w:type="dxa"/>
          <w:left w:w="28" w:type="dxa"/>
          <w:bottom w:w="28" w:type="dxa"/>
          <w:right w:w="28" w:type="dxa"/>
        </w:tblCellMar>
      </w:tblPr>
      <w:tblGrid>
        <w:gridCol w:w="4675"/>
        <w:gridCol w:w="146"/>
        <w:gridCol w:w="222"/>
        <w:gridCol w:w="785"/>
        <w:gridCol w:w="188"/>
        <w:gridCol w:w="166"/>
        <w:gridCol w:w="166"/>
        <w:gridCol w:w="785"/>
        <w:gridCol w:w="166"/>
        <w:gridCol w:w="146"/>
        <w:gridCol w:w="206"/>
        <w:gridCol w:w="728"/>
        <w:gridCol w:w="174"/>
        <w:gridCol w:w="154"/>
        <w:gridCol w:w="154"/>
        <w:gridCol w:w="728"/>
        <w:gridCol w:w="616"/>
      </w:tblGrid>
      <w:tr>
        <w:trPr/>
        <w:tc>
          <w:tcPr>
            <w:tcW w:w="4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Fixed and in-substance fixed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583,443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538,344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105,930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217,133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192,141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lease related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Above/below market rent and tenant rent inducement amortization,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Uncollectible straight-line rent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7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Uncollectible amounts billable in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402,798</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805,411</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740,184</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include straight-line rent adjustments associated with converting between cash basis and accrual basis of accounting for certain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represents the components of Tenant and other receivables, net of amounts considered uncollectible, in the accompanying Consolidated Balance Sheets:</w:t>
      </w:r>
    </w:p>
    <w:tbl>
      <w:tblPr>
        <w:tblW w:w="6205" w:type="dxa"/>
        <w:jc w:val="left"/>
        <w:tblInd w:w="0" w:type="dxa"/>
        <w:tblLayout w:type="fixed"/>
        <w:tblCellMar>
          <w:top w:w="28" w:type="dxa"/>
          <w:left w:w="28" w:type="dxa"/>
          <w:bottom w:w="28" w:type="dxa"/>
          <w:right w:w="28" w:type="dxa"/>
        </w:tblCellMar>
      </w:tblPr>
      <w:tblGrid>
        <w:gridCol w:w="2676"/>
        <w:gridCol w:w="146"/>
        <w:gridCol w:w="255"/>
        <w:gridCol w:w="900"/>
        <w:gridCol w:w="146"/>
        <w:gridCol w:w="146"/>
        <w:gridCol w:w="268"/>
        <w:gridCol w:w="1277"/>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Tenant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Straight-line 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receivables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tenant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receivables include notes receivable, construction receivables, insurance receivables, and amounts due from real estate partnerships for Management, transaction, and other fee income.</w:t>
      </w:r>
    </w:p>
    <w:p>
      <w:pPr>
        <w:pStyle w:val="TextBody"/>
        <w:bidi w:val="0"/>
        <w:jc w:val="left"/>
        <w:rPr/>
      </w:pPr>
      <w:r>
        <w:rPr/>
        <w:t> </w:t>
      </w:r>
    </w:p>
    <w:p>
      <w:pPr>
        <w:pStyle w:val="TextBody"/>
        <w:bidi w:val="0"/>
        <w:jc w:val="left"/>
        <w:rPr/>
      </w:pPr>
      <w:r>
        <w:rPr/>
        <w:t> </w:t>
      </w:r>
    </w:p>
    <w:tbl>
      <w:tblPr>
        <w:tblW w:w="3197" w:type="dxa"/>
        <w:jc w:val="left"/>
        <w:tblInd w:w="0" w:type="dxa"/>
        <w:tblLayout w:type="fixed"/>
        <w:tblCellMar>
          <w:top w:w="28" w:type="dxa"/>
          <w:left w:w="28" w:type="dxa"/>
          <w:bottom w:w="28" w:type="dxa"/>
          <w:right w:w="28" w:type="dxa"/>
        </w:tblCellMar>
      </w:tblPr>
      <w:tblGrid>
        <w:gridCol w:w="631"/>
        <w:gridCol w:w="2566"/>
      </w:tblGrid>
      <w:tr>
        <w:trPr/>
        <w:tc>
          <w:tcPr>
            <w:tcW w:w="63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8.</w:t>
            </w:r>
          </w:p>
        </w:tc>
        <w:tc>
          <w:tcPr>
            <w:tcW w:w="256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Fair Value Measurements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Disclosure of Fair Value of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All financial instruments of the Company are reflected in the accompanying Consolidated Balance Sheets at amounts which, in management's estimation, reasonably approximate their fair values, except those instruments listed below:</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2346"/>
        <w:gridCol w:w="146"/>
        <w:gridCol w:w="196"/>
        <w:gridCol w:w="826"/>
        <w:gridCol w:w="146"/>
        <w:gridCol w:w="146"/>
        <w:gridCol w:w="146"/>
        <w:gridCol w:w="826"/>
        <w:gridCol w:w="146"/>
        <w:gridCol w:w="146"/>
        <w:gridCol w:w="196"/>
        <w:gridCol w:w="826"/>
        <w:gridCol w:w="146"/>
        <w:gridCol w:w="146"/>
        <w:gridCol w:w="146"/>
        <w:gridCol w:w="826"/>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4,751,276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4,554,628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Unsecured credit facilities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carrying amount approximates its fair value due to the variable nature of the terms.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above fair values represent management's estimate of the amounts that would be received from selling those assets or that would be paid to transfer those liabilities in an orderly transaction between market participants as of June 30, 2026, and December 31, 2025, respectively. These fair value measurements maximize the use of observable inputs which are classified within Level 2 of the fair value hierarchy. However, in situations where there is little, if any, market activity for the asset or liability at the measurement date, the fair value measurement reflects the Company's own judgments about the assumptions that market participants would use in pricing the asset or liability.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develops its judgments based on the best information available at the measurement date, including expected cash flows, appropriate risk-adjusted discount rates, and available observable and unobservable inputs. Service providers involved in fair value measurements are evaluated for competency and qualifications on an ongoing basis. As considerable judgment is often necessary to estimate the fair value of these financial instruments, the fair values presented above are not necessarily indicative of amounts that will be realized upon disposition of the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Fair Value Measurements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financial instruments are measured at fair value on a recurring basis:</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has investments in marketable securities that are included within Other assets on the accompanying Consolidated Balance Sheets. The marketable securities, which include mutual funds and exchange-traded funds, are measured at fair value using quoted prices in active markets and are classified as Level 1 inputs of the fair value hierarchy.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Changes in the value of securities are recorded within Net investment income in the accompanying Consolidated Statements of Operations, and include the following:</w:t>
      </w:r>
    </w:p>
    <w:p>
      <w:pPr>
        <w:pStyle w:val="TextBody"/>
        <w:bidi w:val="0"/>
        <w:spacing w:before="180" w:after="283"/>
        <w:jc w:val="left"/>
        <w:rPr/>
      </w:pPr>
      <w:r>
        <w:rPr/>
        <w:t> </w:t>
      </w:r>
    </w:p>
    <w:tbl>
      <w:tblPr>
        <w:tblW w:w="6991" w:type="dxa"/>
        <w:jc w:val="left"/>
        <w:tblInd w:w="0" w:type="dxa"/>
        <w:tblLayout w:type="fixed"/>
        <w:tblCellMar>
          <w:top w:w="28" w:type="dxa"/>
          <w:left w:w="28" w:type="dxa"/>
          <w:bottom w:w="28" w:type="dxa"/>
          <w:right w:w="28" w:type="dxa"/>
        </w:tblCellMar>
      </w:tblPr>
      <w:tblGrid>
        <w:gridCol w:w="1786"/>
        <w:gridCol w:w="146"/>
        <w:gridCol w:w="252"/>
        <w:gridCol w:w="882"/>
        <w:gridCol w:w="252"/>
        <w:gridCol w:w="252"/>
        <w:gridCol w:w="252"/>
        <w:gridCol w:w="494"/>
        <w:gridCol w:w="146"/>
        <w:gridCol w:w="146"/>
        <w:gridCol w:w="190"/>
        <w:gridCol w:w="667"/>
        <w:gridCol w:w="190"/>
        <w:gridCol w:w="190"/>
        <w:gridCol w:w="190"/>
        <w:gridCol w:w="745"/>
        <w:gridCol w:w="21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Available-for-Sale Debt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Available-for-sale debt securities consist of investments in corporate bonds and agency mortgage-backed securities. These securities are recorded at fair value, which is determined using either recent trade prices for the identical debt instrument or comparable instruments by issuers of similar industry sector, issuer credit rating, duration and security type. The fair value measurements for these are considered Level 2 inputs of the fair value hierarchy. Unrealized gains and losses on these available-for-sale debt securities are recognized through Other comprehensive income.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Interest Rate Derivatives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fair value of the Company's interest rate derivatives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swaps. As a result, the Company determined that its interest rate swaps valuation in its entirety is classified in Level 2 of the fair value hierarchy.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present the placement in the fair value hierarchy of assets and liabilities measured at fair value on a recurring basis: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7"/>
        <w:gridCol w:w="196"/>
        <w:gridCol w:w="601"/>
        <w:gridCol w:w="166"/>
        <w:gridCol w:w="146"/>
        <w:gridCol w:w="467"/>
        <w:gridCol w:w="1935"/>
        <w:gridCol w:w="146"/>
        <w:gridCol w:w="146"/>
        <w:gridCol w:w="373"/>
        <w:gridCol w:w="1545"/>
        <w:gridCol w:w="166"/>
        <w:gridCol w:w="146"/>
        <w:gridCol w:w="554"/>
        <w:gridCol w:w="1317"/>
        <w:gridCol w:w="394"/>
      </w:tblGrid>
      <w:tr>
        <w:trPr/>
        <w:tc>
          <w:tcPr>
            <w:tcW w:w="1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as of 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Available-for-sale debt securities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derivatives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9"/>
        <w:gridCol w:w="202"/>
        <w:gridCol w:w="622"/>
        <w:gridCol w:w="171"/>
        <w:gridCol w:w="150"/>
        <w:gridCol w:w="464"/>
        <w:gridCol w:w="1913"/>
        <w:gridCol w:w="150"/>
        <w:gridCol w:w="150"/>
        <w:gridCol w:w="370"/>
        <w:gridCol w:w="1533"/>
        <w:gridCol w:w="171"/>
        <w:gridCol w:w="150"/>
        <w:gridCol w:w="551"/>
        <w:gridCol w:w="1309"/>
        <w:gridCol w:w="400"/>
      </w:tblGrid>
      <w:tr>
        <w:trPr/>
        <w:tc>
          <w:tcPr>
            <w:tcW w:w="18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8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as of December 31, 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 in Active Markets for Identical Assets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Other Observable Inputs</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 Unobservable Inputs</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Balance</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Available-for-sale debt securities</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derivatives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58,151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39,887</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18,264</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derivatives</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jc w:val="left"/>
        <w:rPr/>
      </w:pPr>
      <w:r>
        <w:rPr/>
        <w:t> </w:t>
      </w:r>
    </w:p>
    <w:tbl>
      <w:tblPr>
        <w:tblW w:w="2687" w:type="dxa"/>
        <w:jc w:val="left"/>
        <w:tblInd w:w="0" w:type="dxa"/>
        <w:tblLayout w:type="fixed"/>
        <w:tblCellMar>
          <w:top w:w="28" w:type="dxa"/>
          <w:left w:w="28" w:type="dxa"/>
          <w:bottom w:w="28" w:type="dxa"/>
          <w:right w:w="28" w:type="dxa"/>
        </w:tblCellMar>
      </w:tblPr>
      <w:tblGrid>
        <w:gridCol w:w="631"/>
        <w:gridCol w:w="2056"/>
      </w:tblGrid>
      <w:tr>
        <w:trPr/>
        <w:tc>
          <w:tcPr>
            <w:tcW w:w="63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9.</w:t>
            </w:r>
          </w:p>
        </w:tc>
        <w:tc>
          <w:tcPr>
            <w:tcW w:w="2056"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Equity and Capital</w:t>
            </w:r>
          </w:p>
        </w:tc>
      </w:tr>
    </w:tbl>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Preferred Stock of the Parent Company</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Terms and conditions of the preferred stock outstanding are summarized as follows:</w:t>
      </w:r>
    </w:p>
    <w:tbl>
      <w:tblPr>
        <w:tblW w:w="10205" w:type="dxa"/>
        <w:jc w:val="left"/>
        <w:tblInd w:w="0" w:type="dxa"/>
        <w:tblLayout w:type="fixed"/>
        <w:tblCellMar>
          <w:top w:w="28" w:type="dxa"/>
          <w:left w:w="28" w:type="dxa"/>
          <w:bottom w:w="28" w:type="dxa"/>
          <w:right w:w="28" w:type="dxa"/>
        </w:tblCellMar>
      </w:tblPr>
      <w:tblGrid>
        <w:gridCol w:w="707"/>
        <w:gridCol w:w="1451"/>
        <w:gridCol w:w="146"/>
        <w:gridCol w:w="347"/>
        <w:gridCol w:w="1972"/>
        <w:gridCol w:w="146"/>
        <w:gridCol w:w="146"/>
        <w:gridCol w:w="286"/>
        <w:gridCol w:w="1470"/>
        <w:gridCol w:w="146"/>
        <w:gridCol w:w="146"/>
        <w:gridCol w:w="1392"/>
        <w:gridCol w:w="146"/>
        <w:gridCol w:w="1704"/>
      </w:tblGrid>
      <w:tr>
        <w:trPr/>
        <w:tc>
          <w:tcPr>
            <w:tcW w:w="70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 Outstanding as of June 30, 2026 and December 31, 2025</w:t>
            </w:r>
          </w:p>
        </w:tc>
      </w:tr>
      <w:tr>
        <w:trPr/>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Date of Issuance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Liquidation 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Distribution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Callable By Company</w:t>
            </w:r>
          </w:p>
        </w:tc>
      </w:tr>
      <w:tr>
        <w:trPr/>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On demand</w:t>
            </w:r>
          </w:p>
        </w:tc>
      </w:tr>
      <w:tr>
        <w:trPr/>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On demand</w:t>
            </w:r>
          </w:p>
        </w:tc>
      </w:tr>
      <w:tr>
        <w:trPr/>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Issued in connection with the August 18, 2023 merger at terms consistent with their original issuance.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Except under certain limited conditions, each series of Preferred Stock is non-voting, has no stated maturity and is redeemable for cash at $25.00 per share at the Company's option. The holders of the Preferred Stock have general preference rights over common stockholders with respect to liquidation and quarterly distributions. In the event of a cumulative arrearage equal to six quarterly dividends, holders of the Preferred Stock (voting as a single class without regard to series) will have the right to elect two additional members to serve on the Company's Board of Directors until the arrearage has been cured. Upon the occurrence of a Change of Control, as defined in the Company's Articles of Incorporation, the holders of the Preferred Stock will have the right to convert all or part of the shares of the Preferred Stock held by such holders on the applicable conversion date into a number of shares of common stock.</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Common Stock of the Parent Company</w:t>
      </w:r>
    </w:p>
    <w:p>
      <w:pPr>
        <w:pStyle w:val="TextBody"/>
        <w:bidi w:val="0"/>
        <w:spacing w:before="180" w:after="283"/>
        <w:jc w:val="left"/>
        <w:rPr>
          <w:rFonts w:ascii="Times New Roman" w:hAnsi="Times New Roman"/>
          <w:sz w:val="20"/>
        </w:rPr>
      </w:pPr>
      <w:r>
        <w:rPr>
          <w:rFonts w:ascii="Times New Roman" w:hAnsi="Times New Roman"/>
          <w:i/>
          <w:color w:val="000000"/>
          <w:sz w:val="20"/>
        </w:rPr>
        <w:t>At the Market ("ATM") Program</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Parent Company's ATM Program, as reauthorized by the Board in February 2026, the Parent Company may sell up to $500 million of common stock at prices determined by the market at the time of sale. The timing of sales, if any, will be dependent on market conditions and other factors.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$500 million of common stock remained available for issuance under this ATM Program.</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February 4, 2026, the Board authorized a common stock repurchase program under which the Company may purchase up to $500 million of its outstanding common stock (the "Repurchase Program"). Under the Repurchase Program, the Company may repurchase shares through open market transactions in accordance with applicable federal securities laws, including Rule 10b-18 of the Exchange Act. The Repurchase Program expires on February 28, 2029, unless modified, extended or earlier terminated by the Board in its discretion. Any common stock repurchased, if not retired, will be treated as treasury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made no repurchases under the Repurchase Program and $500 million remained available under the Repurchase Program.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Preferred Units of the Operating Partnership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number of Series A Preferred Units and Series B Preferred Units, respectively, issued by the Operating Partnership is equal to the number of Series A Preferred Stock and Series B Preferred Stock, respectively, issued by the Parent Company.</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Common Units of the Operating Partnership</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Common Units are issued, redeemed, or retired on a one-for-one basis with shares of the Parent Company’s common stock, as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Dividends Declared</w:t>
      </w:r>
      <w:r>
        <w:rPr>
          <w:rFonts w:ascii="Times New Roman" w:hAnsi="Times New Roman"/>
          <w:color w:val="000000"/>
          <w:sz w:val="20"/>
        </w:rPr>
        <w:t xml:space="preserve">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provides a summary of dividends declared per share for the periods presented:</w:t>
      </w:r>
    </w:p>
    <w:tbl>
      <w:tblPr>
        <w:tblW w:w="7150" w:type="dxa"/>
        <w:jc w:val="left"/>
        <w:tblInd w:w="0" w:type="dxa"/>
        <w:tblLayout w:type="fixed"/>
        <w:tblCellMar>
          <w:top w:w="28" w:type="dxa"/>
          <w:left w:w="28" w:type="dxa"/>
          <w:bottom w:w="28" w:type="dxa"/>
          <w:right w:w="28" w:type="dxa"/>
        </w:tblCellMar>
      </w:tblPr>
      <w:tblGrid>
        <w:gridCol w:w="1891"/>
        <w:gridCol w:w="146"/>
        <w:gridCol w:w="208"/>
        <w:gridCol w:w="829"/>
        <w:gridCol w:w="155"/>
        <w:gridCol w:w="155"/>
        <w:gridCol w:w="208"/>
        <w:gridCol w:w="829"/>
        <w:gridCol w:w="146"/>
        <w:gridCol w:w="146"/>
        <w:gridCol w:w="196"/>
        <w:gridCol w:w="781"/>
        <w:gridCol w:w="146"/>
        <w:gridCol w:w="146"/>
        <w:gridCol w:w="196"/>
        <w:gridCol w:w="781"/>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0.755000</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0.390625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0.390625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0.781250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0.781250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0.367200</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0.367200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0.734400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376"/>
        <w:gridCol w:w="2401"/>
      </w:tblGrid>
      <w:tr>
        <w:trPr/>
        <w:tc>
          <w:tcPr>
            <w:tcW w:w="3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Company granted 335,836 shares of restricted stock with a weighted-average grant-date fair value of $80.89 per share and 321,704 shares of restricted stock with a weighted-average grant-date fair value of $77.32 per share during the six months ended June 30, 2026 and June 30, 2025, respectively. The Company records stock-based compensation expense within General and administrative expenses in the accompanying Consolidated Statements of Operations, and recognizes forfeitures as they occur.</w:t>
      </w:r>
    </w:p>
    <w:tbl>
      <w:tblPr>
        <w:tblW w:w="10205" w:type="dxa"/>
        <w:jc w:val="left"/>
        <w:tblInd w:w="0" w:type="dxa"/>
        <w:tblLayout w:type="fixed"/>
        <w:tblCellMar>
          <w:top w:w="28" w:type="dxa"/>
          <w:left w:w="28" w:type="dxa"/>
          <w:bottom w:w="28" w:type="dxa"/>
          <w:right w:w="28" w:type="dxa"/>
        </w:tblCellMar>
      </w:tblPr>
      <w:tblGrid>
        <w:gridCol w:w="4685"/>
        <w:gridCol w:w="346"/>
        <w:gridCol w:w="270"/>
        <w:gridCol w:w="704"/>
        <w:gridCol w:w="228"/>
        <w:gridCol w:w="200"/>
        <w:gridCol w:w="200"/>
        <w:gridCol w:w="704"/>
        <w:gridCol w:w="166"/>
        <w:gridCol w:w="146"/>
        <w:gridCol w:w="225"/>
        <w:gridCol w:w="693"/>
        <w:gridCol w:w="191"/>
        <w:gridCol w:w="168"/>
        <w:gridCol w:w="168"/>
        <w:gridCol w:w="693"/>
        <w:gridCol w:w="418"/>
      </w:tblGrid>
      <w:tr>
        <w:trPr/>
        <w:tc>
          <w:tcPr>
            <w:tcW w:w="468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10,898</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Directors' fees paid in common stock and other employee stock grants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net of capitalization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9,864</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2792" w:type="dxa"/>
        <w:jc w:val="left"/>
        <w:tblInd w:w="0" w:type="dxa"/>
        <w:tblLayout w:type="fixed"/>
        <w:tblCellMar>
          <w:top w:w="28" w:type="dxa"/>
          <w:left w:w="28" w:type="dxa"/>
          <w:bottom w:w="28" w:type="dxa"/>
          <w:right w:w="28" w:type="dxa"/>
        </w:tblCellMar>
      </w:tblPr>
      <w:tblGrid>
        <w:gridCol w:w="376"/>
        <w:gridCol w:w="2416"/>
      </w:tblGrid>
      <w:tr>
        <w:trPr/>
        <w:tc>
          <w:tcPr>
            <w:tcW w:w="37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and Unit</w:t>
            </w:r>
          </w:p>
        </w:tc>
      </w:tr>
    </w:tbl>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Parent Company Earnings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summarizes the calculation of basic and diluted earnings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37"/>
        <w:gridCol w:w="146"/>
        <w:gridCol w:w="230"/>
        <w:gridCol w:w="813"/>
        <w:gridCol w:w="171"/>
        <w:gridCol w:w="171"/>
        <w:gridCol w:w="171"/>
        <w:gridCol w:w="813"/>
        <w:gridCol w:w="146"/>
        <w:gridCol w:w="146"/>
        <w:gridCol w:w="210"/>
        <w:gridCol w:w="743"/>
        <w:gridCol w:w="156"/>
        <w:gridCol w:w="156"/>
        <w:gridCol w:w="156"/>
        <w:gridCol w:w="743"/>
        <w:gridCol w:w="397"/>
      </w:tblGrid>
      <w:tr>
        <w:trPr/>
        <w:tc>
          <w:tcPr>
            <w:tcW w:w="4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8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shareholders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237,487</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208,782</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shareholders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237,487</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208,782</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 average common shares outstanding for 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183,108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183,053</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181,497</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Weighted average common shares outstanding for diluted EPS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183,351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183,309</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181,877</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the dilutive impact of unvested restricted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effect of the assumed exchange of the EOP units and certain other exchangeable units had an anti-dilutive effect upon the calculation of net income attributable to the common shareholders per share. Accordingly, the impact of such assumed exchanges has not been included in the determination of diluted net income per share calculations. Weighted average EOP units outstanding were 3,838,188 and 1,067,844 for the three months ended June 30, 2026 and 2025, respectively, and 3,838,188 and 1,088,815 for the six months ended June 30, 2026 and 2025, respectively.</w:t>
      </w:r>
    </w:p>
    <w:p>
      <w:pPr>
        <w:pStyle w:val="TextBody"/>
        <w:bidi w:val="0"/>
        <w:spacing w:before="18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Operating Partnership Earnings per Unit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summarizes the calculation of basic and diluted earnings per unit ("EPU"):</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8"/>
        <w:gridCol w:w="146"/>
        <w:gridCol w:w="230"/>
        <w:gridCol w:w="815"/>
        <w:gridCol w:w="171"/>
        <w:gridCol w:w="171"/>
        <w:gridCol w:w="171"/>
        <w:gridCol w:w="815"/>
        <w:gridCol w:w="146"/>
        <w:gridCol w:w="146"/>
        <w:gridCol w:w="210"/>
        <w:gridCol w:w="744"/>
        <w:gridCol w:w="156"/>
        <w:gridCol w:w="156"/>
        <w:gridCol w:w="156"/>
        <w:gridCol w:w="744"/>
        <w:gridCol w:w="400"/>
      </w:tblGrid>
      <w:tr>
        <w:trPr/>
        <w:tc>
          <w:tcPr>
            <w:tcW w:w="4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unit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unit 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114,711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242,464</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210,010</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unit 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114,711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242,464</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210,010</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 average common units outstanding for basic EPU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186,946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186,891</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182,586</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Weighted average common units outstanding for diluted EPU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187,190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187,147</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182,966</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per common unit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per common unit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the dilutive impact of unvested restricted stock.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effect of the assumed exchange of certain other exchangeable units had an anti-dilutive effect upon the calculation of net income attributable to the common unit holders per unit. Accordingly, the impact of such assumed exchanges has not been included in the determination of diluted net income per unit calculations.</w:t>
      </w:r>
    </w:p>
    <w:p>
      <w:pPr>
        <w:pStyle w:val="TextBody"/>
        <w:bidi w:val="0"/>
        <w:jc w:val="left"/>
        <w:rPr/>
      </w:pPr>
      <w:r>
        <w:rPr/>
        <w:t> </w:t>
      </w:r>
    </w:p>
    <w:tbl>
      <w:tblPr>
        <w:tblW w:w="2282" w:type="dxa"/>
        <w:jc w:val="left"/>
        <w:tblInd w:w="0" w:type="dxa"/>
        <w:tblLayout w:type="fixed"/>
        <w:tblCellMar>
          <w:top w:w="28" w:type="dxa"/>
          <w:left w:w="28" w:type="dxa"/>
          <w:bottom w:w="28" w:type="dxa"/>
          <w:right w:w="28" w:type="dxa"/>
        </w:tblCellMar>
      </w:tblPr>
      <w:tblGrid>
        <w:gridCol w:w="376"/>
        <w:gridCol w:w="1906"/>
      </w:tblGrid>
      <w:tr>
        <w:trPr/>
        <w:tc>
          <w:tcPr>
            <w:tcW w:w="37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Segment Information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Company's portfolio is located throughout the United States. Management does not distinguish or group its operations on a geographical basis for purposes of allocating resources or capital. The Company’s chief operating decision maker ("CODM") evaluates operating and financial performance for each property on an individual property level; therefore, the Company defines an operating segment as its individual properties. The individual properties have been aggregated into one reportable segment based upon their similarities with regard to both the nature and economics of the centers, tenants and operational processes, as well as long-term average financial performance.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tables provide information about the Company's reportable segment's revenues, significant expenses, net operating income ("NOI") and the reconciliation of NOI to the Company’s consolidated Net income:</w:t>
      </w:r>
    </w:p>
    <w:tbl>
      <w:tblPr>
        <w:tblW w:w="9947" w:type="dxa"/>
        <w:jc w:val="left"/>
        <w:tblInd w:w="0" w:type="dxa"/>
        <w:tblLayout w:type="fixed"/>
        <w:tblCellMar>
          <w:top w:w="28" w:type="dxa"/>
          <w:left w:w="28" w:type="dxa"/>
          <w:bottom w:w="28" w:type="dxa"/>
          <w:right w:w="28" w:type="dxa"/>
        </w:tblCellMar>
      </w:tblPr>
      <w:tblGrid>
        <w:gridCol w:w="3436"/>
        <w:gridCol w:w="196"/>
        <w:gridCol w:w="691"/>
        <w:gridCol w:w="466"/>
        <w:gridCol w:w="446"/>
        <w:gridCol w:w="146"/>
        <w:gridCol w:w="691"/>
        <w:gridCol w:w="546"/>
        <w:gridCol w:w="546"/>
        <w:gridCol w:w="197"/>
        <w:gridCol w:w="757"/>
        <w:gridCol w:w="167"/>
        <w:gridCol w:w="147"/>
        <w:gridCol w:w="147"/>
        <w:gridCol w:w="757"/>
        <w:gridCol w:w="611"/>
      </w:tblGrid>
      <w:tr>
        <w:trPr/>
        <w:tc>
          <w:tcPr>
            <w:tcW w:w="3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438,463</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405,915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875,558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814,003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property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Straight-line rent on lease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(5,816</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Above/below market rent amortization,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real estate revenues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431,053</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398,277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861,363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796,288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Operating expenses </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(76,316</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(65,664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(154,464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taxes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(54,631</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(51,680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NOI</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300,106</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280,933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596,500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554,471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Operating expenses include Operating and maintenance, Ground rent and Termination expense</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 AND REGENCY CENTERS, L.P.</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90"/>
        <w:gridCol w:w="196"/>
        <w:gridCol w:w="751"/>
        <w:gridCol w:w="546"/>
        <w:gridCol w:w="546"/>
        <w:gridCol w:w="146"/>
        <w:gridCol w:w="691"/>
        <w:gridCol w:w="546"/>
        <w:gridCol w:w="546"/>
        <w:gridCol w:w="196"/>
        <w:gridCol w:w="751"/>
        <w:gridCol w:w="346"/>
        <w:gridCol w:w="346"/>
        <w:gridCol w:w="146"/>
        <w:gridCol w:w="751"/>
        <w:gridCol w:w="611"/>
      </w:tblGrid>
      <w:tr>
        <w:trPr/>
        <w:tc>
          <w:tcPr>
            <w:tcW w:w="3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Reconciliation of NOI to Net income: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NOI</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300,106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280,933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554,471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Straight-line rent on lease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Above/below market rent amortization,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Management, transaction, and other fees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Straight-line rent on ground rent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Above/below market ground rent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(108,803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(99,535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expense,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 Share of noncontrolling interests excluded from NOI</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Equity in income of investments in real estate excluded from NOI</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119,739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108,349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252,537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220,202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242" w:type="dxa"/>
        <w:jc w:val="left"/>
        <w:tblInd w:w="0" w:type="dxa"/>
        <w:tblLayout w:type="fixed"/>
        <w:tblCellMar>
          <w:top w:w="28" w:type="dxa"/>
          <w:left w:w="28" w:type="dxa"/>
          <w:bottom w:w="28" w:type="dxa"/>
          <w:right w:w="28" w:type="dxa"/>
        </w:tblCellMar>
      </w:tblPr>
      <w:tblGrid>
        <w:gridCol w:w="376"/>
        <w:gridCol w:w="2866"/>
      </w:tblGrid>
      <w:tr>
        <w:trPr/>
        <w:tc>
          <w:tcPr>
            <w:tcW w:w="37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is a party to litigation and other disputes that arise in the ordinary course of business. While the outcome of any particular lawsuit or dispute cannot be predicted with certainty, in the opinion of management, the Company's currently pending litigation and disputes are not expected to have a material adverse effect on the Company's consolidated financial position, results of operations, or liquidity. Legal fees are expensed as incurred.</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Environmental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is subject to numerous environmental laws and regulations. With respect to applicability to the Company, these pertain primarily to chemicals historically used by certain current and former dry cleaning tenants, the existence of asbestos in older shopping centers, underground petroleum storage tanks and other historic land uses. The Company believes that the ultimate disposition of currently known environmental matters will not have a material effect on its financial position, liquidity, or operations. The Company can give no assurance that existing environmental studies with respect to its shopping centers have revealed all potential environmental contamination; that its estimate of liabilities will not change as more information becomes available; that any previous owner, occupant or tenant did not create any material environmental condition not known to the Company; that the current environmental condition of the shopping centers will not be affected by tenants and occupants, by the condition of nearby properties, or by unrelated third parties; and that changes in applicable environmental laws and regulations or their interpretation will not result in additional environmental liability to the Company.</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Company had accrued liabilities of $16.4 million and $19.2 million for environmental assessment and remediation, which are </w:t>
      </w:r>
      <w:r>
        <w:rPr>
          <w:rFonts w:ascii="Times New Roman" w:hAnsi="Times New Roman"/>
          <w:color w:val="000000"/>
          <w:sz w:val="22"/>
        </w:rPr>
        <w:t>i</w:t>
      </w:r>
      <w:r>
        <w:rPr>
          <w:rFonts w:ascii="Times New Roman" w:hAnsi="Times New Roman"/>
          <w:color w:val="000000"/>
          <w:sz w:val="20"/>
        </w:rPr>
        <w:t>ncluded in Accounts payable, and other liabilities on the Company’s Consolidated Balance Sheets as of June 30, 2026 and December 31, 2025, respectively.</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the right to issue letters of credit under the Line up to an aggregate amount not to exceed $50.0 million, which reduce the credit availability under the Line. These letters of credit are primarily issued as collateral on behalf of its captive insurance subsidiary and to facilitate the construction of development projects. The Company had $12.5 million and $12.9 million in letters of credit outstanding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2_mda"/>
      <w:bookmarkEnd w:id="15"/>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 factors, including, without limitation, risk factors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economic and geopolitical environments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or other health crises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retail-based shopping centers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 estate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environment affecting our properties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corporate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partnerships and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strategies and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management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 and the Parent Company’s qualification as a REIT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stock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As more specifically described in Part I, Item 1A. “Risk Factors" of our Annual Report on Form 10-K for the year ended December 31, 2025 ("2025 Form 10-K") and in Part II, Item 1A. "Risk Factors" in this Report. When considering an investment in our securities, you should carefully read and consider these risks, together with all other information in our most recent 2025 Form 10-K, subsequent Quarterly Reports on Form 10-Q, and our other filings with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and to the extent required by law.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Non-GAAP Financial Measures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to the required Generally Accepted Accounting Principles ("GAAP") presentations, we use and report certain non-GAAP financial measures as we believe these measures improve the understanding of our operational results. We believe these non-GAAP financial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 We continually evaluate the usefulness, relevance, limitations, and calculation of our reported non-GAAP financial measures to determine how best to provide relevant information to the public, and thus such reported measures could change.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non-GAAP financial measures include the following: </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 xml:space="preserve">Adjusted Funds From Operations ("AFFO") </w:t>
      </w:r>
      <w:r>
        <w:rPr>
          <w:rFonts w:ascii="Times New Roman" w:hAnsi="Times New Roman"/>
          <w:color w:val="000000"/>
          <w:sz w:val="20"/>
        </w:rPr>
        <w:t>is an additional performance measure we use that reflects cash available to fund the Company’s business needs and distribution to shareholders. AFFO is calculated by adjusting Core Operating Earnings ("COE") for (i) capital expenditures necessary to maintain and lease our portfolio of properties, (ii) debt cost and derivative adjustments and (iii) stock-based compensation.</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 xml:space="preserve">Core Operating Earnings </w:t>
      </w:r>
      <w:r>
        <w:rPr>
          <w:rFonts w:ascii="Times New Roman" w:hAnsi="Times New Roman"/>
          <w:color w:val="000000"/>
          <w:sz w:val="20"/>
        </w:rPr>
        <w:t>is an additional non-GAAP performance measure that adjusts Nareit Funds from Operations ("</w:t>
      </w:r>
      <w:r>
        <w:rPr>
          <w:rFonts w:ascii="Times New Roman" w:hAnsi="Times New Roman"/>
          <w:i/>
          <w:color w:val="000000"/>
          <w:sz w:val="20"/>
        </w:rPr>
        <w:t>Nareit FFO</w:t>
      </w:r>
      <w:r>
        <w:rPr>
          <w:rFonts w:ascii="Times New Roman" w:hAnsi="Times New Roman"/>
          <w:color w:val="000000"/>
          <w:sz w:val="20"/>
        </w:rPr>
        <w:t>")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 xml:space="preserve">Nareit Funds from Operations ("Nareit FFO") </w:t>
      </w:r>
      <w:r>
        <w:rPr>
          <w:rFonts w:ascii="Times New Roman" w:hAnsi="Times New Roman"/>
          <w:color w:val="000000"/>
          <w:sz w:val="20"/>
        </w:rPr>
        <w:t>is a commonly used measure of REIT performance, which Nareit defines as net income, computed in accordance with GAAP, excluding gains on sales and impairments of real estate, net of tax, plus depreciation and amortization, and after adjustments for unconsolidated real estate investment partnerships and joint ventures. We compute Nareit FFO for all periods presented in accordance with Nareit's definition.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our financial performance not immediately apparent from net income determined in accordance with GAAP. Thus, Nareit FFO is a supplemental non-GAAP financial measure of our operating performance, which does not represent cash generated from operating activities in accordance with GAAP; and, therefore, should not be considered a substitute measure of cash flows from operations.</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Net Operating Income ("NOI")</w:t>
      </w:r>
      <w:r>
        <w:rPr>
          <w:color w:val="000000"/>
        </w:rPr>
        <w:t xml:space="preserve"> </w:t>
      </w:r>
      <w:r>
        <w:rPr>
          <w:rFonts w:ascii="Times New Roman" w:hAnsi="Times New Roman"/>
          <w:color w:val="000000"/>
          <w:sz w:val="20"/>
        </w:rPr>
        <w:t xml:space="preserve">is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 </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Pro-rata</w:t>
      </w:r>
      <w:r>
        <w:rPr>
          <w:color w:val="000000"/>
        </w:rPr>
        <w:t xml:space="preserve"> </w:t>
      </w:r>
      <w:r>
        <w:rPr>
          <w:rFonts w:ascii="Times New Roman" w:hAnsi="Times New Roman"/>
          <w:color w:val="000000"/>
          <w:sz w:val="20"/>
        </w:rPr>
        <w:t>information includes 100% of our consolidated properties plus our economic share (based on our ownership interest) in our unconsolidated real estate investment partnerships.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provide Pro-rata financial information because we believe it assists investors and analysts in estimating our economic interest in our consolidated and unconsolidated real estate investment partnerships, when read in conjunction with our reported results under GAAP. We believe presenting our Pro-rata share of assets, liabilities, operating results, and other metrics, along with certain other non-GAAP financial measures, makes comparisons of our operating results to those of other REITs more meaningful. The Pro-rata information provided is not, nor is it intended to be, presented in accordance with GAAP. The Pro-rata supplemental details of assets and liabilities and supplemental details of operations reflect our proportionate economic ownership of the assets, liabilities, and operating results of the properties in our portfolio.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Pro-rata information is prepared on a basis consistent with the comparable consolidated amounts and is intended to more accurately reflect our proportionate economic interest in the assets, liabilities, and operating results of properties in our portfolio. We do not control the unconsolidated real estate investment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Our share of invested capital establishes the ownership interests we use to prepare our Pro-rata share.</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presentation of Pro-rata information has limitations which include, but are not limited to, the following: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Other companies in our industry may calculate their Pro-rata interest differently, limiting the comparability of Pro-rata information.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Same Property NOI</w:t>
      </w:r>
      <w:r>
        <w:rPr>
          <w:color w:val="000000"/>
        </w:rPr>
        <w:t xml:space="preserve"> </w:t>
      </w:r>
      <w:r>
        <w:rPr>
          <w:rFonts w:ascii="Times New Roman" w:hAnsi="Times New Roman"/>
          <w:color w:val="000000"/>
          <w:sz w:val="20"/>
        </w:rPr>
        <w:t xml:space="preserve">is a key non-GAAP financial measure commonly used by REITs to evaluate operating performance. It is calculated on a Pro-rata ownership basis for properties owned and operated for the entirety of both the current and prior comparable reporting periods. </w:t>
        <w:br/>
        <w:t xml:space="preserve">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Other Defined Terms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terms, as defined, are commonly used by management and the investing public to understand, and evaluate our operational results, and are included in this document:</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 xml:space="preserve">Anchor Space </w:t>
      </w:r>
      <w:r>
        <w:rPr>
          <w:rFonts w:ascii="Times New Roman" w:hAnsi="Times New Roman"/>
          <w:color w:val="000000"/>
          <w:sz w:val="20"/>
        </w:rPr>
        <w:t>is space equal to or greater than 10,000 square feet in a Retail Operating Property.</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Development Completion</w:t>
      </w:r>
      <w:r>
        <w:rPr>
          <w:color w:val="000000"/>
        </w:rPr>
        <w:t xml:space="preserve"> </w:t>
      </w:r>
      <w:r>
        <w:rPr>
          <w:rFonts w:ascii="Times New Roman" w:hAnsi="Times New Roman"/>
          <w:color w:val="000000"/>
          <w:sz w:val="20"/>
        </w:rPr>
        <w:t>is a Property in Development that is deemed complete upon the earlier of: (i) 90% of total estimated net development costs have been incurred and percent leased equals or exceeds 95%, or (ii) the property features at least two years of anchor operations. Once deemed complete, the property is termed a Retail Operating Property.</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color w:val="000000"/>
          <w:sz w:val="20"/>
        </w:rPr>
        <w:t xml:space="preserve">A </w:t>
      </w:r>
      <w:r>
        <w:rPr>
          <w:rFonts w:ascii="Times New Roman" w:hAnsi="Times New Roman"/>
          <w:i/>
          <w:color w:val="000000"/>
          <w:sz w:val="20"/>
        </w:rPr>
        <w:t>Non-Same Property</w:t>
      </w:r>
      <w:r>
        <w:rPr>
          <w:color w:val="000000"/>
        </w:rPr>
        <w:t xml:space="preserve"> </w:t>
      </w:r>
      <w:r>
        <w:rPr>
          <w:rFonts w:ascii="Times New Roman" w:hAnsi="Times New Roman"/>
          <w:color w:val="000000"/>
          <w:sz w:val="20"/>
        </w:rPr>
        <w:t>is any property, during either calendar year period being compared, that was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Property In Development</w:t>
      </w:r>
      <w:r>
        <w:rPr>
          <w:color w:val="000000"/>
        </w:rPr>
        <w:t xml:space="preserve"> </w:t>
      </w:r>
      <w:r>
        <w:rPr>
          <w:rFonts w:ascii="Times New Roman" w:hAnsi="Times New Roman"/>
          <w:color w:val="000000"/>
          <w:sz w:val="20"/>
        </w:rPr>
        <w:t>includes properties in various stages of ground-up development.</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 xml:space="preserve">Property In Redevelopment </w:t>
      </w:r>
      <w:r>
        <w:rPr>
          <w:rFonts w:ascii="Times New Roman" w:hAnsi="Times New Roman"/>
          <w:color w:val="000000"/>
          <w:sz w:val="20"/>
        </w:rPr>
        <w:t>includes Retail Operating Properties under redevelopment or being positioned for redevelopment. Unless otherwise indicated, a Property in Redevelopment is included in the Same Property pool.</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Redevelopment Completion</w:t>
      </w:r>
      <w:r>
        <w:rPr>
          <w:color w:val="000000"/>
        </w:rPr>
        <w:t xml:space="preserve"> </w:t>
      </w:r>
      <w:r>
        <w:rPr>
          <w:rFonts w:ascii="Times New Roman" w:hAnsi="Times New Roman"/>
          <w:color w:val="000000"/>
          <w:sz w:val="20"/>
        </w:rPr>
        <w:t>is a Property in Redevelopment that is deemed complete upon the earlier of: (i) 90% of total estimated project costs have been incurred and percent leased equals or exceeds 95% for the Company owned gross leasable area ("GLA") related to the project, or (ii) the property features at least two years of anchor operations, if applicable.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Retail Operating Property</w:t>
      </w:r>
      <w:r>
        <w:rPr>
          <w:color w:val="000000"/>
        </w:rPr>
        <w:t xml:space="preserve"> </w:t>
      </w:r>
      <w:r>
        <w:rPr>
          <w:rFonts w:ascii="Times New Roman" w:hAnsi="Times New Roman"/>
          <w:color w:val="000000"/>
          <w:sz w:val="20"/>
        </w:rPr>
        <w:t>is any retail property not termed a Property in Development. A retail property is any property where the majority of the income is generated from retail uses.</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Same Property</w:t>
      </w:r>
      <w:r>
        <w:rPr>
          <w:color w:val="000000"/>
        </w:rPr>
        <w:t xml:space="preserve"> </w:t>
      </w:r>
      <w:r>
        <w:rPr>
          <w:rFonts w:ascii="Times New Roman" w:hAnsi="Times New Roman"/>
          <w:color w:val="000000"/>
          <w:sz w:val="20"/>
        </w:rPr>
        <w:t xml:space="preserve">is a Retail Operating Property that was owned and operated for the entirety of both calendar year periods being compared. This term excludes Properties in Development, prior year Development Completions, and Non-Same Properties. Properties in Redevelopment are included unless otherwise indicated. </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Shop Space</w:t>
      </w:r>
      <w:r>
        <w:rPr>
          <w:color w:val="000000"/>
        </w:rPr>
        <w:t xml:space="preserve"> </w:t>
      </w:r>
      <w:r>
        <w:rPr>
          <w:rFonts w:ascii="Times New Roman" w:hAnsi="Times New Roman"/>
          <w:color w:val="000000"/>
          <w:sz w:val="20"/>
        </w:rPr>
        <w:t>is space under 10,000 square feet in a Retail Operating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Overview of Our Strategy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Regency Centers Corporation began operations as a publicly-traded REIT in 1993. All of our operating, investing, and financing activities are performed through our Operating Partnership, Regency Centers, L.P. and its wholly-owned subsidiaries, and through our real estate partnerships. As of June 30, 2026, the Parent Company owned approximately 97.9% of the outstanding Common Units and 100% of the Preferred Units of the Operating Partnership.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We are a preeminent national owner, operator, and developer of neighborhood and community shopping centers predominantly located in suburban trade areas with compelling demographics. As of June 30, 2026, we had full or partial ownership interests in 482 retail properties. Our properties are high-quality neighborhood and community shopping centers primarily anchored by market leading grocers and principally located in suburban markets within the country's most desirable metro areas, and contain approximately 58.8 million square feet ("SF") of GLA. </w:t>
      </w:r>
      <w:r>
        <w:rPr>
          <w:rFonts w:ascii="Times New Roman" w:hAnsi="Times New Roman"/>
          <w:color w:val="212529"/>
          <w:sz w:val="20"/>
        </w:rPr>
        <w:t xml:space="preserve">Our mission is to create thriving environments for retailers and service providers to connect with surrounding neighborhoods and communities. Our vision is to elevate quality of life as an integral thread in the fabric of our communities. Our portfolio includes thriving properties merchandised with highly productive grocers, restaurants, service providers, and best-in-class retailers that connect with their neighborhoods, communities, and customers. </w:t>
      </w:r>
    </w:p>
    <w:p>
      <w:pPr>
        <w:pStyle w:val="TextBody"/>
        <w:bidi w:val="0"/>
        <w:spacing w:before="180" w:after="283"/>
        <w:jc w:val="left"/>
        <w:rPr>
          <w:rFonts w:ascii="Times New Roman" w:hAnsi="Times New Roman"/>
          <w:color w:val="212529"/>
          <w:sz w:val="20"/>
        </w:rPr>
      </w:pPr>
      <w:r>
        <w:rPr>
          <w:rFonts w:ascii="Times New Roman" w:hAnsi="Times New Roman"/>
          <w:color w:val="212529"/>
          <w:sz w:val="20"/>
        </w:rPr>
        <w:t>Our values:</w:t>
      </w:r>
    </w:p>
    <w:p>
      <w:pPr>
        <w:pStyle w:val="TextBody"/>
        <w:bidi w:val="0"/>
        <w:spacing w:before="60" w:after="283"/>
        <w:jc w:val="left"/>
        <w:rPr>
          <w:color w:val="212529"/>
        </w:rPr>
      </w:pPr>
      <w:r>
        <w:rPr>
          <w:color w:val="212529"/>
        </w:rPr>
        <w:t>•</w:t>
      </w:r>
    </w:p>
    <w:p>
      <w:pPr>
        <w:pStyle w:val="TextBody"/>
        <w:bidi w:val="0"/>
        <w:spacing w:before="60" w:after="283"/>
        <w:jc w:val="left"/>
        <w:rPr>
          <w:rFonts w:ascii="Times New Roman" w:hAnsi="Times New Roman"/>
          <w:color w:val="212529"/>
          <w:sz w:val="20"/>
        </w:rPr>
      </w:pPr>
      <w:r>
        <w:rPr>
          <w:rFonts w:ascii="Times New Roman" w:hAnsi="Times New Roman"/>
          <w:color w:val="212529"/>
          <w:sz w:val="20"/>
        </w:rPr>
        <w:t>We are our people: Our people are our greatest asset, and we believe that our highly skilled and talented team makes us better.</w:t>
      </w:r>
    </w:p>
    <w:p>
      <w:pPr>
        <w:pStyle w:val="TextBody"/>
        <w:bidi w:val="0"/>
        <w:spacing w:before="60" w:after="283"/>
        <w:jc w:val="left"/>
        <w:rPr>
          <w:color w:val="212529"/>
        </w:rPr>
      </w:pPr>
      <w:r>
        <w:rPr>
          <w:color w:val="212529"/>
        </w:rPr>
        <w:t>•</w:t>
      </w:r>
    </w:p>
    <w:p>
      <w:pPr>
        <w:pStyle w:val="TextBody"/>
        <w:bidi w:val="0"/>
        <w:spacing w:before="60" w:after="283"/>
        <w:jc w:val="left"/>
        <w:rPr>
          <w:rFonts w:ascii="Times New Roman" w:hAnsi="Times New Roman"/>
          <w:color w:val="212529"/>
          <w:sz w:val="20"/>
        </w:rPr>
      </w:pPr>
      <w:r>
        <w:rPr>
          <w:rFonts w:ascii="Times New Roman" w:hAnsi="Times New Roman"/>
          <w:color w:val="212529"/>
          <w:sz w:val="20"/>
        </w:rPr>
        <w:t>We do what is right: We act with unwavering standards of honesty and integrity.</w:t>
      </w:r>
    </w:p>
    <w:p>
      <w:pPr>
        <w:pStyle w:val="TextBody"/>
        <w:bidi w:val="0"/>
        <w:spacing w:before="60" w:after="283"/>
        <w:jc w:val="left"/>
        <w:rPr>
          <w:color w:val="212529"/>
        </w:rPr>
      </w:pPr>
      <w:r>
        <w:rPr>
          <w:color w:val="212529"/>
        </w:rPr>
        <w:t>•</w:t>
      </w:r>
    </w:p>
    <w:p>
      <w:pPr>
        <w:pStyle w:val="TextBody"/>
        <w:bidi w:val="0"/>
        <w:spacing w:before="60" w:after="283"/>
        <w:jc w:val="left"/>
        <w:rPr>
          <w:rFonts w:ascii="Times New Roman" w:hAnsi="Times New Roman"/>
          <w:color w:val="212529"/>
          <w:sz w:val="20"/>
        </w:rPr>
      </w:pPr>
      <w:r>
        <w:rPr>
          <w:rFonts w:ascii="Times New Roman" w:hAnsi="Times New Roman"/>
          <w:color w:val="212529"/>
          <w:sz w:val="20"/>
        </w:rPr>
        <w:t>We connect with our communities: We promote philanthropic ideas and strive for the betterment of our neighborhoods by giving our time and financial support.</w:t>
      </w:r>
    </w:p>
    <w:p>
      <w:pPr>
        <w:pStyle w:val="TextBody"/>
        <w:bidi w:val="0"/>
        <w:spacing w:before="60" w:after="283"/>
        <w:jc w:val="left"/>
        <w:rPr>
          <w:color w:val="212529"/>
        </w:rPr>
      </w:pPr>
      <w:r>
        <w:rPr>
          <w:color w:val="212529"/>
        </w:rPr>
        <w:t>•</w:t>
      </w:r>
    </w:p>
    <w:p>
      <w:pPr>
        <w:pStyle w:val="TextBody"/>
        <w:bidi w:val="0"/>
        <w:spacing w:before="60" w:after="283"/>
        <w:jc w:val="left"/>
        <w:rPr>
          <w:rFonts w:ascii="Times New Roman" w:hAnsi="Times New Roman"/>
          <w:color w:val="212529"/>
          <w:sz w:val="20"/>
        </w:rPr>
      </w:pPr>
      <w:r>
        <w:rPr>
          <w:rFonts w:ascii="Times New Roman" w:hAnsi="Times New Roman"/>
          <w:color w:val="212529"/>
          <w:sz w:val="20"/>
        </w:rPr>
        <w:t>We are responsible: Our duty is to balance purpose and profit, being good stewards of capital and the environment for the benefit of all our stakeholders.</w:t>
      </w:r>
    </w:p>
    <w:p>
      <w:pPr>
        <w:pStyle w:val="TextBody"/>
        <w:bidi w:val="0"/>
        <w:spacing w:before="60" w:after="283"/>
        <w:jc w:val="left"/>
        <w:rPr>
          <w:color w:val="212529"/>
        </w:rPr>
      </w:pPr>
      <w:r>
        <w:rPr>
          <w:color w:val="212529"/>
        </w:rPr>
        <w:t>•</w:t>
      </w:r>
    </w:p>
    <w:p>
      <w:pPr>
        <w:pStyle w:val="TextBody"/>
        <w:bidi w:val="0"/>
        <w:spacing w:before="60" w:after="283"/>
        <w:jc w:val="left"/>
        <w:rPr>
          <w:rFonts w:ascii="Times New Roman" w:hAnsi="Times New Roman"/>
          <w:color w:val="212529"/>
          <w:sz w:val="20"/>
        </w:rPr>
      </w:pPr>
      <w:r>
        <w:rPr>
          <w:rFonts w:ascii="Times New Roman" w:hAnsi="Times New Roman"/>
          <w:color w:val="212529"/>
          <w:sz w:val="20"/>
        </w:rPr>
        <w:t>We strive for excellence: When we are passionate about what we do, it is reflected in our performance.</w:t>
      </w:r>
    </w:p>
    <w:p>
      <w:pPr>
        <w:pStyle w:val="TextBody"/>
        <w:bidi w:val="0"/>
        <w:spacing w:before="60" w:after="283"/>
        <w:jc w:val="left"/>
        <w:rPr>
          <w:color w:val="212529"/>
        </w:rPr>
      </w:pPr>
      <w:r>
        <w:rPr>
          <w:color w:val="212529"/>
        </w:rPr>
        <w:t>•</w:t>
      </w:r>
    </w:p>
    <w:p>
      <w:pPr>
        <w:pStyle w:val="TextBody"/>
        <w:bidi w:val="0"/>
        <w:spacing w:before="60" w:after="283"/>
        <w:jc w:val="left"/>
        <w:rPr>
          <w:rFonts w:ascii="Times New Roman" w:hAnsi="Times New Roman"/>
          <w:color w:val="212529"/>
          <w:sz w:val="20"/>
        </w:rPr>
      </w:pPr>
      <w:r>
        <w:rPr>
          <w:rFonts w:ascii="Times New Roman" w:hAnsi="Times New Roman"/>
          <w:color w:val="212529"/>
          <w:sz w:val="20"/>
        </w:rPr>
        <w:t>We are better together: When we listen to each other and our customers, we will succeed together.</w:t>
      </w:r>
    </w:p>
    <w:p>
      <w:pPr>
        <w:pStyle w:val="TextBody"/>
        <w:bidi w:val="0"/>
        <w:spacing w:before="180" w:after="283"/>
        <w:jc w:val="left"/>
        <w:rPr>
          <w:rFonts w:ascii="Times New Roman" w:hAnsi="Times New Roman"/>
          <w:color w:val="212529"/>
          <w:sz w:val="20"/>
        </w:rPr>
      </w:pPr>
      <w:r>
        <w:rPr>
          <w:rFonts w:ascii="Times New Roman" w:hAnsi="Times New Roman"/>
          <w:color w:val="212529"/>
          <w:sz w:val="20"/>
        </w:rPr>
        <w:t>Our goals are to: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Own and manage a portfolio of high-quality neighborhood and community shopping centers anchored primarily by market leading grocers and principally located in suburban trade areas in the most desirable metro areas in the United States. We believe that this strategy will result in highly desirable and attractive centers with best-in-class retailers. These centers should command higher rental and occupancy rates resulting in excellent prospects to grow NOI;</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Create shareholder value by increasing earnings and dividends per share that generate total returns at or near the top of our shopping center peers;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Maintain an industry leading, disciplined development and redevelopment platform to create exceptional retail centers that deliver favorable returns;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Support our business activities with a conservative capital structure, including a strong balance sheet with sufficient liquidity to meet our capital needs together with a carefully constructed debt maturity profile.</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Executing on our Strategy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During the six months ended June 30, 2026, we had Net income attributable to common shareholders of $237.5 million as compared to $208.8 million during the six months ended June 30, 2025.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2026:</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Our Same property NOI grew 4.1%, as compared to the six months ended June 30, 2025, primarily attributable to improvements in base rent and recoveries from increases in year over year occupancy rates, contractual rent steps in existing leases, and positive rent spreads on comparable new and renewal leases.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executed 933 new and renewal leasing transactions representing 3.9 million Pro-rata SF with positive rent spreads of 11.2% during the six months ended June 30, 2026, compared to 944 leasing transactions representing 3.2 million Pro-rata SF with positive rent spreads of 9.1% during the six months ended June 30, 2025. Rent spreads are calculated on all executed leasing transactions for comparable Retail Operating Property spaces, including spaces vacant greater than 12 months.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At June 30, 2026, December 31, 2025, and June 30, 2025, our total property portfolio was 96.5%, 96.1%, and 96.2% leased, respectively. At June 30, 2026, December 31, 2025, and June 30, 2025 our same property portfolio was 96.9%, 96.5%, and 96.5% leased,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continued our development and redevelopment of high-quality shopping centers: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Development and redevelopment projects completed during the six months ended June 30, 2026 represented $62.6 million of estimated net project costs, with an average stabilized yield of 9.6%. A stabilized yield for development and redevelopment projects represents the incremental NOI (estimated stabilized NOI less NOI prior to project commencement) divided by the total project costs.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Pro-rata project costs of our current in process development and redevelopment projects totaled $679.7 million at June 30, 2026, compared to $597.4 million at December 31,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maintained liquidity and financial flexibility to cost effectively fund investment opportunities and debt maturities: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credit rating A- with a stable outlook from S&amp;P Global Ratings, and an A3 rating with a stable outlook from Moody's Investors Service.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On February 18, 2026, the Company issued $450 million aggregate principal amount of senior unsecured notes due 2033 (the “2026 Notes”). The 2026 Notes were issued at 99.376% of par and bear interest at a rate of 4.50% per annum. The net proceeds were used to reduce the outstanding balance on the Line, and the remaining proceeds were used for the repayment of $100 million of 3.81% unsecured private placement notes due May 11, 2026, upon its maturity, as well as for general corporate purposes.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As of June 30, 2026, we had $933.2 million of loans maturing during the next 12 months, including Regency's share of maturities within our unconsolidated real estate partnerships which we intend to refinance or pay-off as they mature.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At June 30, 2026, we had $1.46 billion available on the Line, which expires on March 23, 2028 unless we exercise the available options to extend the expiration for the first of two additional consecutive six-month periods, in which case the term will be extended in accordance with any such option exercise.</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Economic Conditions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Refer to the Estimates, Risks and Uncertainties section in Note 1 — Organization and Significant Accounting Policies, as these risks and uncertainties could have a material impact on future results of operations and trends.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Property Portfolio</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summarizes general information related to the consolidated properties in our portfolio:</w:t>
      </w:r>
    </w:p>
    <w:tbl>
      <w:tblPr>
        <w:tblW w:w="9899" w:type="dxa"/>
        <w:jc w:val="left"/>
        <w:tblInd w:w="0" w:type="dxa"/>
        <w:tblLayout w:type="fixed"/>
        <w:tblCellMar>
          <w:top w:w="28" w:type="dxa"/>
          <w:left w:w="28" w:type="dxa"/>
          <w:bottom w:w="28" w:type="dxa"/>
          <w:right w:w="28" w:type="dxa"/>
        </w:tblCellMar>
      </w:tblPr>
      <w:tblGrid>
        <w:gridCol w:w="6496"/>
        <w:gridCol w:w="225"/>
        <w:gridCol w:w="930"/>
        <w:gridCol w:w="256"/>
        <w:gridCol w:w="146"/>
        <w:gridCol w:w="301"/>
        <w:gridCol w:w="1244"/>
        <w:gridCol w:w="301"/>
      </w:tblGrid>
      <w:tr>
        <w:trPr/>
        <w:tc>
          <w:tcPr>
            <w:tcW w:w="649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(GLA in thousands)</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Properties</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GLA</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Leased – Operating and Development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Leased – Operating</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annual effective rent per square foot ("PSF"), net of tenant concessions.</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general information related to the unconsolidated properties owned in real estate investment partnerships in our portfolio:</w:t>
      </w:r>
    </w:p>
    <w:tbl>
      <w:tblPr>
        <w:tblW w:w="8474" w:type="dxa"/>
        <w:jc w:val="left"/>
        <w:tblInd w:w="0" w:type="dxa"/>
        <w:tblLayout w:type="fixed"/>
        <w:tblCellMar>
          <w:top w:w="28" w:type="dxa"/>
          <w:left w:w="28" w:type="dxa"/>
          <w:bottom w:w="28" w:type="dxa"/>
          <w:right w:w="28" w:type="dxa"/>
        </w:tblCellMar>
      </w:tblPr>
      <w:tblGrid>
        <w:gridCol w:w="5071"/>
        <w:gridCol w:w="225"/>
        <w:gridCol w:w="930"/>
        <w:gridCol w:w="256"/>
        <w:gridCol w:w="146"/>
        <w:gridCol w:w="301"/>
        <w:gridCol w:w="1244"/>
        <w:gridCol w:w="301"/>
      </w:tblGrid>
      <w:tr>
        <w:trPr/>
        <w:tc>
          <w:tcPr>
            <w:tcW w:w="50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(GLA in thousands)</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Properties</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GLA</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Leased – Operating and Development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Leased –Operating</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annual effective rent PSF, net of tenant concessions</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summarizes Pro-rata occupancy rates of our combined consolidated and unconsolidated shopping center portfolio: </w:t>
      </w:r>
    </w:p>
    <w:tbl>
      <w:tblPr>
        <w:tblW w:w="6504" w:type="dxa"/>
        <w:jc w:val="left"/>
        <w:tblInd w:w="0" w:type="dxa"/>
        <w:tblLayout w:type="fixed"/>
        <w:tblCellMar>
          <w:top w:w="28" w:type="dxa"/>
          <w:left w:w="28" w:type="dxa"/>
          <w:bottom w:w="28" w:type="dxa"/>
          <w:right w:w="28" w:type="dxa"/>
        </w:tblCellMar>
      </w:tblPr>
      <w:tblGrid>
        <w:gridCol w:w="2901"/>
        <w:gridCol w:w="297"/>
        <w:gridCol w:w="858"/>
        <w:gridCol w:w="256"/>
        <w:gridCol w:w="146"/>
        <w:gridCol w:w="397"/>
        <w:gridCol w:w="1148"/>
        <w:gridCol w:w="501"/>
      </w:tblGrid>
      <w:tr>
        <w:trPr/>
        <w:tc>
          <w:tcPr>
            <w:tcW w:w="29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 Leased – All Properties</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Anchor Space (spaces ≥ 10,000 SF)</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Shop Space (spaces &lt; 10,000 SF)</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18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summarizes leasing activity, including our Pro-rata share of activity within the portfolio of our real estate partnerships (totals as a weighted average PSF): </w:t>
      </w:r>
    </w:p>
    <w:tbl>
      <w:tblPr>
        <w:tblW w:w="9858" w:type="dxa"/>
        <w:jc w:val="left"/>
        <w:tblInd w:w="0" w:type="dxa"/>
        <w:tblLayout w:type="fixed"/>
        <w:tblCellMar>
          <w:top w:w="28" w:type="dxa"/>
          <w:left w:w="28" w:type="dxa"/>
          <w:bottom w:w="28" w:type="dxa"/>
          <w:right w:w="28" w:type="dxa"/>
        </w:tblCellMar>
      </w:tblPr>
      <w:tblGrid>
        <w:gridCol w:w="2456"/>
        <w:gridCol w:w="146"/>
        <w:gridCol w:w="310"/>
        <w:gridCol w:w="801"/>
        <w:gridCol w:w="146"/>
        <w:gridCol w:w="146"/>
        <w:gridCol w:w="216"/>
        <w:gridCol w:w="759"/>
        <w:gridCol w:w="146"/>
        <w:gridCol w:w="146"/>
        <w:gridCol w:w="245"/>
        <w:gridCol w:w="640"/>
        <w:gridCol w:w="146"/>
        <w:gridCol w:w="146"/>
        <w:gridCol w:w="327"/>
        <w:gridCol w:w="858"/>
        <w:gridCol w:w="146"/>
        <w:gridCol w:w="146"/>
        <w:gridCol w:w="316"/>
        <w:gridCol w:w="825"/>
        <w:gridCol w:w="79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Leasing</w:t>
              <w:b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SF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Base Rent</w:t>
              <w:br/>
              <w:t>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Tenant</w:t>
              <w:br/>
              <w:t>Allowance</w:t>
              <w:br/>
              <w:t>and Landlord</w:t>
              <w:br/>
              <w:t>Work 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Leasing</w:t>
              <w:br/>
              <w:t>Commissions</w:t>
              <w:br/>
              <w:t>PSF</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Anchor Space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Renewal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Anchor Space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Shop Space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Renewal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Shop Space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58" w:type="dxa"/>
        <w:jc w:val="left"/>
        <w:tblInd w:w="0" w:type="dxa"/>
        <w:tblLayout w:type="fixed"/>
        <w:tblCellMar>
          <w:top w:w="28" w:type="dxa"/>
          <w:left w:w="28" w:type="dxa"/>
          <w:bottom w:w="28" w:type="dxa"/>
          <w:right w:w="28" w:type="dxa"/>
        </w:tblCellMar>
      </w:tblPr>
      <w:tblGrid>
        <w:gridCol w:w="2456"/>
        <w:gridCol w:w="146"/>
        <w:gridCol w:w="310"/>
        <w:gridCol w:w="801"/>
        <w:gridCol w:w="146"/>
        <w:gridCol w:w="146"/>
        <w:gridCol w:w="216"/>
        <w:gridCol w:w="759"/>
        <w:gridCol w:w="146"/>
        <w:gridCol w:w="146"/>
        <w:gridCol w:w="245"/>
        <w:gridCol w:w="640"/>
        <w:gridCol w:w="146"/>
        <w:gridCol w:w="146"/>
        <w:gridCol w:w="327"/>
        <w:gridCol w:w="858"/>
        <w:gridCol w:w="146"/>
        <w:gridCol w:w="146"/>
        <w:gridCol w:w="316"/>
        <w:gridCol w:w="825"/>
        <w:gridCol w:w="79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Leasing</w:t>
              <w:b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SF (in</w:t>
              <w:br/>
              <w:t>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Base Rent</w:t>
              <w:br/>
              <w:t>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Tenant</w:t>
              <w:br/>
              <w:t>Allowance</w:t>
              <w:br/>
              <w:t>and Landlord</w:t>
              <w:br/>
              <w:t>Work 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Leasing</w:t>
              <w:br/>
              <w:t>Commissions</w:t>
              <w:br/>
              <w:t>PSF</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Anchor Space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Renewal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Anchor Space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Shop Space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Renewal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Shop Space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4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weighted-average base rent PSF on signed Shop Space leases for the six months ended June 30, 2026 is $41.29 PSF, which is higher than the weighted average annual base rent PSF of all Shop Space leases due to expire during the next 12 months of $39.48 PSF. New and renewal rent spreads, compared to prior rents on these same spaces leased, were positive at 11.2% for the six months ended June 30, 2026, compared to 9.1% for the six months ended June 30, 2025.</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Diversification and Concentration of Tenant Risk</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We seek to reduce our risk by limiting dependence on any single property, market, or tenant. Based on percentage of annualized base rent, the following table summarizes our most significant tenants, of which four of the top five are grocers:</w:t>
      </w:r>
    </w:p>
    <w:tbl>
      <w:tblPr>
        <w:tblW w:w="6632" w:type="dxa"/>
        <w:jc w:val="left"/>
        <w:tblInd w:w="0" w:type="dxa"/>
        <w:tblLayout w:type="fixed"/>
        <w:tblCellMar>
          <w:top w:w="28" w:type="dxa"/>
          <w:left w:w="28" w:type="dxa"/>
          <w:bottom w:w="28" w:type="dxa"/>
          <w:right w:w="28" w:type="dxa"/>
        </w:tblCellMar>
      </w:tblPr>
      <w:tblGrid>
        <w:gridCol w:w="2101"/>
        <w:gridCol w:w="146"/>
        <w:gridCol w:w="318"/>
        <w:gridCol w:w="627"/>
        <w:gridCol w:w="146"/>
        <w:gridCol w:w="146"/>
        <w:gridCol w:w="1246"/>
        <w:gridCol w:w="146"/>
        <w:gridCol w:w="175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Tenant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Percentage of</w:t>
              <w:br/>
              <w:t>Company-</w:t>
              <w:br/>
              <w:t xml:space="preserve">owned GLA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Percentage of</w:t>
              <w:br/>
              <w:t xml:space="preserve">Annual Base Rent </w:t>
            </w:r>
            <w:r>
              <w:rPr>
                <w:rFonts w:ascii="Times New Roman" w:hAnsi="Times New Roman"/>
                <w:b/>
                <w:color w:val="000000"/>
                <w:sz w:val="12"/>
              </w:rPr>
              <w:t>(1)</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TJX Companies,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Albertsons Companies,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Amazon/Whole Foods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Kroger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Regency's Pro-rata share of unconsolidated properties and excludes those owned by anchors.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Bankruptcies and Credit Concerns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management team devotes significant time to researching and monitoring consumer preferences and trends, customer shopping behaviors, changes in delivery methods, shifts to e-commerce, and changing demographics in order to anticipate the challenges and opportunities impacting our industry. We seek to mitigate potentially adverse impacts through maintaining a high quality portfolio, diversifying our geographic and tenant mix, replacing less successful tenants with stronger operators, anchoring our centers with market leading grocery stores that drive customer traffic, and investing in suburban trade areas with compelling demographic populations benefiting from high levels of disposable income.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success of the Company's tenants in operating their businesses and their corresponding ability to pay rent may be influenced by evolving political, economic, trade, tax and immigration policies and macroeconomic uncertainty, and the success of the Company's tenants, in the aggregate, is important to the operating and financial success of the Company. These include, without limitation, changes in trade and tariff policies (as well as potential trade disputes and retaliatory actions by other countries), entry into and termination of treaties and trade agreements, and economic sanctions, as well as global economic conflicts. Additionally, geopolitical and macroeconomic challenges, including the war involving Russia and Ukraine, and conflicts in the Middle East involving the U.S. and its allies, Iran and its allies, and Israel, could adversely impact aspects of the U.S. economy and, therefore, consumer confidence and spending.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Although base rent is derived from long-term lease contracts, tenants that file for bankruptcy generally have the legal right to reject any or all of their leases and close related stores. Any unsecured claim we hold against a bankrupt tenant for unpaid rent might be paid only to the extent that funds are available and only in the same percentage as is paid to all other holders of unsecured claims. As a result, in a tenant bankruptcy situation it is likely that we would recover substantially less than the full value of any unsecured claims we hold. Additionally, we may incur significant expense to adjudicate our claim and significant downtime to re-lease the vacated space. In the event that a tenant with a significant number of leases in our shopping centers files for bankruptcy and rejects its leases, we could experience a significant reduction in our revenues. At June 30, 2026, the tenants who are currently in bankruptcy and continue to occupy space in our shopping centers represent an aggregate of 0.2% of our Pro-rata annual base rent.</w:t>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Comparison of the three months ended June 30, 2026 and 2025:</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Changes in revenues are summarized in the following table:</w:t>
      </w:r>
    </w:p>
    <w:p>
      <w:pPr>
        <w:pStyle w:val="TextBody"/>
        <w:bidi w:val="0"/>
        <w:jc w:val="left"/>
        <w:rPr/>
      </w:pPr>
      <w:r>
        <w:rPr/>
        <w:t> </w:t>
      </w:r>
    </w:p>
    <w:tbl>
      <w:tblPr>
        <w:tblW w:w="7535" w:type="dxa"/>
        <w:jc w:val="left"/>
        <w:tblInd w:w="0" w:type="dxa"/>
        <w:tblLayout w:type="fixed"/>
        <w:tblCellMar>
          <w:top w:w="28" w:type="dxa"/>
          <w:left w:w="28" w:type="dxa"/>
          <w:bottom w:w="28" w:type="dxa"/>
          <w:right w:w="28" w:type="dxa"/>
        </w:tblCellMar>
      </w:tblPr>
      <w:tblGrid>
        <w:gridCol w:w="3336"/>
        <w:gridCol w:w="146"/>
        <w:gridCol w:w="229"/>
        <w:gridCol w:w="809"/>
        <w:gridCol w:w="194"/>
        <w:gridCol w:w="171"/>
        <w:gridCol w:w="171"/>
        <w:gridCol w:w="809"/>
        <w:gridCol w:w="166"/>
        <w:gridCol w:w="146"/>
        <w:gridCol w:w="146"/>
        <w:gridCol w:w="601"/>
        <w:gridCol w:w="61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 from tenants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Percentage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Uncollectible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Straight-line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Above/below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402,798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413,510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lease income increased by $33.7 million primarily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$21.9 million increase in Base rent, primarily driven by the following: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$12.3 million net increase from same properties, including: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$6.1 million net increase due to increases from occupancy, contractual rent steps in existing leases, and positive rental spreads on new and renewal leases;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$3.7 million increase due to redevelopment projects commencing operations;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$2.5 million increase related to the acquisitions of remaining ownership interests, resulting in consolidation of properties previously held in unconsolidated real estate partnerships;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$5.8 million increase from acquisitions of operating properties in 2026 as compared to 2025;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$4.8 million increase from rent commencements at completed development properties; partially offset by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$1.5 million decrease due to dispositions of operating properties.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$12.0 million increase from contractual Recoveries from tenants, which represent their proportionate share of operating, maintenance, insurance, and real estate tax expenses incurred to operate our shopping centers. Recoveries from tenants increased, mainly from the following: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$8.8 million increase primarily driven by higher recoverable operating expenses and higher recovery rates resulting from increased occupancy in the current year and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$3.9 million increase driven by the acquisition of operating properties in 2026 as compared to 2025, and rent commencements at development properties; partially offset by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$0.6 million decrease due to dispositions of operating properties.</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Changes in our operating expenses are summarized in the following table</w:t>
      </w:r>
      <w:r>
        <w:rPr>
          <w:rFonts w:ascii="Times New Roman" w:hAnsi="Times New Roman"/>
          <w:color w:val="000000"/>
          <w:sz w:val="20"/>
        </w:rPr>
        <w:t>:</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2276"/>
        <w:gridCol w:w="146"/>
        <w:gridCol w:w="231"/>
        <w:gridCol w:w="817"/>
        <w:gridCol w:w="172"/>
        <w:gridCol w:w="172"/>
        <w:gridCol w:w="172"/>
        <w:gridCol w:w="817"/>
        <w:gridCol w:w="146"/>
        <w:gridCol w:w="146"/>
        <w:gridCol w:w="146"/>
        <w:gridCol w:w="60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259,338</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Depreciation and amortization increased by $9.3 million, mainly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$5.7 million increase from operating properties acquired and development properties placed in service during the period; and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$3.5 million increase from same properties primarily driven by redevelopment projects placed in service.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Property operating expense increased by $10.2 million, mainly due to the following: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$6.5 million increase from same properties primarily due to higher recoverable common area maintenance and other tenant-related expenses;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$4.4 million increase primarily from operating property acquisitions and development properties; partially offset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$0.7 million decrease due to dispositions of operating properties.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Real estate taxes increased by $2.5 million, mainly due to the acquisitions of operating properties and increases in real estate tax assessments across the same property portfolio.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 and administrative costs increased by $2.1 million, mainly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 million increase in compensation expense driven by salaries and benefits;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 million increase due to changes in the fair value of participant obligations within the deferred compensation plan, which were attributable to changes in the fair values of those investments recognized in Net investment income; partially offset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$1.1 million decrease primarily attributable to lower expenses in communication, professional fees and other general and administrative expenses.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Changes in other expense, net are summarized in the following table:</w:t>
      </w:r>
    </w:p>
    <w:p>
      <w:pPr>
        <w:pStyle w:val="TextBody"/>
        <w:bidi w:val="0"/>
        <w:jc w:val="left"/>
        <w:rPr/>
      </w:pPr>
      <w:r>
        <w:rPr/>
        <w:t> </w:t>
      </w:r>
    </w:p>
    <w:tbl>
      <w:tblPr>
        <w:tblW w:w="7754" w:type="dxa"/>
        <w:jc w:val="left"/>
        <w:tblInd w:w="0" w:type="dxa"/>
        <w:tblLayout w:type="fixed"/>
        <w:tblCellMar>
          <w:top w:w="28" w:type="dxa"/>
          <w:left w:w="28" w:type="dxa"/>
          <w:bottom w:w="28" w:type="dxa"/>
          <w:right w:w="28" w:type="dxa"/>
        </w:tblCellMar>
      </w:tblPr>
      <w:tblGrid>
        <w:gridCol w:w="3586"/>
        <w:gridCol w:w="146"/>
        <w:gridCol w:w="251"/>
        <w:gridCol w:w="772"/>
        <w:gridCol w:w="213"/>
        <w:gridCol w:w="187"/>
        <w:gridCol w:w="187"/>
        <w:gridCol w:w="772"/>
        <w:gridCol w:w="166"/>
        <w:gridCol w:w="146"/>
        <w:gridCol w:w="146"/>
        <w:gridCol w:w="571"/>
        <w:gridCol w:w="6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on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on unsecured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Hedge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53,582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impairment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expense, net, increased by $3.3 million primarily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$5.7 million increase in Interest on notes payable primarily due to net increase in public debt at higher interest rates than previously outstanding notes; partially offset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$1.9 million decrease in Interest on unsecured credit facilities primarily due to carrying a lower weighted average outstanding balance under our Line in 2026 as compared to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Net investment income increased by $1.9 million primarily driven by market volatility, including a $1.6 million increase in returns on investments held in the non-qualified deferred compensation plan and a $0.3 million increase in returns related to other corporate investments.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Equity in income of investments in real estate partnerships increased by $2.4 million mainly due to gains on partial real estate sales recognized at unconsolidated real estate partnerships during the current period.</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The following represents the remaining components that comprise Net income attributable to common shareholders and unit holders</w:t>
      </w:r>
      <w:r>
        <w:rPr>
          <w:rFonts w:ascii="Times New Roman" w:hAnsi="Times New Roman"/>
          <w:color w:val="000000"/>
          <w:sz w:val="20"/>
        </w:rPr>
        <w:t>:</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4861"/>
        <w:gridCol w:w="146"/>
        <w:gridCol w:w="224"/>
        <w:gridCol w:w="790"/>
        <w:gridCol w:w="189"/>
        <w:gridCol w:w="166"/>
        <w:gridCol w:w="224"/>
        <w:gridCol w:w="790"/>
        <w:gridCol w:w="166"/>
        <w:gridCol w:w="146"/>
        <w:gridCol w:w="196"/>
        <w:gridCol w:w="601"/>
        <w:gridCol w:w="61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115,764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114,711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Changes in revenues are summarized in the following table:</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3426"/>
        <w:gridCol w:w="146"/>
        <w:gridCol w:w="209"/>
        <w:gridCol w:w="738"/>
        <w:gridCol w:w="177"/>
        <w:gridCol w:w="156"/>
        <w:gridCol w:w="156"/>
        <w:gridCol w:w="738"/>
        <w:gridCol w:w="166"/>
        <w:gridCol w:w="146"/>
        <w:gridCol w:w="146"/>
        <w:gridCol w:w="601"/>
        <w:gridCol w:w="61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 from tenants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206,794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Percentage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Uncollectible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Straight-line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Above / 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805,411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825,963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Lease income increased by $65.2 million primarily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$42.5 million increase in Base rent, mainly driven by the following: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$23.9 million increase resulting from same properties, including: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$11.0 million increase due to increases from occupancy, contractual rent steps in existing leases, and positive rental spreads on new and renewal leases;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$7.8 million increase due to redevelopment projects that commenced operations;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$5.1 million increase related to the acquisitions of the remaining ownership interests, resulting in consolidation of properties previously held in unconsolidated real estate partnerships;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$13.0 million increase from acquisitions of operating properties in 2026 as compared to 2025 activity;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$8.1 million increase from rent commencements at completed development properties; partially offset by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$3.0 million decrease due to dispositions of operating properties.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$23.8 million increase from contractual Recoveries from tenants, which represent their proportionate share of the operating, maintenance, insurance, and real estate tax expenses incurred to operate our shopping centers. Recoveries from tenants increased, mainly from the following: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$18.3 million increase primarily driven by higher recoverable operating expenses and higher recovery rates resulting from increased occupancy in the current year;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$6.8 million increase driven by the acquisition of operating properties in 2026 as compared to 2025, and rent commencements at development properties; partially offset by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 million decrease due to disposition of operating properties.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$2.6 million increase in Other lease income mainly due to an increase in lease assignment fee income and termination fee income.</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Changes in our operating expenses are summarized in the following table</w:t>
      </w:r>
      <w:r>
        <w:rPr>
          <w:rFonts w:ascii="Times New Roman" w:hAnsi="Times New Roman"/>
          <w:color w:val="000000"/>
          <w:sz w:val="20"/>
        </w:rPr>
        <w:t>:</w:t>
      </w:r>
    </w:p>
    <w:p>
      <w:pPr>
        <w:pStyle w:val="TextBody"/>
        <w:bidi w:val="0"/>
        <w:jc w:val="left"/>
        <w:rPr/>
      </w:pPr>
      <w:r>
        <w:rPr/>
        <w:t> </w:t>
      </w:r>
    </w:p>
    <w:tbl>
      <w:tblPr>
        <w:tblW w:w="6244" w:type="dxa"/>
        <w:jc w:val="left"/>
        <w:tblInd w:w="0" w:type="dxa"/>
        <w:tblLayout w:type="fixed"/>
        <w:tblCellMar>
          <w:top w:w="28" w:type="dxa"/>
          <w:left w:w="28" w:type="dxa"/>
          <w:bottom w:w="28" w:type="dxa"/>
          <w:right w:w="28" w:type="dxa"/>
        </w:tblCellMar>
      </w:tblPr>
      <w:tblGrid>
        <w:gridCol w:w="2276"/>
        <w:gridCol w:w="146"/>
        <w:gridCol w:w="211"/>
        <w:gridCol w:w="745"/>
        <w:gridCol w:w="157"/>
        <w:gridCol w:w="157"/>
        <w:gridCol w:w="157"/>
        <w:gridCol w:w="745"/>
        <w:gridCol w:w="146"/>
        <w:gridCol w:w="146"/>
        <w:gridCol w:w="146"/>
        <w:gridCol w:w="601"/>
        <w:gridCol w:w="61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101,395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517,077</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Depreciation and amortization increased by $18.9 million mainly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$12.7 million increase from operating properties acquired and development properties placed in service during the period; and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$6.3 million increase from same properties primarily driven by redevelopment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Property operating expense increased by $15.0 million, mainly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$11.0 million increase from same properties primarily reflecting higher recoverable common area maintenance and other tenant-related operating costs;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$5.6 million increase in acquisitions of operating properties and development properties placed in service; partially offset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$1.5 million decrease due to disposition of operating properties.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Real estate taxes increased by $7.5 million, mainly due to the acquisition of operating properties and increases in real estate tax assessments across the same property portfolio.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General and administrative costs increased by $6.1 million mainly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$3.2 million increase in compensation costs driven by both salaries and performance-based incentive compensation; and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$2.9 million increase due to changes in the fair value of participant obligations within the deferred compensation plan, which were attributable to changes in the fair values of those investments recognized in Net investment income;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Changes in Other expense, net are summarized in the following table:</w:t>
      </w:r>
    </w:p>
    <w:p>
      <w:pPr>
        <w:pStyle w:val="TextBody"/>
        <w:bidi w:val="0"/>
        <w:jc w:val="left"/>
        <w:rPr/>
      </w:pPr>
      <w:r>
        <w:rPr/>
        <w:t> </w:t>
      </w:r>
    </w:p>
    <w:tbl>
      <w:tblPr>
        <w:tblW w:w="7776" w:type="dxa"/>
        <w:jc w:val="left"/>
        <w:tblInd w:w="0" w:type="dxa"/>
        <w:tblLayout w:type="fixed"/>
        <w:tblCellMar>
          <w:top w:w="28" w:type="dxa"/>
          <w:left w:w="28" w:type="dxa"/>
          <w:bottom w:w="28" w:type="dxa"/>
          <w:right w:w="28" w:type="dxa"/>
        </w:tblCellMar>
      </w:tblPr>
      <w:tblGrid>
        <w:gridCol w:w="3586"/>
        <w:gridCol w:w="146"/>
        <w:gridCol w:w="219"/>
        <w:gridCol w:w="772"/>
        <w:gridCol w:w="185"/>
        <w:gridCol w:w="163"/>
        <w:gridCol w:w="163"/>
        <w:gridCol w:w="672"/>
        <w:gridCol w:w="166"/>
        <w:gridCol w:w="146"/>
        <w:gridCol w:w="146"/>
        <w:gridCol w:w="601"/>
        <w:gridCol w:w="8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111,074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unsecured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Hedge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impairment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94,889</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expense, net increased by $7.5 million primarily due to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$11.7 million increase in Interest on notes payable primarily due to net increase in public debt at higher interest rates than previously outstanding notes; partially offset by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$2.3 million decrease in Interest on unsecured credit facilities primarily due to carrying a lower weighted average outstanding balance under our Line in 2026 as compared to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During the six months ended June 30, 2026, we recognized gain on sale of real estate, net of tax of $7.5 million primarily from the sale of one operating property and three outparcels.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Net investment income increased by $3.4 million primarily driven by market volatility, including a $2.9 million increase in returns on investments held in the non-qualified deferred compensation plan and a $0.5 million increase in returns related to other corporate investments.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Equity in income of investments in real estate partnerships increased by $10.3 million mainly due to $10.3 million in gains on partial real estate sales recognized at unconsolidated real estate partnerships during the current period.</w:t>
      </w:r>
    </w:p>
    <w:p>
      <w:pPr>
        <w:pStyle w:val="TextBody"/>
        <w:bidi w:val="0"/>
        <w:spacing w:before="180" w:after="283"/>
        <w:jc w:val="left"/>
        <w:rPr>
          <w:rFonts w:ascii="Times New Roman" w:hAnsi="Times New Roman"/>
          <w:sz w:val="20"/>
        </w:rPr>
      </w:pPr>
      <w:r>
        <w:rPr>
          <w:rFonts w:ascii="Times New Roman" w:hAnsi="Times New Roman"/>
          <w:color w:val="000000"/>
          <w:sz w:val="20"/>
          <w:u w:val="single"/>
        </w:rPr>
        <w:t>The following represents the remaining components that comprise Net income attributable to common shareholders and unit holders</w:t>
      </w:r>
      <w:r>
        <w:rPr>
          <w:rFonts w:ascii="Times New Roman" w:hAnsi="Times New Roman"/>
          <w:color w:val="000000"/>
          <w:sz w:val="20"/>
        </w:rPr>
        <w:t>:</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4861"/>
        <w:gridCol w:w="146"/>
        <w:gridCol w:w="204"/>
        <w:gridCol w:w="720"/>
        <w:gridCol w:w="173"/>
        <w:gridCol w:w="152"/>
        <w:gridCol w:w="204"/>
        <w:gridCol w:w="720"/>
        <w:gridCol w:w="166"/>
        <w:gridCol w:w="146"/>
        <w:gridCol w:w="196"/>
        <w:gridCol w:w="601"/>
        <w:gridCol w:w="61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252,537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244,313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237,487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common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242,464</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Income attributable to noncontrolling interests and Net income attributable to exchangeable operating partnership units increased by $3.6 million and $3.7 million, respectively, primarily due to the issuance of 2.8 million exchangeable operating partnership units to unrelated third-party sellers in connection with the acquisition of five properties in July 2025.</w:t>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Supplemental Earnings Information on Non-GAAP Financial Measures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use certain non-GAAP financial measures, in addition to certain performance metrics determined under GAAP, as we believe these measures improve the understanding of the operating results. We believe these non-GAAP financial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 We provide Pro-rata financial information because we believe it assists investors and analysts in estimating our economic interest in our consolidated and unconsolidated real estate partnerships, when read in conjunction with our reported results under GAAP. We believe presenting our Pro-rata share of operating results, assets and liabilities, along with other non-GAAP financial measures, may assist in comparing our operating results, assets and liabilities to other REITs. We continually evaluate the usefulness, relevance, limitations, and calculation of our reported non-GAAP measures to determine how best to provide relevant information to the public, and thus such reported non-GAAP financial measures could change. See "Non-GAAP Financial Measures" at the beginning of this Management's Discussion and Analysis.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do not consider non-GAAP financial measures as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including as set forth below. Non-GAAP financial measures should not be relied upon in evaluating the financial condition, results of operations, or future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Same Property NOI (Non-GAAP Financial Measures):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222"/>
        <w:gridCol w:w="786"/>
        <w:gridCol w:w="188"/>
        <w:gridCol w:w="166"/>
        <w:gridCol w:w="166"/>
        <w:gridCol w:w="786"/>
        <w:gridCol w:w="166"/>
        <w:gridCol w:w="146"/>
        <w:gridCol w:w="146"/>
        <w:gridCol w:w="601"/>
        <w:gridCol w:w="256"/>
        <w:gridCol w:w="146"/>
        <w:gridCol w:w="206"/>
        <w:gridCol w:w="728"/>
        <w:gridCol w:w="174"/>
        <w:gridCol w:w="154"/>
        <w:gridCol w:w="154"/>
        <w:gridCol w:w="728"/>
        <w:gridCol w:w="166"/>
        <w:gridCol w:w="146"/>
        <w:gridCol w:w="146"/>
        <w:gridCol w:w="601"/>
        <w:gridCol w:w="597"/>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294,244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585,341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20,106</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Recoveries from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Uncollectible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real estate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414,457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831,373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39,892</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69,533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11,183</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Real estate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52,979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6,012</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Ground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real estate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126,137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257,485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17,285</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Same 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573,888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22,607</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Same property NOI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597"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Same property NOI changed from the following major components: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real estate revenue increased by $19.1 million and $39.9 million, on a net basis, during the three and six months ended June 30, 2026, respectively, as follows: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Base rent increased by $10.3 million and $20.1 million during the three and six months ended June 30, 2026, respectively, due to contractual rent steps in existing leases, positive rental spreads on new and renewal leases, and increases in occupancy, as well as redevelopment projects completing and operating.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Recoveries from tenants increased by $9.4 million and $18.5 million during the three and six months ended June 30, 2026, respectively, due to higher recoverable expenses and increased occupancy and recovery rates.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Other lease income increased by $2.0 million during the six months ended June 30, 2026, due to an increase in lease assignment fee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real estate operating expenses increased by $8.5 million and $17.3 million, on a net basis, during the three and six months ended June 30, 2026, respectively, as follows: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Operating and maintenance increased by $6.6 million and $11.2 million during the three and six months ended June 30, 2026, respectively, primarily due to increases in common area maintenance and other tenant-recoverable costs.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Real estate taxes increased by $6.0 million during the six months ended June 30, 2026, primarily due to an increase in real estate assessments across the portfolio.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Reconciliation of Same Property NOI to Net Income Attributable to Common Shareholders: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3"/>
        <w:gridCol w:w="146"/>
        <w:gridCol w:w="224"/>
        <w:gridCol w:w="793"/>
        <w:gridCol w:w="190"/>
        <w:gridCol w:w="167"/>
        <w:gridCol w:w="167"/>
        <w:gridCol w:w="793"/>
        <w:gridCol w:w="166"/>
        <w:gridCol w:w="146"/>
        <w:gridCol w:w="207"/>
        <w:gridCol w:w="731"/>
        <w:gridCol w:w="175"/>
        <w:gridCol w:w="154"/>
        <w:gridCol w:w="154"/>
        <w:gridCol w:w="731"/>
        <w:gridCol w:w="618"/>
      </w:tblGrid>
      <w:tr>
        <w:trPr/>
        <w:tc>
          <w:tcPr>
            <w:tcW w:w="4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237,487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208,782</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(23,577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108,803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196,309</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47,080</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99,713</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Equity in income of investments in real estate excluded from NOI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28,130</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300,106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596,500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554,471</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Less non-same property NOI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Same property NOI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288,320</w:t>
            </w:r>
          </w:p>
        </w:tc>
        <w:tc>
          <w:tcPr>
            <w:tcW w:w="1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277,646</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573,888</w:t>
            </w:r>
          </w:p>
        </w:tc>
        <w:tc>
          <w:tcPr>
            <w:tcW w:w="1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551,281</w:t>
            </w:r>
          </w:p>
        </w:tc>
        <w:tc>
          <w:tcPr>
            <w:tcW w:w="6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straight-line rental income and expense, net of reserves, above and below market rent amortization, other fees, and noncontrolling interests.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non-NOI income earned and expenses incurred at our unconsolidated real estate partnerships, including those separated out above for our consolidated properties.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revenues and expenses attributable to Non-Same Property, Property in Development, termination fees, corporate activities, and noncontrolling interests.</w:t>
      </w:r>
    </w:p>
    <w:p>
      <w:pPr>
        <w:pStyle w:val="TextBody"/>
        <w:bidi w:val="0"/>
        <w:spacing w:before="180" w:after="180"/>
        <w:jc w:val="left"/>
        <w:rPr>
          <w:rFonts w:ascii="Times New Roman" w:hAnsi="Times New Roman"/>
          <w:b/>
          <w:color w:val="000000"/>
          <w:sz w:val="20"/>
          <w:u w:val="single"/>
        </w:rPr>
      </w:pPr>
      <w:r>
        <w:rPr>
          <w:rFonts w:ascii="Times New Roman" w:hAnsi="Times New Roman"/>
          <w:b/>
          <w:color w:val="000000"/>
          <w:sz w:val="20"/>
          <w:u w:val="single"/>
        </w:rPr>
        <w:t>Nareit FFO, Core Operating Earnings and AFFO (Non-GAAP Financial Measures):</w:t>
      </w:r>
    </w:p>
    <w:p>
      <w:pPr>
        <w:pStyle w:val="TextBody"/>
        <w:bidi w:val="0"/>
        <w:jc w:val="left"/>
        <w:rPr>
          <w:rFonts w:ascii="Times New Roman" w:hAnsi="Times New Roman"/>
          <w:color w:val="000000"/>
          <w:sz w:val="20"/>
        </w:rPr>
      </w:pPr>
      <w:r>
        <w:rPr>
          <w:rFonts w:ascii="Times New Roman" w:hAnsi="Times New Roman"/>
          <w:color w:val="000000"/>
          <w:sz w:val="20"/>
        </w:rPr>
        <w:t>Our reconciliation of net income attributable to common shareholders to Nareit FFO, to Core Operating Earnings, and to AFFO is as follows:</w:t>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740"/>
        <w:gridCol w:w="146"/>
        <w:gridCol w:w="218"/>
        <w:gridCol w:w="769"/>
        <w:gridCol w:w="184"/>
        <w:gridCol w:w="162"/>
        <w:gridCol w:w="162"/>
        <w:gridCol w:w="769"/>
        <w:gridCol w:w="166"/>
        <w:gridCol w:w="146"/>
        <w:gridCol w:w="204"/>
        <w:gridCol w:w="722"/>
        <w:gridCol w:w="173"/>
        <w:gridCol w:w="152"/>
        <w:gridCol w:w="152"/>
        <w:gridCol w:w="722"/>
        <w:gridCol w:w="618"/>
      </w:tblGrid>
      <w:tr>
        <w:trPr/>
        <w:tc>
          <w:tcPr>
            <w:tcW w:w="4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Net income attributable to common shareholders to Nareit FFO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208,782</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Adjustments to reconcile to Nareit FFO: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and amortization (excluding FF&amp;E)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115,156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211,363</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Provision for impairment of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(Gain) Loss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Exchangeable operating partnership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Nareit FFO attributable to common stock and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226,297</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450,565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422,880</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Nareit FFO to Core Operating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Nareit 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226,297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422,880</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Adjustments to reconcile to Core Operating Earnings: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Certain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 xml:space="preserve">Straight-line rent, net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Above/below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and derivative mark-to-market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Core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217,730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434,253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401,668</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Regency's share of unconsolidated investment partnerships, net of amounts attributable to noncontrolling interests.</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pPr>
      <w:r>
        <w:rPr>
          <w:rFonts w:ascii="Times New Roman" w:hAnsi="Times New Roman"/>
          <w:color w:val="000000"/>
          <w:sz w:val="18"/>
        </w:rPr>
        <w:t>Includes the impact of uncollectible straight-line rent of $0.9 million and $0.7 million for the three months ended June 30, 2026 and 2025, respectively, and $3.1 million and $1.1 million for six months ended June 30, 2026 and 2025, respectively.</w:t>
        <w:br/>
      </w:r>
      <w:r>
        <w:rPr>
          <w:color w:val="000000"/>
        </w:rPr>
        <w:t> </w:t>
      </w:r>
    </w:p>
    <w:p>
      <w:pPr>
        <w:pStyle w:val="TextBody"/>
        <w:bidi w:val="0"/>
        <w:spacing w:before="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97" w:type="dxa"/>
        <w:jc w:val="left"/>
        <w:tblInd w:w="0" w:type="dxa"/>
        <w:tblLayout w:type="fixed"/>
        <w:tblCellMar>
          <w:top w:w="28" w:type="dxa"/>
          <w:left w:w="28" w:type="dxa"/>
          <w:bottom w:w="28" w:type="dxa"/>
          <w:right w:w="28" w:type="dxa"/>
        </w:tblCellMar>
      </w:tblPr>
      <w:tblGrid>
        <w:gridCol w:w="4171"/>
        <w:gridCol w:w="146"/>
        <w:gridCol w:w="229"/>
        <w:gridCol w:w="809"/>
        <w:gridCol w:w="194"/>
        <w:gridCol w:w="171"/>
        <w:gridCol w:w="171"/>
        <w:gridCol w:w="809"/>
        <w:gridCol w:w="166"/>
        <w:gridCol w:w="146"/>
        <w:gridCol w:w="209"/>
        <w:gridCol w:w="738"/>
        <w:gridCol w:w="177"/>
        <w:gridCol w:w="156"/>
        <w:gridCol w:w="156"/>
        <w:gridCol w:w="738"/>
        <w:gridCol w:w="5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Core Operating Earnings to AFFO: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Core Operating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434,253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401,668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Adjustments to reconcile to AFFO </w:t>
            </w:r>
            <w:r>
              <w:rPr>
                <w:rFonts w:ascii="Times New Roman" w:hAnsi="Times New Roman"/>
                <w:color w:val="000000"/>
                <w:sz w:val="12"/>
              </w:rPr>
              <w:t>(1)</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(40,823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(67,910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(56,277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Debt cost and derivative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185,340</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382,874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360,715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Regency's share of unconsolidated investment partnerships, net of amounts attributable to noncontrolling interests.</w:t>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Liquidity and Capital Resources</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General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use cash flows generated from operating, investing, and financing activities to strengthen our balance sheet, finance our development and redevelopment projects, fund our investment activities, and maintain financial flexibility. A significant portion of our cash flows from operations is distributed to our common shareholders in the form of dividends in order to maintain our status as a REIT.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Except for $100 million of private placement debt, our Parent Company has no capital commitments other than its guarantees of the commitments of our Operating Partnership. All remaining debt is held by our Operating Partnership, its subsidiaries, or by our real estate partnerships. The Operating Partnership is a guarantor of the $100 million of outstanding debt of our Parent Company, which matures in August 2026 and which we expect to repay at maturity using available liquidity. The Parent Company will from time to time access the capital markets for the purpose of issuing new equity, and will simultaneously contribute all of the offering proceeds to the Operating Partnership in exchange for additional partnership units.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continually assess our available liquidity and our expected cash requirements, including monitoring our tenant rent collections. We have access to and draw on multiple financing sources to fund our operations and our long-term capital needs, including the requirements of our in process and planned developments, redevelopments, other capital expenditures, and the repayment of debt. We expect to meet these needs by using a combination of the following: cash flows from operations after funding our common stock and preferred stock dividends, borrowings from our Line, proceeds from the sale of real estate, mortgage loan and unsecured bank financing, distributions received from our real estate partnerships, and when the capital markets are favorable, proceeds from the sale of equity securities or the issuance of new unsecured debt. We continually evaluate alternative financing options, and we believe we can obtain new financing on reasonable terms, although likely at higher interest rates than that of our debt currently outstanding, due to the current interest rate environment.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actively monitoring market conditions and evaluating strategies to mitigate interest rate risk. These strategies may include the use of interest rate swaps, caps, or forward-starting hedges to lock in rates on future debt issuances or refinancings. We are also prioritizing refinancing of maturing debt with long-duration fixed-rate debt where appropriate, to minimize future exposure to rate volatility.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of June 30, 2026, we had $933.2 million of loans maturing during the next 12 months, including Regency's share of maturities within our unconsolidated real estate partnerships, which we intend to refinance or pay off as they mature. We actively monitor the capital markets and maintain flexibility to access them opportunistically, while proactively managing our debt maturity profile to support a strong balance sheet. We currently expect to address these maturing obligations through a combination of cash flows from operations, refinancing at maturity, available liquidity under our Line, or proceeds from potential property sales.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upon our available cash balance, sources of capital, our current credit ratings, and the number of high quality, unencumbered properties we own, we believe our available capital resources are sufficient to meet our expected capital needs for the next year, although, in the longer term, we can provide no assurances.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to our $186.0 million of unrestricted cash, we have the following additional sources of capital available:</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1966"/>
        <w:gridCol w:w="238"/>
        <w:gridCol w:w="1007"/>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ATM program</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Original offering amount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Available capacity</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Line of credit</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commitment amount</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Available capacity </w:t>
            </w:r>
            <w:r>
              <w:rPr>
                <w:rFonts w:ascii="Times New Roman" w:hAnsi="Times New Roman"/>
                <w:color w:val="000000"/>
                <w:sz w:val="12"/>
              </w:rPr>
              <w:t>(1)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Maturity </w:t>
            </w:r>
            <w:r>
              <w:rPr>
                <w:rFonts w:ascii="Times New Roman" w:hAnsi="Times New Roman"/>
                <w:color w:val="000000"/>
                <w:sz w:val="12"/>
              </w:rPr>
              <w:t>(2)</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March 23, 2028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Net of letters of credit issued against our Line.</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Company has the option to extend the maturity for two additional six-month periods beyond the stated maturity in the table.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declaration of dividends is determined quarterly by, and in the discretion of, our Board of Directors.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While future dividends on shares of our common stock will be determined at the discretion of our Board of Directors, we plan to continue paying an aggregate amount of distributions to our stock and unit holders that, at a minimum, meet the requirements to continue qualifying as a REIT for federal income tax purposes.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historically generated sufficient cash flow from operations to fund our dividend distributions. During the six months ended June 30, 2026 and 2025, we generated cash flows from operating activities of $434.0 million and $405.1 million, respectively, and paid $288.6 million and $263.8 million in dividends to our common and preferred stock and unit holders, in the same respective periods.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currently have development and redevelopment projects in various stages of planning, design and construction, along with a pipeline of potential projects for future development or redevelopment. After funding the July 2026 dividends for our common and preferred stock and Operating Partnership units, we estimate that we will require capital during the next 12 months of approximately $1.4 billion related to leasing commissions, tenant improvements, in-process developments and redevelopments, capital contributions to our real estate partnerships, and repaying maturing debt. These capital requirements may be impacted by increased costs of construction caused by, without limitation, tariffs and inflation affecting materials, labor, and services from third-party contractors and suppliers. Additionally, current volatility in oil prices can further drive up transportation and operational costs, contributing to overall project expenses. We continue to implement mitigation strategies including, but not limited to, entering into fixed cost construction contracts, pre-ordering materials, and other planning efforts. Further, continued challenges from permitting delays and labor and material shortages may extend the time to completion of these projects.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we start new developments or redevelopments, commit to property acquisitions, repay debt with cash, declare future dividends, or repurchase shares of our common stock, our cash requirements will increase. If we refinance maturing debt, our cash requirements will decrease.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endeavor to maintain a high percentage of unencumbered assets which enables us to access the secured and unsecured debt markets cost effectively and to maintain borrowing capacity on the Line. As of June 30, 2026, 88.4% of our consolidated real estate assets were unencumbered.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Line and unsecured debt require that we remain in compliance with various customary financial covenants, which are described in the Consolidated Financial Statements included in our 2025 Form 10-K. We were in compliance with these covenants at June 30, 2026, and expect to remain in compliance. </w:t>
      </w:r>
    </w:p>
    <w:p>
      <w:pPr>
        <w:pStyle w:val="TextBody"/>
        <w:bidi w:val="0"/>
        <w:spacing w:before="180" w:after="283"/>
        <w:jc w:val="left"/>
        <w:rPr>
          <w:rFonts w:ascii="Times New Roman" w:hAnsi="Times New Roman"/>
          <w:color w:val="000000"/>
          <w:sz w:val="20"/>
          <w:u w:val="single"/>
        </w:rPr>
      </w:pPr>
      <w:r>
        <w:rPr>
          <w:rFonts w:ascii="Times New Roman" w:hAnsi="Times New Roman"/>
          <w:color w:val="000000"/>
          <w:sz w:val="20"/>
          <w:u w:val="single"/>
        </w:rPr>
        <w:t>Summary of Cash Flow Activity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net cash flows related to operating, investing, and financing activities of the Company:</w:t>
      </w:r>
    </w:p>
    <w:p>
      <w:pPr>
        <w:pStyle w:val="TextBody"/>
        <w:bidi w:val="0"/>
        <w:jc w:val="left"/>
        <w:rPr/>
      </w:pPr>
      <w:r>
        <w:rPr/>
        <w:t> </w:t>
      </w:r>
    </w:p>
    <w:tbl>
      <w:tblPr>
        <w:tblW w:w="8488" w:type="dxa"/>
        <w:jc w:val="left"/>
        <w:tblInd w:w="0" w:type="dxa"/>
        <w:tblLayout w:type="fixed"/>
        <w:tblCellMar>
          <w:top w:w="28" w:type="dxa"/>
          <w:left w:w="28" w:type="dxa"/>
          <w:bottom w:w="28" w:type="dxa"/>
          <w:right w:w="28" w:type="dxa"/>
        </w:tblCellMar>
      </w:tblPr>
      <w:tblGrid>
        <w:gridCol w:w="4496"/>
        <w:gridCol w:w="197"/>
        <w:gridCol w:w="757"/>
        <w:gridCol w:w="167"/>
        <w:gridCol w:w="147"/>
        <w:gridCol w:w="147"/>
        <w:gridCol w:w="757"/>
        <w:gridCol w:w="166"/>
        <w:gridCol w:w="146"/>
        <w:gridCol w:w="146"/>
        <w:gridCol w:w="751"/>
        <w:gridCol w:w="611"/>
      </w:tblGrid>
      <w:tr>
        <w:trPr/>
        <w:tc>
          <w:tcPr>
            <w:tcW w:w="44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434,030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(143,920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change in cash, cash equivalents, and restricted cash</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70,953</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(21,982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191,614</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u w:val="single"/>
        </w:rPr>
      </w:pPr>
      <w:r>
        <w:rPr>
          <w:rFonts w:ascii="Times New Roman" w:hAnsi="Times New Roman"/>
          <w:i/>
          <w:color w:val="000000"/>
          <w:sz w:val="20"/>
          <w:u w:val="single"/>
        </w:rPr>
        <w:t>Net cash provided by operating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Net cash provided by operating activities increased $29.0 million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$28.6 million increase in cash from operations due to the timing of receipts and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$0.4 million increase in operating cash flow distributions from Investments in real estate partnerships.</w:t>
      </w:r>
    </w:p>
    <w:p>
      <w:pPr>
        <w:pStyle w:val="TextBody"/>
        <w:bidi w:val="0"/>
        <w:spacing w:before="180" w:after="283"/>
        <w:jc w:val="left"/>
        <w:rPr>
          <w:rFonts w:ascii="Times New Roman" w:hAnsi="Times New Roman"/>
          <w:i/>
          <w:color w:val="000000"/>
          <w:sz w:val="20"/>
          <w:u w:val="single"/>
        </w:rPr>
      </w:pPr>
      <w:r>
        <w:rPr>
          <w:rFonts w:ascii="Times New Roman" w:hAnsi="Times New Roman"/>
          <w:i/>
          <w:color w:val="000000"/>
          <w:sz w:val="20"/>
          <w:u w:val="single"/>
        </w:rPr>
        <w:t>Net cash used in investing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Net cash used in investing activities changed by $153.5 million as follows:</w:t>
      </w:r>
    </w:p>
    <w:p>
      <w:pPr>
        <w:pStyle w:val="TextBody"/>
        <w:bidi w:val="0"/>
        <w:jc w:val="left"/>
        <w:rPr/>
      </w:pPr>
      <w:r>
        <w:rPr/>
        <w:t> </w:t>
      </w:r>
    </w:p>
    <w:tbl>
      <w:tblPr>
        <w:tblW w:w="9398" w:type="dxa"/>
        <w:jc w:val="left"/>
        <w:tblInd w:w="0" w:type="dxa"/>
        <w:tblLayout w:type="fixed"/>
        <w:tblCellMar>
          <w:top w:w="28" w:type="dxa"/>
          <w:left w:w="28" w:type="dxa"/>
          <w:bottom w:w="28" w:type="dxa"/>
          <w:right w:w="28" w:type="dxa"/>
        </w:tblCellMar>
      </w:tblPr>
      <w:tblGrid>
        <w:gridCol w:w="5466"/>
        <w:gridCol w:w="197"/>
        <w:gridCol w:w="757"/>
        <w:gridCol w:w="167"/>
        <w:gridCol w:w="147"/>
        <w:gridCol w:w="147"/>
        <w:gridCol w:w="757"/>
        <w:gridCol w:w="166"/>
        <w:gridCol w:w="146"/>
        <w:gridCol w:w="146"/>
        <w:gridCol w:w="691"/>
        <w:gridCol w:w="611"/>
      </w:tblGrid>
      <w:tr>
        <w:trPr/>
        <w:tc>
          <w:tcPr>
            <w:tcW w:w="54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operating real estate, net of cash acquired of $787 in 2025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development and capital improvements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real estate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property insurance casualty claims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notes receivable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Collection of notes receivable</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real estate partnerships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Return of capital from investments in real estate partnerships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40,914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on investment securities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investment securities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investment securities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(219,157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Significant changes in investing activities include: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paid $32.8 million in 2026 to purchase one operating property, one property for redevelopment and two operating outparcels. We paid $83.3 million in 2025 to purchase three operating properties and one operating outparcel.</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During 2026, we invested $7.3 million more on real estate development and capital improvements than the comparable prior year period, as further detailed in a table below.</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sold one operating property and three land parcels in 2026 for net proceeds of $13.9 million compared to one operating property in 2025 for net proceeds of $7.2 million.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received property insurance claim proceeds of $3.3 million in 2026.</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Investments in real estate partnerships: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2026, we invested $35.1 million, including $21.8 million to fund our share of debt repayments, $7.5 million to fund our share of a property acquisition, and $5.3 million to fund our share of development and redevelopment activities.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2025, we invested $6.2 million, including $3.2 million to fund our share of a property acquisition, and $3.0 million to fund our share of development and redevelopment activities.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Return of capital from our unconsolidated investments in real estate partnerships includes sales or financing proceeds.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During 2026, we received $40.9 million from our share of proceeds from debt financing activities, a property disposition, and outparcel sales.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Purchase of investment securities and proceeds from sale of investment securities pertaining to investment activities held in our captive insurance company and our deferred compensation plan, as well as: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During 2025, we invested approximately $90 million in commercial time deposits with proceeds received from the May 2025 public offering of senior unsecured notes. These commercial time deposits were subsequently settled at maturity during the third and fourth quarters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plan to continue developing and redeveloping shopping centers for long-term investment. During the six months ended June 30, 2026, we deployed capital of $212.0 million for the development, redevelopment, and capital improvement of our real estate properties, comprised of the following:</w:t>
      </w:r>
    </w:p>
    <w:p>
      <w:pPr>
        <w:pStyle w:val="TextBody"/>
        <w:bidi w:val="0"/>
        <w:jc w:val="left"/>
        <w:rPr/>
      </w:pPr>
      <w:r>
        <w:rPr/>
        <w:t> </w:t>
      </w:r>
    </w:p>
    <w:tbl>
      <w:tblPr>
        <w:tblW w:w="8023" w:type="dxa"/>
        <w:jc w:val="left"/>
        <w:tblInd w:w="0" w:type="dxa"/>
        <w:tblLayout w:type="fixed"/>
        <w:tblCellMar>
          <w:top w:w="28" w:type="dxa"/>
          <w:left w:w="28" w:type="dxa"/>
          <w:bottom w:w="28" w:type="dxa"/>
          <w:right w:w="28" w:type="dxa"/>
        </w:tblCellMar>
      </w:tblPr>
      <w:tblGrid>
        <w:gridCol w:w="4161"/>
        <w:gridCol w:w="211"/>
        <w:gridCol w:w="745"/>
        <w:gridCol w:w="157"/>
        <w:gridCol w:w="157"/>
        <w:gridCol w:w="157"/>
        <w:gridCol w:w="745"/>
        <w:gridCol w:w="146"/>
        <w:gridCol w:w="146"/>
        <w:gridCol w:w="146"/>
        <w:gridCol w:w="661"/>
        <w:gridCol w:w="591"/>
      </w:tblGrid>
      <w:tr>
        <w:trPr/>
        <w:tc>
          <w:tcPr>
            <w:tcW w:w="4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Land acquisitions -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land &amp; improvements - Redevelopment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Building and tenant improvements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Redevelopment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50,352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Development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direct compensation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Real estate development and capital improvements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212,003</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acquired one property for development and one property for redevelopment in 2026.</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Building and tenant improvements increased $7.6 million in 2026, primarily related to the timing and volume of capital projects.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Redevelopment costs are lower than the prior year. We intend to continuously improve our portfolio of shopping centers through redevelopment which can include adjacent land acquisition, existing building expansions, facade renovations, new out-parcel building construction, and redevelopments related to tenant improvement costs. The size and magnitude of each redevelopment project varies with each redevelopment plan. The timing and duration of these projects could also result in volatility in NOI. See the tables below for more details about our redevelopment projects.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Development costs are lower in 2026 due to the progress towards completion of our development projects in process. See the tables below for more details about our development projects.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Interest is capitalized on our development and redevelopment projects and is based on cumulative actual costs incurred. We cease interest capitalization when the property is no longer being developed or is available for occupancy upon substantial completion of tenant improvements, but in no event would we capitalize interest on the project beyond 12 months after the anchor tenant opens for business. If we reduce our development and redevelopment activity, the amount of interest that we capitalize may be lower than historical averages.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We have a dedicated staff of employees who directly support our development program, which includes redevelopment of our existing properties. Internal compensation costs directly attributable to these activities are capitalized as part of each project.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our development projects in-process and completed: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18"/>
        <w:gridCol w:w="226"/>
        <w:gridCol w:w="1052"/>
        <w:gridCol w:w="146"/>
        <w:gridCol w:w="921"/>
        <w:gridCol w:w="146"/>
        <w:gridCol w:w="535"/>
        <w:gridCol w:w="146"/>
        <w:gridCol w:w="1021"/>
        <w:gridCol w:w="146"/>
        <w:gridCol w:w="264"/>
        <w:gridCol w:w="934"/>
        <w:gridCol w:w="146"/>
        <w:gridCol w:w="146"/>
        <w:gridCol w:w="308"/>
        <w:gridCol w:w="607"/>
        <w:gridCol w:w="241"/>
        <w:gridCol w:w="146"/>
        <w:gridCol w:w="152"/>
        <w:gridCol w:w="392"/>
        <w:gridCol w:w="146"/>
        <w:gridCol w:w="146"/>
        <w:gridCol w:w="160"/>
        <w:gridCol w:w="564"/>
        <w:gridCol w:w="396"/>
      </w:tblGrid>
      <w:tr>
        <w:trPr/>
        <w:tc>
          <w:tcPr>
            <w:tcW w:w="111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 thousands, except cost PSF)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Name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Ownership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Start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Estimated</w:t>
              <w:br/>
              <w:t>Stabilization</w:t>
              <w:br/>
              <w:t xml:space="preserve">Year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Estimated / Actual Net</w:t>
              <w:br/>
              <w:t>Development</w:t>
              <w:br/>
              <w:t xml:space="preserve">Costs </w:t>
            </w:r>
            <w:r>
              <w:rPr>
                <w:rFonts w:ascii="Times New Roman" w:hAnsi="Times New Roman"/>
                <w:b/>
                <w:color w:val="000000"/>
                <w:sz w:val="11"/>
              </w:rPr>
              <w:t>(1)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Costs Incurred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GLA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 PSF</w:t>
              <w:br/>
              <w:t xml:space="preserve">of GLA </w:t>
            </w:r>
            <w:r>
              <w:rPr>
                <w:rFonts w:ascii="Times New Roman" w:hAnsi="Times New Roman"/>
                <w:b/>
                <w:color w:val="000000"/>
                <w:sz w:val="11"/>
              </w:rPr>
              <w:t>(1) (3)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Developments 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Sienna Grande Shops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Houston, 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Shops at SunVet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Long Island,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Village at Seven Pines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Jacksonville, 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Ellis Village Center - Phase 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Bay Area,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Culver Commons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 Angeles,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Lone Tree Village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Denver,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Oak Valley Village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 Angeles,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Berkeley at Durbin Park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Jacksonville,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Developments 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393,903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3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3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ind w:left="0" w:right="0" w:firstLine="80"/>
              <w:jc w:val="left"/>
              <w:rPr/>
            </w:pPr>
            <w:r>
              <w:rPr/>
              <w:t> </w:t>
            </w:r>
          </w:p>
        </w:tc>
      </w:tr>
      <w:tr>
        <w:trPr/>
        <w:tc>
          <w:tcPr>
            <w:tcW w:w="111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Developments Completed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Oakley Shops at Laurel Fields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Bay Area,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Developments Completed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3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Estimated net development costs and GLA are reported based on Regency’s ownership interest in the real estate partnership at completion.</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Estimated Stabilization Year represents the estimated first full calendar year that the project will reach our expected stabilized yield.</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leasing costs and is net of tenant reimbursements.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summarizes our redevelopment projects in process and completed: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9"/>
        <w:gridCol w:w="146"/>
        <w:gridCol w:w="1131"/>
        <w:gridCol w:w="146"/>
        <w:gridCol w:w="972"/>
        <w:gridCol w:w="146"/>
        <w:gridCol w:w="763"/>
        <w:gridCol w:w="146"/>
        <w:gridCol w:w="1720"/>
        <w:gridCol w:w="146"/>
        <w:gridCol w:w="254"/>
        <w:gridCol w:w="898"/>
        <w:gridCol w:w="146"/>
        <w:gridCol w:w="146"/>
        <w:gridCol w:w="396"/>
        <w:gridCol w:w="779"/>
        <w:gridCol w:w="491"/>
      </w:tblGrid>
      <w:tr>
        <w:trPr/>
        <w:tc>
          <w:tcPr>
            <w:tcW w:w="1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Ownership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Estimated Stabilization Year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Estimated Net</w:t>
              <w:br/>
              <w:t xml:space="preserve">Project Costs </w:t>
            </w:r>
            <w:r>
              <w:rPr>
                <w:rFonts w:ascii="Times New Roman" w:hAnsi="Times New Roman"/>
                <w:b/>
                <w:color w:val="000000"/>
                <w:sz w:val="11"/>
              </w:rPr>
              <w:t>(1)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Costs Incurred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Redevelopments 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Bloom on Third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Los Angeles, 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Serramonte Center - Phase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West Chester Plaza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Cincinnati, OH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Willows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Bay Area,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Crossing Clarendon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Metro 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East Meadow Plaza - Phase 2A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Long Island,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Crystal Brook Corner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Long Island, 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Ryanwood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Palm Beach,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Various Redevelopments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Redevelopments 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285,834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4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6"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Redevelopments Completed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East Meadow Plaza - Phase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Long Island,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Various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Various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Redevelopments Completed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4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Estimated net development costs are reported based on Regency’s ownership interest in the real estate partnership at completion.</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Estimated Stabilization Year represents the estimated first full calendar year that the project will reach our expected stabilized yield.</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Includes leasing costs and is net of tenant reimbursements.</w:t>
      </w:r>
    </w:p>
    <w:p>
      <w:pPr>
        <w:pStyle w:val="TextBody"/>
        <w:bidi w:val="0"/>
        <w:spacing w:before="180" w:after="283"/>
        <w:jc w:val="left"/>
        <w:rPr>
          <w:rFonts w:ascii="Times New Roman" w:hAnsi="Times New Roman"/>
          <w:i/>
          <w:color w:val="000000"/>
          <w:sz w:val="20"/>
          <w:u w:val="single"/>
        </w:rPr>
      </w:pPr>
      <w:r>
        <w:rPr>
          <w:rFonts w:ascii="Times New Roman" w:hAnsi="Times New Roman"/>
          <w:i/>
          <w:color w:val="000000"/>
          <w:sz w:val="20"/>
          <w:u w:val="single"/>
        </w:rPr>
        <w:t>Net cash (used in) provided by financing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Net cash flows used in financing activities increased by $204.5 million during 2026, as follows:</w:t>
      </w:r>
    </w:p>
    <w:p>
      <w:pPr>
        <w:pStyle w:val="TextBody"/>
        <w:bidi w:val="0"/>
        <w:jc w:val="left"/>
        <w:rPr/>
      </w:pPr>
      <w:r>
        <w:rPr/>
        <w:t> </w:t>
      </w:r>
    </w:p>
    <w:tbl>
      <w:tblPr>
        <w:tblW w:w="9563" w:type="dxa"/>
        <w:jc w:val="left"/>
        <w:tblInd w:w="0" w:type="dxa"/>
        <w:tblLayout w:type="fixed"/>
        <w:tblCellMar>
          <w:top w:w="28" w:type="dxa"/>
          <w:left w:w="28" w:type="dxa"/>
          <w:bottom w:w="28" w:type="dxa"/>
          <w:right w:w="28" w:type="dxa"/>
        </w:tblCellMar>
      </w:tblPr>
      <w:tblGrid>
        <w:gridCol w:w="5571"/>
        <w:gridCol w:w="197"/>
        <w:gridCol w:w="757"/>
        <w:gridCol w:w="167"/>
        <w:gridCol w:w="147"/>
        <w:gridCol w:w="147"/>
        <w:gridCol w:w="757"/>
        <w:gridCol w:w="166"/>
        <w:gridCol w:w="146"/>
        <w:gridCol w:w="146"/>
        <w:gridCol w:w="751"/>
        <w:gridCol w:w="611"/>
      </w:tblGrid>
      <w:tr>
        <w:trPr/>
        <w:tc>
          <w:tcPr>
            <w:tcW w:w="55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 on stock-based compensation</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exchangeable operating partnership units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treasury stock</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noncontrolling interests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and redemptions of noncontrolling interests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exchangeable operating partnership unit holders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to common shareholders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(275,936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to preferred shareholders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fixed rate unsecured notes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fixed rate unsecured notes, net of debt discount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447,192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unsecured credit facilities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unsecured credit facilities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notes payable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notes payable</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Scheduled principal payments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financing costs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(143,920</w:t>
            </w:r>
          </w:p>
        </w:tc>
        <w:tc>
          <w:tcPr>
            <w:tcW w:w="1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(204,469</w:t>
            </w:r>
          </w:p>
        </w:tc>
        <w:tc>
          <w:tcPr>
            <w:tcW w:w="6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Significant changes in financing activities during the six months ended June 30, 2026 and 2025, include the following: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taxes withheld in conjunction with vesting of equity award plans to satisfy employee tax withholding requirements totaled $9.1 million and $6.8 million during 2026 and 2025, respectively.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During 2025, we paid $2.0 million for the redemption of exchangeable operating partnership units.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During 2026, we received $2.3 million in contributions from noncontrolling interests, representing the limited partners' respective shares of development funding. During 2025, we received $8.4 million in contributions from noncontrolling interests, representing the limited partners' share of development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During 2026, we distributed $7.4 million to limited partners, including proceeds to partially redeem the non-controlling interest in two real estate partnerships. During 2025, we distributed $6.1 million to limited partners, including proceeds to partially redeem a non-controlling interest in one real estate partnership.</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paid $24.7 million more in dividends and exchangeable operating partnership unit distributions during the six months ended June 30, 2026, including $18.2 million attributable to the higher dividend rate per share and $6.5 million attributable to the increase in common shares and operating partnership units outstanding.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had the following debt related activity during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repaid $100.0 million in unsecured private placement debt,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received $447.2 million in proceeds from issuing unsecured public debt,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repaid a net $90.0 million on our Line,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paid $94.4 million for debt repayments, including: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$88.0 million for repaying one mortgage loan at maturity,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$6.4 million in principal mortgage payments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paid $4.1 million in loan costs relating to the unsecured public debt offering.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had the following debt related activity during 2025: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received $397.1 million in proceeds from issuing unsecured public debt,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repaid a net $35.0 million on our Line,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received $10.0 million in proceeds from a mortgage refinancing,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paid $37.8 million for debt repayments, including:</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$32.8 million for repaying two mortgage loans at maturity,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$5.1 million in principal mortgage payments.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paid $3.8 million in loan costs relating to the unsecured public debt offering.</w:t>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Investments in Real Estate Partnerships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is a summary of the unconsolidated combined assets and liabilities of our real estate partnerships and our Pro-rata share:</w:t>
      </w:r>
    </w:p>
    <w:tbl>
      <w:tblPr>
        <w:tblW w:w="9989" w:type="dxa"/>
        <w:jc w:val="left"/>
        <w:tblInd w:w="0" w:type="dxa"/>
        <w:tblLayout w:type="fixed"/>
        <w:tblCellMar>
          <w:top w:w="28" w:type="dxa"/>
          <w:left w:w="28" w:type="dxa"/>
          <w:bottom w:w="28" w:type="dxa"/>
          <w:right w:w="28" w:type="dxa"/>
        </w:tblCellMar>
      </w:tblPr>
      <w:tblGrid>
        <w:gridCol w:w="3136"/>
        <w:gridCol w:w="146"/>
        <w:gridCol w:w="221"/>
        <w:gridCol w:w="934"/>
        <w:gridCol w:w="146"/>
        <w:gridCol w:w="146"/>
        <w:gridCol w:w="232"/>
        <w:gridCol w:w="1313"/>
        <w:gridCol w:w="146"/>
        <w:gridCol w:w="146"/>
        <w:gridCol w:w="255"/>
        <w:gridCol w:w="900"/>
        <w:gridCol w:w="166"/>
        <w:gridCol w:w="146"/>
        <w:gridCol w:w="268"/>
        <w:gridCol w:w="1277"/>
        <w:gridCol w:w="4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Combined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Regency's Share</w:t>
            </w:r>
            <w:r>
              <w:rPr>
                <w:rFonts w:ascii="Times New Roman" w:hAnsi="Times New Roman"/>
                <w:color w:val="000000"/>
                <w:sz w:val="18"/>
              </w:rPr>
              <w:t> </w:t>
            </w:r>
            <w:r>
              <w:rPr>
                <w:rFonts w:ascii="Times New Roman" w:hAnsi="Times New Roman"/>
                <w:b/>
                <w:color w:val="000000"/>
                <w:sz w:val="12"/>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 thousands, except number of real estate </w:t>
              <w:br/>
              <w:t>partnerships and number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real estate partnerships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Regency's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 - 83%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 - 83%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2,710,838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2,667,271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971,786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580,274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7" w:type="dxa"/>
            <w:gridSpan w:val="4"/>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Basis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37"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362,810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349,856</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Pro-rata financial information is not, and is not intended to be, a presentation in accordance with GAAP. However, management believes that providing such information is useful to investors in assessing the impact of our investments in real estate partnership activities on our operations, which includes such items on a single line presentation under the equity method in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Our equity method investments in real estate partnerships consist of the following:</w:t>
      </w:r>
    </w:p>
    <w:tbl>
      <w:tblPr>
        <w:tblW w:w="9352" w:type="dxa"/>
        <w:jc w:val="left"/>
        <w:tblInd w:w="0" w:type="dxa"/>
        <w:tblLayout w:type="fixed"/>
        <w:tblCellMar>
          <w:top w:w="28" w:type="dxa"/>
          <w:left w:w="28" w:type="dxa"/>
          <w:bottom w:w="28" w:type="dxa"/>
          <w:right w:w="28" w:type="dxa"/>
        </w:tblCellMar>
      </w:tblPr>
      <w:tblGrid>
        <w:gridCol w:w="3706"/>
        <w:gridCol w:w="146"/>
        <w:gridCol w:w="1771"/>
        <w:gridCol w:w="146"/>
        <w:gridCol w:w="255"/>
        <w:gridCol w:w="900"/>
        <w:gridCol w:w="146"/>
        <w:gridCol w:w="146"/>
        <w:gridCol w:w="341"/>
        <w:gridCol w:w="1204"/>
        <w:gridCol w:w="5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Regency's 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GRI - Regency, LLC (GRIR)</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Columbia Regency Partners II, LLC (Columbia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60,354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Columbia Village District,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Individual Investors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Ballard Blocks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Bloom on Third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 - 83%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Investment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Effective January 1, 2026, the Company purchased its partner's ownership interest in a property held within this unconsolidated real estate partnership. Upon acquisition, this property was consolidated into Regency's financial statements.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Notes Payable - Investments in Real Estate Partnerships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Scheduled principal repayments on notes payable held by our investments in real estate partnerships were as follows:</w:t>
      </w:r>
    </w:p>
    <w:tbl>
      <w:tblPr>
        <w:tblW w:w="10205" w:type="dxa"/>
        <w:jc w:val="left"/>
        <w:tblInd w:w="0" w:type="dxa"/>
        <w:tblLayout w:type="fixed"/>
        <w:tblCellMar>
          <w:top w:w="28" w:type="dxa"/>
          <w:left w:w="28" w:type="dxa"/>
          <w:bottom w:w="28" w:type="dxa"/>
          <w:right w:w="28" w:type="dxa"/>
        </w:tblCellMar>
      </w:tblPr>
      <w:tblGrid>
        <w:gridCol w:w="3978"/>
        <w:gridCol w:w="146"/>
        <w:gridCol w:w="221"/>
        <w:gridCol w:w="680"/>
        <w:gridCol w:w="146"/>
        <w:gridCol w:w="146"/>
        <w:gridCol w:w="146"/>
        <w:gridCol w:w="826"/>
        <w:gridCol w:w="166"/>
        <w:gridCol w:w="146"/>
        <w:gridCol w:w="181"/>
        <w:gridCol w:w="750"/>
        <w:gridCol w:w="146"/>
        <w:gridCol w:w="146"/>
        <w:gridCol w:w="146"/>
        <w:gridCol w:w="826"/>
        <w:gridCol w:w="166"/>
        <w:gridCol w:w="146"/>
        <w:gridCol w:w="154"/>
        <w:gridCol w:w="732"/>
        <w:gridCol w:w="211"/>
      </w:tblGrid>
      <w:tr>
        <w:trPr/>
        <w:tc>
          <w:tcPr>
            <w:tcW w:w="3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Scheduled Principal Payments and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Principal</w:t>
              <w:br/>
              <w:t>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w:t>
              <w:br/>
              <w:t>Loan</w:t>
              <w:br/>
              <w:t>Maturities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Unsecured</w:t>
              <w:b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Regency’s</w:t>
              <w:br/>
              <w:t>Pro-Rata</w:t>
              <w:br/>
              <w:t>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2026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Beyond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unamortized loan costs, debt premium /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540,503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Reflects scheduled principal payments and maturities for the remainder of the year.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June 30, 2026, our investments in unconsolidated real estate partnerships had notes payable of $1.5 billion maturing through 2034, of which 94.9% had a weighted average fixed interest rate of 4.2%. The remaining notes payable float with SOFR and had a weighted average variable interest rate of 5.9%, based on rates as of June 30, 2026. These fixed and variable rate notes payable are all non-recourse, and our Pro-rata share was $540.5 million as of June 30, 2026. As notes payable mature, they will be repaid from proceeds from new borrowings and/or capital contributions.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obligated to contribute our Pro-rata share to fund maturities if the loans are not refinanced, and we have the capacity to do so from existing cash balances, availability on our Line, and operating cash flows. We believe that our partners are financially sound and have sufficient capital or access thereto to fund future capital requirements. In the event that a real estate investment partner is unable to fund its share of the capital requirements of the real estate partnership, we would have the right, but not the obligation, to loan the defaulting partner the amount of its capital call which would be secured by the partner's membership interest.</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Management fee income</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In addition to earning our share of net income or loss in each of these real estate partnerships, we recognized fees as follows:</w:t>
      </w:r>
    </w:p>
    <w:tbl>
      <w:tblPr>
        <w:tblW w:w="8159" w:type="dxa"/>
        <w:jc w:val="left"/>
        <w:tblInd w:w="0" w:type="dxa"/>
        <w:tblLayout w:type="fixed"/>
        <w:tblCellMar>
          <w:top w:w="28" w:type="dxa"/>
          <w:left w:w="28" w:type="dxa"/>
          <w:bottom w:w="28" w:type="dxa"/>
          <w:right w:w="28" w:type="dxa"/>
        </w:tblCellMar>
      </w:tblPr>
      <w:tblGrid>
        <w:gridCol w:w="2971"/>
        <w:gridCol w:w="146"/>
        <w:gridCol w:w="282"/>
        <w:gridCol w:w="736"/>
        <w:gridCol w:w="210"/>
        <w:gridCol w:w="210"/>
        <w:gridCol w:w="210"/>
        <w:gridCol w:w="736"/>
        <w:gridCol w:w="146"/>
        <w:gridCol w:w="146"/>
        <w:gridCol w:w="232"/>
        <w:gridCol w:w="712"/>
        <w:gridCol w:w="173"/>
        <w:gridCol w:w="173"/>
        <w:gridCol w:w="173"/>
        <w:gridCol w:w="712"/>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Management, transaction, and other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b/>
          <w:color w:val="000000"/>
          <w:sz w:val="20"/>
          <w:u w:val="single"/>
        </w:rPr>
      </w:pPr>
      <w:r>
        <w:rPr>
          <w:rFonts w:ascii="Times New Roman" w:hAnsi="Times New Roman"/>
          <w:b/>
          <w:color w:val="000000"/>
          <w:sz w:val="20"/>
          <w:u w:val="single"/>
        </w:rPr>
        <w:t>Critical Accounting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Estimates from the information provided in the "Critical Accounting Estimates" section of "Item 7. Management's Discussion and Analysis of Financial Condition and Results of Operations" in our Form 10-K.</w:t>
      </w:r>
    </w:p>
    <w:p>
      <w:pPr>
        <w:pStyle w:val="TextBody"/>
        <w:bidi w:val="0"/>
        <w:spacing w:before="180" w:after="283"/>
        <w:jc w:val="left"/>
        <w:rPr>
          <w:rFonts w:ascii="Times New Roman" w:hAnsi="Times New Roman"/>
          <w:b/>
          <w:color w:val="000000"/>
          <w:sz w:val="20"/>
        </w:rPr>
      </w:pPr>
      <w:bookmarkStart w:id="16" w:name="item_3"/>
      <w:bookmarkEnd w:id="16"/>
      <w:r>
        <w:rPr>
          <w:rFonts w:ascii="Times New Roman" w:hAnsi="Times New Roman"/>
          <w:b/>
          <w:color w:val="000000"/>
          <w:sz w:val="20"/>
        </w:rPr>
        <w:t>Item 3. Quantitative and Qualitative Disclosures about Market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exposed to two significant components of interest rate risk:</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Under the Line, we have a variable interest rate that, as of June 30, 2026, was based upon SOFR plus a 0.10% market adjustment ("Adjusted SOFR") plus an applicable margin of 0.685%. SOFR rates charged on our Line change daily, and the applicable margin on the Line is dependent upon maintaining specific credit ratings or leverage targets, as well as meeting specific sustainability target thresholds. If our credit ratings were downgraded or if we fail to meet the leverage targets or sustainability target thresholds, the applicable margin on the Line would increase, resulting in higher interest costs. As of June 30, 2026 the Adjusted SOFR plus the applicable margin of 0.685% was 4.405%.</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We are also exposed to changes in interest rates when we refinance our existing long-term fixed rate debt. The objective of our interest rate risk management program is to limit the impact of interest rate changes on earnings and cash flows. To achieve these objectives, we borrow primarily at fixed interest rates and may also enter into derivative financial instruments such as interest rate swaps, caps, or treasury locks in order to mitigate our interest rate risk on a related financial instrument. We do not enter into derivative or interest rate transactions for speculative purposes. Our interest rate swaps are structured solely for the purpose of interest rate protection.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continuously monitor capital market conditions and assess our ability to refinance maturing debt and to fund our commitments. Based on our current credit ratings, the available capacity under our unsecured credit facility, and the number of unencumbered high quality properties we own that could serve as collateral, we believe we will be able to issue new secured or unsecured debt to finance maturing debt obligations; however, the extent to which capital market volatility and changes in interest rates may adversely affect the cost or availability of such financing remains uncertain.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table below presents the principal cash flows, weighted average interest rates of remaining debt, and the fair value of total debt as of June 30, 2026. For variable rate mortgages for which we have interest rate swaps in place to fix the interest rate, they are included in the Fixed rate debt section below at their all-in fixed rate. The table is presented by year of expected maturity to evaluate the expected cash flows and sensitivity to interest rate changes. Although the average interest rate for variable rate debt is included in the table, those rates represent rates that existed as of June 30, 2026, and are subject to change. We continually assess the market risk for our floating-rate debt. As of June 30, 2026, our $30.0 million outstanding balance under our variable-rate line of credit was effectively fixed through an interest rate swap. Accordingly, a hypothetical 100 basis point increase in interest rates would not have had a material impact on future earnings or cash flows as of June 30,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Further, the table below incorporates only those exposures that exist as of June 30, 2026, and does not consider exposures or positions that could arise after that date or obligations repaid before maturity. Since firm but unused commitments are not presented, the table has limited predictive value. As a result, our ultimate realized gain or loss with respect to interest rate fluctuations will depend on the exposures that arise during the period, our hedging strategies at that time, and actual interest rates.</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table below presents the principal cash flow payments associated with our outstanding debt by year, weighted average interest rates on debt outstanding at each year-end, and fair value of total debt as of June 30, 2026.</w:t>
      </w:r>
    </w:p>
    <w:tbl>
      <w:tblPr>
        <w:tblW w:w="10913" w:type="dxa"/>
        <w:jc w:val="left"/>
        <w:tblInd w:w="0" w:type="dxa"/>
        <w:tblLayout w:type="fixed"/>
        <w:tblCellMar>
          <w:top w:w="28" w:type="dxa"/>
          <w:left w:w="28" w:type="dxa"/>
          <w:bottom w:w="28" w:type="dxa"/>
          <w:right w:w="28" w:type="dxa"/>
        </w:tblCellMar>
      </w:tblPr>
      <w:tblGrid>
        <w:gridCol w:w="811"/>
        <w:gridCol w:w="146"/>
        <w:gridCol w:w="196"/>
        <w:gridCol w:w="691"/>
        <w:gridCol w:w="241"/>
        <w:gridCol w:w="146"/>
        <w:gridCol w:w="146"/>
        <w:gridCol w:w="691"/>
        <w:gridCol w:w="241"/>
        <w:gridCol w:w="146"/>
        <w:gridCol w:w="146"/>
        <w:gridCol w:w="691"/>
        <w:gridCol w:w="241"/>
        <w:gridCol w:w="146"/>
        <w:gridCol w:w="146"/>
        <w:gridCol w:w="691"/>
        <w:gridCol w:w="241"/>
        <w:gridCol w:w="146"/>
        <w:gridCol w:w="146"/>
        <w:gridCol w:w="691"/>
        <w:gridCol w:w="241"/>
        <w:gridCol w:w="146"/>
        <w:gridCol w:w="146"/>
        <w:gridCol w:w="826"/>
        <w:gridCol w:w="241"/>
        <w:gridCol w:w="146"/>
        <w:gridCol w:w="146"/>
        <w:gridCol w:w="826"/>
        <w:gridCol w:w="146"/>
        <w:gridCol w:w="146"/>
        <w:gridCol w:w="146"/>
        <w:gridCol w:w="826"/>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Fixed rate debt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757,610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360,304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527,739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607,608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2,514,888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4,934,418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interest rate for all fixed rate debt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Variable rate SOFR debt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Average interest rate for all variable rate debt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Reflects amount of debt maturities during each of the years presented as of June 30, 2026. 2026 reflects amount of debt maturities for the remainder of the year.</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Reflects weighted average interest rates of debt outstanding at the end of each year presented. For variable rate debt, the rate as of June 30, 2026, was used to determine the average interest rate for all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17" w:name="item_4"/>
      <w:bookmarkEnd w:id="1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Controls and Procedures (Regency Centers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the Parent Company's management, including its chief executive officer and chief financial officer, the Parent Company conducted an evaluation of its disclosure controls and procedures, as such term is defined under Rule 13a-15(e) and 15d-15(e) promulgated under the Securities Exchange Act of 1934, as amended (the "Exchange Act"). Based on this evaluation, the Parent Company's chief executive officer and chief financial officer concluded that its disclosure controls and procedures were effective as of the end of the period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without limitation, controls and procedures designed to ensure that information required to be disclosed by the Parent Company in the reports it files or submits under the Exchange Act is accumulated and communicated to management, including its chief executive officer and chief financial officer, as appropriate, to allow timely decisions regarding required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been no changes in the Parent Company's internal controls over financial reporting identified in connection with this evaluation that occurred during the quarter ended June 30, 2026 which have materially affected, or are reasonably likely to materially affect, the Parent Company’s internal controls over financial reporting.</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Controls and Procedures (Regency Centers, 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supervision and with the participation of the Operating Partnership's management, including the chief executive officer and chief financial officer of its general partner, the Operating Partnership conducted an evaluation of its disclosure controls and procedures, as such term is defined under Rule 13a-15(e) and 15d-15(e) promulgated under the Exchange Act. Based on this evaluation, the chief executive officer and chief financial officer of its general partner concluded that the Operating Partnership's disclosure controls and procedures were effective as of the end of the period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without limitation, controls and procedures designed to ensure that information required to be disclosed by the Operating Partnership in the reports it files or submits under the Exchange Act is accumulated and communicated to management, including the chief executive officer and chief financial officer of its general partner, as appropriate, to allow timely decisions regarding required disclosure.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have been no changes in the Operating Partnership's internal controls over financial reporting identified in connection with this evaluation that occurred during the quarter ended June 30, 2026 which have materially affected, or are reasonably likely to materially affect, the Operating Partnership’s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sz w:val="20"/>
        </w:rPr>
      </w:pPr>
      <w:bookmarkStart w:id="18" w:name="part_2"/>
      <w:bookmarkEnd w:id="1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 - OTHER INFORMATION</w:t>
      </w:r>
      <w:r>
        <w:rPr>
          <w:rFonts w:ascii="Times New Roman" w:hAnsi="Times New Roman"/>
          <w:color w:val="000000"/>
          <w:sz w:val="20"/>
        </w:rPr>
        <w:t xml:space="preserve"> </w:t>
      </w:r>
    </w:p>
    <w:p>
      <w:pPr>
        <w:pStyle w:val="TextBody"/>
        <w:bidi w:val="0"/>
        <w:spacing w:before="180" w:after="283"/>
        <w:jc w:val="both"/>
        <w:rPr>
          <w:rFonts w:ascii="Times New Roman" w:hAnsi="Times New Roman"/>
          <w:b/>
          <w:color w:val="000000"/>
          <w:sz w:val="20"/>
        </w:rPr>
      </w:pPr>
      <w:bookmarkStart w:id="19" w:name="part_2_item_1"/>
      <w:bookmarkEnd w:id="19"/>
      <w:r>
        <w:rPr>
          <w:rFonts w:ascii="Times New Roman" w:hAnsi="Times New Roman"/>
          <w:b/>
          <w:color w:val="000000"/>
          <w:sz w:val="20"/>
        </w:rPr>
        <w:t>Item 1. Legal Proceedings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 Note 13 — Commitments and Contingencies in the Notes for discussion regarding material legal proceedings and contingencies. Except as set forth in such discussion, there have been no material developments in legal proceedings as reported in Item 3. "Legal Proceedings" of our 2025 Form 10-K.</w:t>
      </w:r>
    </w:p>
    <w:p>
      <w:pPr>
        <w:pStyle w:val="TextBody"/>
        <w:bidi w:val="0"/>
        <w:spacing w:before="180" w:after="283"/>
        <w:jc w:val="left"/>
        <w:rPr>
          <w:rFonts w:ascii="Times New Roman" w:hAnsi="Times New Roman"/>
          <w:sz w:val="20"/>
        </w:rPr>
      </w:pPr>
      <w:bookmarkStart w:id="20" w:name="part_2_item_1a"/>
      <w:bookmarkEnd w:id="2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addition to the information set forth in this Report, please also refer to the Risk Factors set forth in Item 1A. of Part I of our Annual Report on Form 10-K for the year ended December 31, 2025 (“2025 Annual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item 1A of our Form 10-K, we include a risk factor which is titled "Macroeconomic, political, and geopolitical conditions and governmental policies may adversely impact consumer confidence and spending and the businesses of our tenants and could, in turn, adversely impact our business." This risk factor discusses, among other risks, those related to geopolitical conflicts in the Middle East. Since the filing of our Form 10-K, a significant military conflict primarily involving the U.S., Israel and Iran, but which has also involved other countries in the Middle East, has commenced. This conflict has exacerbated certain risks previously disclosed, including the risk of energy market volatility due to impacts of the conflict on the global price of oil. Sustained increases or volatility in energy prices may contribute to broader inflationary pressures, increase operating costs at our properties, and adversely impact our tenants’ sales, costs, operating margins and financial condition. These conditions may reduce tenant demand for our space, impair tenant ability to meet their lease obligations, and limit our ability to fully recover operating costs and cost increases. In addition, inflationary pressures and higher energy costs may increase the cost of construction and construction materials, which could impact the feasibility, timing and returns of our development and redevelopment projects, as well as the cost of tenant improvements and other capital projects at our properties. The extent and duration of the current Iran-based conflict remains uncertain and, if it continues unresolved for a meaningful period of time, could materially affect our business, financial condition, and results of operations.</w:t>
      </w:r>
    </w:p>
    <w:p>
      <w:pPr>
        <w:pStyle w:val="TextBody"/>
        <w:bidi w:val="0"/>
        <w:spacing w:before="180" w:after="283"/>
        <w:jc w:val="left"/>
        <w:rPr>
          <w:rFonts w:ascii="Times New Roman" w:hAnsi="Times New Roman"/>
          <w:b/>
          <w:color w:val="000000"/>
          <w:sz w:val="20"/>
        </w:rPr>
      </w:pPr>
      <w:bookmarkStart w:id="21" w:name="part_2_item_2"/>
      <w:bookmarkEnd w:id="21"/>
      <w:r>
        <w:rPr>
          <w:rFonts w:ascii="Times New Roman" w:hAnsi="Times New Roman"/>
          <w:b/>
          <w:color w:val="000000"/>
          <w:sz w:val="20"/>
        </w:rPr>
        <w:t>Item 2. Unregistered Sales of Equity Securities and Use of Proceeds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There were no unregistered sales of equity securities during the three months ended June 30, 2026.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The following table represents information with respect to purchases by the Parent Company of its common stock, by month, during the three months ended June 30, 2026:</w:t>
      </w:r>
    </w:p>
    <w:tbl>
      <w:tblPr>
        <w:tblW w:w="10205" w:type="dxa"/>
        <w:jc w:val="left"/>
        <w:tblInd w:w="0" w:type="dxa"/>
        <w:tblLayout w:type="fixed"/>
        <w:tblCellMar>
          <w:top w:w="28" w:type="dxa"/>
          <w:left w:w="28" w:type="dxa"/>
          <w:bottom w:w="28" w:type="dxa"/>
          <w:right w:w="28" w:type="dxa"/>
        </w:tblCellMar>
      </w:tblPr>
      <w:tblGrid>
        <w:gridCol w:w="1051"/>
        <w:gridCol w:w="146"/>
        <w:gridCol w:w="305"/>
        <w:gridCol w:w="1073"/>
        <w:gridCol w:w="146"/>
        <w:gridCol w:w="146"/>
        <w:gridCol w:w="303"/>
        <w:gridCol w:w="790"/>
        <w:gridCol w:w="146"/>
        <w:gridCol w:w="146"/>
        <w:gridCol w:w="676"/>
        <w:gridCol w:w="1604"/>
        <w:gridCol w:w="146"/>
        <w:gridCol w:w="146"/>
        <w:gridCol w:w="701"/>
        <w:gridCol w:w="2484"/>
        <w:gridCol w:w="196"/>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shares purchased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shares purchased as part of publicly announced plans or programs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Maximum number or approximate dollar value of shares that may yet be purchased under the plans or programs (in thousands)</w:t>
            </w:r>
            <w:r>
              <w:rPr>
                <w:rFonts w:ascii="Times New Roman" w:hAnsi="Times New Roman"/>
                <w:color w:val="000000"/>
                <w:sz w:val="18"/>
              </w:rPr>
              <w:t> </w:t>
            </w:r>
            <w:r>
              <w:rPr>
                <w:rFonts w:ascii="Times New Roman" w:hAnsi="Times New Roman"/>
                <w:b/>
                <w:color w:val="000000"/>
                <w:sz w:val="12"/>
              </w:rPr>
              <w:t>(2)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1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Represents shares repurchased to cover payment of withholding taxes in connection with restricted stock vesting by participants under Regency’s Long-Term Omnibus Plan.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 February 4, 2026, our Board approved a new common stock repurchase program, which replaced our existing program. The new program authorizes up to $500 million in repurchases, and the Company may purchase shares of its outstanding common stock through open market purchases and/or privately negotiated transactions, subject to market conditions and other factors. Any stock repurchased, if not retired, will be treated as treasury stock. The expiration date of the new repurchase program is February 28, 2029, unless modified, extended or earlier terminated by the Board in its discretion.</w:t>
      </w:r>
    </w:p>
    <w:p>
      <w:pPr>
        <w:pStyle w:val="TextBody"/>
        <w:bidi w:val="0"/>
        <w:spacing w:before="180" w:after="283"/>
        <w:jc w:val="left"/>
        <w:rPr>
          <w:rFonts w:ascii="Times New Roman" w:hAnsi="Times New Roman"/>
          <w:sz w:val="20"/>
        </w:rPr>
      </w:pPr>
      <w:bookmarkStart w:id="22" w:name="part_2_item_3"/>
      <w:bookmarkEnd w:id="22"/>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color w:val="000000"/>
          <w:sz w:val="20"/>
        </w:rPr>
        <w:t>Defaults Upon Senior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23" w:name="part_2_item_4"/>
      <w:bookmarkEnd w:id="23"/>
      <w:r>
        <w:rPr>
          <w:rFonts w:ascii="Times New Roman" w:hAnsi="Times New Roman"/>
          <w:b/>
          <w:color w:val="000000"/>
          <w:sz w:val="20"/>
        </w:rPr>
        <w:t>Item 4. Mine Safety Disclosures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24" w:name="part_2_item_5"/>
      <w:bookmarkEnd w:id="24"/>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fiscal quarter ended June 30, 2026, none of our directors or officers (as defined in Rule 16a-1 under the Exchange Act) adopted or terminated a "Rule 10b5-1 trading arrangement" or "non-Rule 10b5-1 trading arrangement" (as those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5" w:name="part_2_item_6"/>
      <w:bookmarkEnd w:id="25"/>
      <w:r>
        <w:rPr>
          <w:rFonts w:ascii="Times New Roman" w:hAnsi="Times New Roman"/>
          <w:b/>
          <w:color w:val="000000"/>
          <w:sz w:val="20"/>
        </w:rPr>
        <w:t>Item 6. Exhibits</w:t>
      </w:r>
    </w:p>
    <w:p>
      <w:pPr>
        <w:pStyle w:val="TextBody"/>
        <w:bidi w:val="0"/>
        <w:spacing w:before="180" w:after="283"/>
        <w:jc w:val="left"/>
        <w:rPr>
          <w:rFonts w:ascii="Times New Roman" w:hAnsi="Times New Roman"/>
          <w:sz w:val="20"/>
        </w:rPr>
      </w:pPr>
      <w:r>
        <w:rPr>
          <w:rFonts w:ascii="Times New Roman" w:hAnsi="Times New Roman"/>
          <w:i/>
          <w:color w:val="000000"/>
          <w:sz w:val="20"/>
        </w:rPr>
        <w:t>Unless otherwise indicated below, the Commission file number to the exhibit is No. 001-12298 (Regency Centers Corporation) and No. 000-24763 (Regency Centers, L.P.).</w:t>
      </w:r>
      <w:r>
        <w:rPr>
          <w:rFonts w:ascii="Times New Roman" w:hAnsi="Times New Roman"/>
          <w:color w:val="000000"/>
          <w:sz w:val="20"/>
        </w:rPr>
        <w:t xml:space="preserve"> </w:t>
      </w:r>
    </w:p>
    <w:p>
      <w:pPr>
        <w:pStyle w:val="TextBody"/>
        <w:bidi w:val="0"/>
        <w:spacing w:before="180" w:after="283"/>
        <w:jc w:val="left"/>
        <w:rPr/>
      </w:pPr>
      <w:r>
        <w:rPr/>
        <w:t> </w:t>
      </w:r>
    </w:p>
    <w:tbl>
      <w:tblPr>
        <w:tblW w:w="1637" w:type="dxa"/>
        <w:jc w:val="left"/>
        <w:tblInd w:w="0" w:type="dxa"/>
        <w:tblLayout w:type="fixed"/>
        <w:tblCellMar>
          <w:top w:w="28" w:type="dxa"/>
          <w:left w:w="28" w:type="dxa"/>
          <w:bottom w:w="28" w:type="dxa"/>
          <w:right w:w="28" w:type="dxa"/>
        </w:tblCellMar>
      </w:tblPr>
      <w:tblGrid>
        <w:gridCol w:w="511"/>
        <w:gridCol w:w="1126"/>
      </w:tblGrid>
      <w:tr>
        <w:trPr/>
        <w:tc>
          <w:tcPr>
            <w:tcW w:w="5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bl>
    <w:p>
      <w:pPr>
        <w:pStyle w:val="TextBody"/>
        <w:bidi w:val="0"/>
        <w:jc w:val="left"/>
        <w:rPr/>
      </w:pPr>
      <w:r>
        <w:rPr/>
        <w:t> </w:t>
      </w:r>
    </w:p>
    <w:p>
      <w:pPr>
        <w:pStyle w:val="TextBody"/>
        <w:bidi w:val="0"/>
        <w:jc w:val="left"/>
        <w:rPr/>
      </w:pPr>
      <w:r>
        <w:rPr/>
        <w:t> </w:t>
      </w:r>
    </w:p>
    <w:tbl>
      <w:tblPr>
        <w:tblW w:w="8174" w:type="dxa"/>
        <w:jc w:val="left"/>
        <w:tblInd w:w="0" w:type="dxa"/>
        <w:tblLayout w:type="fixed"/>
        <w:tblCellMar>
          <w:top w:w="28" w:type="dxa"/>
          <w:left w:w="28" w:type="dxa"/>
          <w:bottom w:w="28" w:type="dxa"/>
          <w:right w:w="28" w:type="dxa"/>
        </w:tblCellMar>
      </w:tblPr>
      <w:tblGrid>
        <w:gridCol w:w="376"/>
        <w:gridCol w:w="146"/>
        <w:gridCol w:w="466"/>
        <w:gridCol w:w="7186"/>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31.</w:t>
            </w:r>
          </w:p>
        </w:tc>
        <w:tc>
          <w:tcPr>
            <w:tcW w:w="7798"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Rule 13a-14(a)/15d-14(a) Certifications</w:t>
            </w:r>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31.1</w:t>
            </w:r>
          </w:p>
        </w:tc>
        <w:tc>
          <w:tcPr>
            <w:tcW w:w="7186" w:type="dxa"/>
            <w:tcBorders/>
            <w:tcMar>
              <w:top w:w="0" w:type="dxa"/>
              <w:left w:w="0" w:type="dxa"/>
              <w:bottom w:w="0" w:type="dxa"/>
              <w:right w:w="0" w:type="dxa"/>
            </w:tcMar>
            <w:vAlign w:val="center"/>
          </w:tcPr>
          <w:p>
            <w:pPr>
              <w:pStyle w:val="TableContents"/>
              <w:bidi w:val="0"/>
              <w:spacing w:before="60" w:after="283"/>
              <w:jc w:val="left"/>
              <w:rPr/>
            </w:pPr>
            <w:hyperlink w:anchor="reg-ex31_1.htm">
              <w:r>
                <w:rPr>
                  <w:rStyle w:val="InternetLink"/>
                  <w:rFonts w:ascii="Times New Roman" w:hAnsi="Times New Roman"/>
                  <w:color w:val="0000FF"/>
                  <w:sz w:val="20"/>
                  <w:u w:val="single"/>
                </w:rPr>
                <w:t>Rule 13a-14 Certification of Chief Executive Officer for Regency Centers Corporation.</w:t>
              </w:r>
            </w:hyperlink>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31.2</w:t>
            </w:r>
          </w:p>
        </w:tc>
        <w:tc>
          <w:tcPr>
            <w:tcW w:w="7186" w:type="dxa"/>
            <w:tcBorders/>
            <w:tcMar>
              <w:top w:w="0" w:type="dxa"/>
              <w:left w:w="0" w:type="dxa"/>
              <w:bottom w:w="0" w:type="dxa"/>
              <w:right w:w="0" w:type="dxa"/>
            </w:tcMar>
            <w:vAlign w:val="center"/>
          </w:tcPr>
          <w:p>
            <w:pPr>
              <w:pStyle w:val="TableContents"/>
              <w:bidi w:val="0"/>
              <w:spacing w:before="60" w:after="283"/>
              <w:jc w:val="left"/>
              <w:rPr/>
            </w:pPr>
            <w:hyperlink w:anchor="reg-ex31_2.htm">
              <w:r>
                <w:rPr>
                  <w:rStyle w:val="InternetLink"/>
                  <w:rFonts w:ascii="Times New Roman" w:hAnsi="Times New Roman"/>
                  <w:color w:val="0000FF"/>
                  <w:sz w:val="20"/>
                  <w:u w:val="single"/>
                </w:rPr>
                <w:t>Rule 13a-14 Certification of Chief Financial Officer for Regency Centers Corporation.</w:t>
              </w:r>
            </w:hyperlink>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31.3</w:t>
            </w:r>
          </w:p>
        </w:tc>
        <w:tc>
          <w:tcPr>
            <w:tcW w:w="7186" w:type="dxa"/>
            <w:tcBorders/>
            <w:tcMar>
              <w:top w:w="0" w:type="dxa"/>
              <w:left w:w="0" w:type="dxa"/>
              <w:bottom w:w="0" w:type="dxa"/>
              <w:right w:w="0" w:type="dxa"/>
            </w:tcMar>
            <w:vAlign w:val="center"/>
          </w:tcPr>
          <w:p>
            <w:pPr>
              <w:pStyle w:val="TableContents"/>
              <w:bidi w:val="0"/>
              <w:spacing w:before="60" w:after="283"/>
              <w:jc w:val="left"/>
              <w:rPr/>
            </w:pPr>
            <w:hyperlink w:anchor="reg-ex31_3.htm">
              <w:r>
                <w:rPr>
                  <w:rStyle w:val="InternetLink"/>
                  <w:rFonts w:ascii="Times New Roman" w:hAnsi="Times New Roman"/>
                  <w:color w:val="0000FF"/>
                  <w:sz w:val="20"/>
                  <w:u w:val="single"/>
                </w:rPr>
                <w:t>Rule 13a-14 Certification of Chief Executive Officer for Regency Centers, L.P.</w:t>
              </w:r>
            </w:hyperlink>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31.4</w:t>
            </w:r>
          </w:p>
        </w:tc>
        <w:tc>
          <w:tcPr>
            <w:tcW w:w="7186" w:type="dxa"/>
            <w:tcBorders/>
            <w:tcMar>
              <w:top w:w="0" w:type="dxa"/>
              <w:left w:w="0" w:type="dxa"/>
              <w:bottom w:w="0" w:type="dxa"/>
              <w:right w:w="0" w:type="dxa"/>
            </w:tcMar>
            <w:vAlign w:val="center"/>
          </w:tcPr>
          <w:p>
            <w:pPr>
              <w:pStyle w:val="TableContents"/>
              <w:bidi w:val="0"/>
              <w:spacing w:before="60" w:after="283"/>
              <w:jc w:val="left"/>
              <w:rPr/>
            </w:pPr>
            <w:hyperlink w:anchor="reg-ex31_4.htm">
              <w:r>
                <w:rPr>
                  <w:rStyle w:val="InternetLink"/>
                  <w:rFonts w:ascii="Times New Roman" w:hAnsi="Times New Roman"/>
                  <w:color w:val="0000FF"/>
                  <w:sz w:val="20"/>
                  <w:u w:val="single"/>
                </w:rPr>
                <w:t>Rule 13a-14 Certification of Chief Financial Officer for Regency Centers, L.P.</w:t>
              </w:r>
            </w:hyperlink>
          </w:p>
        </w:tc>
      </w:tr>
    </w:tbl>
    <w:p>
      <w:pPr>
        <w:pStyle w:val="TextBody"/>
        <w:bidi w:val="0"/>
        <w:jc w:val="left"/>
        <w:rPr/>
      </w:pPr>
      <w:r>
        <w:rPr/>
        <w:t> </w:t>
      </w:r>
    </w:p>
    <w:tbl>
      <w:tblPr>
        <w:tblW w:w="8699" w:type="dxa"/>
        <w:jc w:val="left"/>
        <w:tblInd w:w="0" w:type="dxa"/>
        <w:tblLayout w:type="fixed"/>
        <w:tblCellMar>
          <w:top w:w="28" w:type="dxa"/>
          <w:left w:w="28" w:type="dxa"/>
          <w:bottom w:w="28" w:type="dxa"/>
          <w:right w:w="28" w:type="dxa"/>
        </w:tblCellMar>
      </w:tblPr>
      <w:tblGrid>
        <w:gridCol w:w="376"/>
        <w:gridCol w:w="146"/>
        <w:gridCol w:w="616"/>
        <w:gridCol w:w="756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32.</w:t>
            </w:r>
          </w:p>
        </w:tc>
        <w:tc>
          <w:tcPr>
            <w:tcW w:w="8323"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Section 1350 Certifications</w:t>
            </w:r>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1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32.1 *</w:t>
            </w:r>
          </w:p>
        </w:tc>
        <w:tc>
          <w:tcPr>
            <w:tcW w:w="7561" w:type="dxa"/>
            <w:tcBorders/>
            <w:tcMar>
              <w:top w:w="0" w:type="dxa"/>
              <w:left w:w="0" w:type="dxa"/>
              <w:bottom w:w="0" w:type="dxa"/>
              <w:right w:w="0" w:type="dxa"/>
            </w:tcMar>
            <w:vAlign w:val="center"/>
          </w:tcPr>
          <w:p>
            <w:pPr>
              <w:pStyle w:val="TableContents"/>
              <w:bidi w:val="0"/>
              <w:spacing w:before="60" w:after="283"/>
              <w:jc w:val="left"/>
              <w:rPr/>
            </w:pPr>
            <w:hyperlink w:anchor="reg-ex32_1.htm">
              <w:r>
                <w:rPr>
                  <w:rStyle w:val="InternetLink"/>
                  <w:rFonts w:ascii="Times New Roman" w:hAnsi="Times New Roman"/>
                  <w:color w:val="0000FF"/>
                  <w:sz w:val="20"/>
                  <w:u w:val="single"/>
                </w:rPr>
                <w:t>18 U.S.C. § 1350 Certification of Chief Executive Officer for Regency Centers Corporation.</w:t>
              </w:r>
            </w:hyperlink>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1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32.2 *</w:t>
            </w:r>
          </w:p>
        </w:tc>
        <w:tc>
          <w:tcPr>
            <w:tcW w:w="7561" w:type="dxa"/>
            <w:tcBorders/>
            <w:tcMar>
              <w:top w:w="0" w:type="dxa"/>
              <w:left w:w="0" w:type="dxa"/>
              <w:bottom w:w="0" w:type="dxa"/>
              <w:right w:w="0" w:type="dxa"/>
            </w:tcMar>
            <w:vAlign w:val="center"/>
          </w:tcPr>
          <w:p>
            <w:pPr>
              <w:pStyle w:val="TableContents"/>
              <w:bidi w:val="0"/>
              <w:spacing w:before="60" w:after="283"/>
              <w:jc w:val="left"/>
              <w:rPr/>
            </w:pPr>
            <w:hyperlink w:anchor="reg-ex32_2.htm">
              <w:r>
                <w:rPr>
                  <w:rStyle w:val="InternetLink"/>
                  <w:rFonts w:ascii="Times New Roman" w:hAnsi="Times New Roman"/>
                  <w:color w:val="0000FF"/>
                  <w:sz w:val="20"/>
                  <w:u w:val="single"/>
                </w:rPr>
                <w:t>18 U.S.C. § 1350 Certification of Chief Financial Officer for Regency Centers Corporation.</w:t>
              </w:r>
            </w:hyperlink>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1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32.3 *</w:t>
            </w:r>
          </w:p>
        </w:tc>
        <w:tc>
          <w:tcPr>
            <w:tcW w:w="7561" w:type="dxa"/>
            <w:tcBorders/>
            <w:tcMar>
              <w:top w:w="0" w:type="dxa"/>
              <w:left w:w="0" w:type="dxa"/>
              <w:bottom w:w="0" w:type="dxa"/>
              <w:right w:w="0" w:type="dxa"/>
            </w:tcMar>
            <w:vAlign w:val="center"/>
          </w:tcPr>
          <w:p>
            <w:pPr>
              <w:pStyle w:val="TableContents"/>
              <w:bidi w:val="0"/>
              <w:spacing w:before="60" w:after="283"/>
              <w:jc w:val="left"/>
              <w:rPr/>
            </w:pPr>
            <w:hyperlink w:anchor="reg-ex32_3.htm">
              <w:r>
                <w:rPr>
                  <w:rStyle w:val="InternetLink"/>
                  <w:rFonts w:ascii="Times New Roman" w:hAnsi="Times New Roman"/>
                  <w:color w:val="0000FF"/>
                  <w:sz w:val="20"/>
                  <w:u w:val="single"/>
                </w:rPr>
                <w:t>18 U.S.C. § 1350 Certification of Chief Executive Officer for Regency Centers, L.P.</w:t>
              </w:r>
            </w:hyperlink>
          </w:p>
        </w:tc>
      </w:tr>
      <w:tr>
        <w:trPr/>
        <w:tc>
          <w:tcPr>
            <w:tcW w:w="376"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1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32.4 *</w:t>
            </w:r>
          </w:p>
        </w:tc>
        <w:tc>
          <w:tcPr>
            <w:tcW w:w="7561" w:type="dxa"/>
            <w:tcBorders/>
            <w:tcMar>
              <w:top w:w="0" w:type="dxa"/>
              <w:left w:w="0" w:type="dxa"/>
              <w:bottom w:w="0" w:type="dxa"/>
              <w:right w:w="0" w:type="dxa"/>
            </w:tcMar>
            <w:vAlign w:val="center"/>
          </w:tcPr>
          <w:p>
            <w:pPr>
              <w:pStyle w:val="TableContents"/>
              <w:bidi w:val="0"/>
              <w:spacing w:before="60" w:after="283"/>
              <w:jc w:val="left"/>
              <w:rPr/>
            </w:pPr>
            <w:hyperlink w:anchor="reg-ex32_4.htm">
              <w:r>
                <w:rPr>
                  <w:rStyle w:val="InternetLink"/>
                  <w:rFonts w:ascii="Times New Roman" w:hAnsi="Times New Roman"/>
                  <w:color w:val="0000FF"/>
                  <w:sz w:val="20"/>
                  <w:u w:val="single"/>
                </w:rPr>
                <w:t>18 U.S.C. § 1350 Certification of Chief Financial Officer for Regency Centers, L.P.</w:t>
              </w:r>
            </w:hyperlink>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
        <w:gridCol w:w="146"/>
        <w:gridCol w:w="696"/>
        <w:gridCol w:w="8901"/>
      </w:tblGrid>
      <w:tr>
        <w:trPr/>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jc w:val="left"/>
              <w:rPr>
                <w:sz w:val="4"/>
                <w:szCs w:val="4"/>
              </w:rPr>
            </w:pPr>
            <w:r>
              <w:rPr>
                <w:sz w:val="4"/>
                <w:szCs w:val="4"/>
              </w:rPr>
            </w:r>
          </w:p>
        </w:tc>
      </w:tr>
      <w:tr>
        <w:trPr/>
        <w:tc>
          <w:tcPr>
            <w:tcW w:w="46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101.</w:t>
            </w:r>
          </w:p>
        </w:tc>
        <w:tc>
          <w:tcPr>
            <w:tcW w:w="9743"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Interactive Data Files</w:t>
            </w:r>
          </w:p>
        </w:tc>
      </w:tr>
      <w:tr>
        <w:trPr/>
        <w:tc>
          <w:tcPr>
            <w:tcW w:w="462"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101.INS</w:t>
            </w:r>
          </w:p>
        </w:tc>
        <w:tc>
          <w:tcPr>
            <w:tcW w:w="89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462"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69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101.SCH</w:t>
            </w:r>
          </w:p>
        </w:tc>
        <w:tc>
          <w:tcPr>
            <w:tcW w:w="89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r>
      <w:tr>
        <w:trPr/>
        <w:tc>
          <w:tcPr>
            <w:tcW w:w="462"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104.</w:t>
            </w:r>
          </w:p>
        </w:tc>
        <w:tc>
          <w:tcPr>
            <w:tcW w:w="9743" w:type="dxa"/>
            <w:gridSpan w:val="3"/>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tbl>
      <w:tblPr>
        <w:tblW w:w="2012" w:type="dxa"/>
        <w:jc w:val="left"/>
        <w:tblInd w:w="0" w:type="dxa"/>
        <w:tblLayout w:type="fixed"/>
        <w:tblCellMar>
          <w:top w:w="28" w:type="dxa"/>
          <w:left w:w="28" w:type="dxa"/>
          <w:bottom w:w="28" w:type="dxa"/>
          <w:right w:w="28" w:type="dxa"/>
        </w:tblCellMar>
      </w:tblPr>
      <w:tblGrid>
        <w:gridCol w:w="226"/>
        <w:gridCol w:w="1786"/>
      </w:tblGrid>
      <w:tr>
        <w:trPr/>
        <w:tc>
          <w:tcPr>
            <w:tcW w:w="22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w:t>
            </w:r>
          </w:p>
        </w:tc>
        <w:tc>
          <w:tcPr>
            <w:tcW w:w="178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Furnished, not filed.</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9993" w:type="dxa"/>
        <w:jc w:val="left"/>
        <w:tblInd w:w="0" w:type="dxa"/>
        <w:tblLayout w:type="fixed"/>
        <w:tblCellMar>
          <w:top w:w="28" w:type="dxa"/>
          <w:left w:w="28" w:type="dxa"/>
          <w:bottom w:w="28" w:type="dxa"/>
          <w:right w:w="28" w:type="dxa"/>
        </w:tblCellMar>
      </w:tblPr>
      <w:tblGrid>
        <w:gridCol w:w="1366"/>
        <w:gridCol w:w="406"/>
        <w:gridCol w:w="8221"/>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22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2026</w:t>
            </w:r>
          </w:p>
        </w:tc>
        <w:tc>
          <w:tcPr>
            <w:tcW w:w="86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86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By:</w:t>
            </w:r>
          </w:p>
        </w:tc>
        <w:tc>
          <w:tcPr>
            <w:tcW w:w="8221" w:type="dxa"/>
            <w:tcBorders>
              <w:bottom w:val="single" w:sz="4" w:space="0" w:color="000000"/>
            </w:tcBorders>
            <w:tcMar>
              <w:top w:w="0" w:type="dxa"/>
              <w:left w:w="0" w:type="dxa"/>
              <w:right w:w="0" w:type="dxa"/>
            </w:tcMar>
            <w:vAlign w:val="center"/>
          </w:tcPr>
          <w:p>
            <w:pPr>
              <w:pStyle w:val="TableContents"/>
              <w:bidi w:val="0"/>
              <w:spacing w:before="180" w:after="283"/>
              <w:jc w:val="left"/>
              <w:rPr>
                <w:rFonts w:ascii="Times New Roman" w:hAnsi="Times New Roman"/>
                <w:b/>
                <w:i/>
                <w:color w:val="000000"/>
                <w:sz w:val="20"/>
              </w:rPr>
            </w:pPr>
            <w:r>
              <w:rPr>
                <w:rFonts w:ascii="Times New Roman" w:hAnsi="Times New Roman"/>
                <w:b/>
                <w:i/>
                <w:color w:val="000000"/>
                <w:sz w:val="20"/>
              </w:rPr>
              <w:t>/s/ Michael J. Mas</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Michael J. Mas, Executive Vice President and Chief Financial Officer (Principal Financial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8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Terah L. Devereaux</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Terah L. Devereaux, Senior Vice President, Chief Accounting Officer (Principal Accounting Officer)</w:t>
            </w:r>
          </w:p>
        </w:tc>
      </w:tr>
    </w:tbl>
    <w:p>
      <w:pPr>
        <w:pStyle w:val="TextBody"/>
        <w:bidi w:val="0"/>
        <w:jc w:val="left"/>
        <w:rPr/>
      </w:pPr>
      <w:r>
        <w:rPr/>
        <w:t> </w:t>
      </w:r>
    </w:p>
    <w:tbl>
      <w:tblPr>
        <w:tblW w:w="9993" w:type="dxa"/>
        <w:jc w:val="left"/>
        <w:tblInd w:w="0" w:type="dxa"/>
        <w:tblLayout w:type="fixed"/>
        <w:tblCellMar>
          <w:top w:w="28" w:type="dxa"/>
          <w:left w:w="28" w:type="dxa"/>
          <w:bottom w:w="28" w:type="dxa"/>
          <w:right w:w="28" w:type="dxa"/>
        </w:tblCellMar>
      </w:tblPr>
      <w:tblGrid>
        <w:gridCol w:w="1366"/>
        <w:gridCol w:w="406"/>
        <w:gridCol w:w="8221"/>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22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2026</w:t>
            </w:r>
          </w:p>
        </w:tc>
        <w:tc>
          <w:tcPr>
            <w:tcW w:w="86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By:</w:t>
            </w:r>
          </w:p>
        </w:tc>
        <w:tc>
          <w:tcPr>
            <w:tcW w:w="8221" w:type="dxa"/>
            <w:tcBorders/>
            <w:tcMar>
              <w:top w:w="0" w:type="dxa"/>
              <w:left w:w="0" w:type="dxa"/>
              <w:bottom w:w="0" w:type="dxa"/>
              <w:right w:w="0" w:type="dxa"/>
            </w:tcMar>
            <w:vAlign w:val="center"/>
          </w:tcPr>
          <w:p>
            <w:pPr>
              <w:pStyle w:val="TableContents"/>
              <w:bidi w:val="0"/>
              <w:spacing w:before="180" w:after="283"/>
              <w:jc w:val="left"/>
              <w:rPr>
                <w:rFonts w:ascii="Times New Roman" w:hAnsi="Times New Roman"/>
                <w:color w:val="000000"/>
                <w:sz w:val="20"/>
              </w:rPr>
            </w:pPr>
            <w:r>
              <w:rPr>
                <w:rFonts w:ascii="Times New Roman" w:hAnsi="Times New Roman"/>
                <w:color w:val="000000"/>
                <w:sz w:val="20"/>
              </w:rPr>
              <w:t>Regency Centers Corporation, General Partner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8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J. Mas</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Michael J. Mas, Executive Vice President and Chief Financial Officer (Principal Financial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8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Terah L. Devereaux</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822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Terah L. Devereaux, Senior Vice President, Chief Accounting Officer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bookmarkStart w:id="27" w:name="reg-ex31_1.htm"/>
      <w:bookmarkStart w:id="28" w:name="ksreg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and Rule 13a-14(a)</w:t>
      </w:r>
    </w:p>
    <w:p>
      <w:pPr>
        <w:pStyle w:val="TextBody"/>
        <w:bidi w:val="0"/>
        <w:jc w:val="center"/>
        <w:rPr>
          <w:rFonts w:ascii="Times New Roman" w:hAnsi="Times New Roman"/>
          <w:b/>
          <w:color w:val="000000"/>
          <w:sz w:val="20"/>
        </w:rPr>
      </w:pPr>
      <w:r>
        <w:rPr>
          <w:rFonts w:ascii="Times New Roman" w:hAnsi="Times New Roman"/>
          <w:b/>
          <w:color w:val="000000"/>
          <w:sz w:val="20"/>
        </w:rPr>
        <w:t>or 15d-14(a) under the Securities Exchange Act of 1934</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Lisa Palmer</w:t>
      </w:r>
      <w:r>
        <w:rPr>
          <w:rFonts w:ascii="Times New Roman" w:hAnsi="Times New Roman"/>
          <w:color w:val="000000"/>
          <w:sz w:val="20"/>
        </w:rPr>
        <w: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I have reviewed this Quarterly Report on Form 10-Q of </w:t>
      </w:r>
      <w:r>
        <w:rPr>
          <w:rFonts w:ascii="Times New Roman" w:hAnsi="Times New Roman"/>
          <w:b/>
          <w:color w:val="000000"/>
          <w:sz w:val="20"/>
        </w:rPr>
        <w:t>Regency Centers Corporation</w:t>
      </w:r>
      <w:r>
        <w:rPr>
          <w:color w:val="000000"/>
        </w:rPr>
        <w:t xml:space="preserve"> </w:t>
      </w:r>
      <w:r>
        <w:rPr>
          <w:rFonts w:ascii="Times New Roman" w:hAnsi="Times New Roman"/>
          <w:color w:val="000000"/>
          <w:sz w:val="20"/>
        </w:rPr>
        <w:t>("registrant");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Lisa Palmer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Palmer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reg-ex31_2.htm"/>
      <w:bookmarkStart w:id="30" w:name="ksreg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and Rule 13a-14(a)</w:t>
      </w:r>
    </w:p>
    <w:p>
      <w:pPr>
        <w:pStyle w:val="TextBody"/>
        <w:bidi w:val="0"/>
        <w:jc w:val="center"/>
        <w:rPr>
          <w:rFonts w:ascii="Times New Roman" w:hAnsi="Times New Roman"/>
          <w:b/>
          <w:color w:val="000000"/>
          <w:sz w:val="20"/>
        </w:rPr>
      </w:pPr>
      <w:r>
        <w:rPr>
          <w:rFonts w:ascii="Times New Roman" w:hAnsi="Times New Roman"/>
          <w:b/>
          <w:color w:val="000000"/>
          <w:sz w:val="20"/>
        </w:rPr>
        <w:t>or 15d-14(a) under the Securities Exchange Act of 1934</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Michael J. Mas,</w:t>
      </w:r>
      <w:r>
        <w:rPr>
          <w:rFonts w:ascii="Times New Roman" w:hAnsi="Times New Roman"/>
          <w:color w:val="000000"/>
          <w:sz w:val="20"/>
        </w:rPr>
        <w:t xml:space="preserv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I have reviewed this Quarterly Report on Form 10-Q of </w:t>
      </w:r>
      <w:r>
        <w:rPr>
          <w:rFonts w:ascii="Times New Roman" w:hAnsi="Times New Roman"/>
          <w:b/>
          <w:color w:val="000000"/>
          <w:sz w:val="20"/>
        </w:rPr>
        <w:t>Regency Centers Corporation</w:t>
      </w:r>
      <w:r>
        <w:rPr>
          <w:color w:val="000000"/>
        </w:rPr>
        <w:t xml:space="preserve"> </w:t>
      </w:r>
      <w:r>
        <w:rPr>
          <w:rFonts w:ascii="Times New Roman" w:hAnsi="Times New Roman"/>
          <w:color w:val="000000"/>
          <w:sz w:val="20"/>
        </w:rPr>
        <w:t>("registrant");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J. Mas</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Mas</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reg-ex31_3.htm"/>
      <w:bookmarkStart w:id="32" w:name="ksregex31_3"/>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and Rule 13a-14(a)</w:t>
      </w:r>
    </w:p>
    <w:p>
      <w:pPr>
        <w:pStyle w:val="TextBody"/>
        <w:bidi w:val="0"/>
        <w:jc w:val="center"/>
        <w:rPr>
          <w:rFonts w:ascii="Times New Roman" w:hAnsi="Times New Roman"/>
          <w:b/>
          <w:color w:val="000000"/>
          <w:sz w:val="20"/>
        </w:rPr>
      </w:pPr>
      <w:r>
        <w:rPr>
          <w:rFonts w:ascii="Times New Roman" w:hAnsi="Times New Roman"/>
          <w:b/>
          <w:color w:val="000000"/>
          <w:sz w:val="20"/>
        </w:rPr>
        <w:t>or 15d-14(a) under the Securities Exchange Act of 1934</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Lisa Palmer</w:t>
      </w:r>
      <w:r>
        <w:rPr>
          <w:rFonts w:ascii="Times New Roman" w:hAnsi="Times New Roman"/>
          <w:color w:val="000000"/>
          <w:sz w:val="20"/>
        </w:rPr>
        <w: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I have reviewed this Quarterly Report on Form 10-Q of </w:t>
      </w:r>
      <w:r>
        <w:rPr>
          <w:rFonts w:ascii="Times New Roman" w:hAnsi="Times New Roman"/>
          <w:b/>
          <w:color w:val="000000"/>
          <w:sz w:val="20"/>
        </w:rPr>
        <w:t>Regency Centers, L.P.</w:t>
      </w:r>
      <w:r>
        <w:rPr>
          <w:color w:val="000000"/>
        </w:rPr>
        <w:t xml:space="preserve"> </w:t>
      </w:r>
      <w:r>
        <w:rPr>
          <w:rFonts w:ascii="Times New Roman" w:hAnsi="Times New Roman"/>
          <w:color w:val="000000"/>
          <w:sz w:val="20"/>
        </w:rPr>
        <w:t>("registrant");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8221" w:type="dxa"/>
        <w:jc w:val="left"/>
        <w:tblInd w:w="0" w:type="dxa"/>
        <w:tblLayout w:type="fixed"/>
        <w:tblCellMar>
          <w:top w:w="28" w:type="dxa"/>
          <w:left w:w="28" w:type="dxa"/>
          <w:bottom w:w="28" w:type="dxa"/>
          <w:right w:w="28" w:type="dxa"/>
        </w:tblCellMar>
      </w:tblPr>
      <w:tblGrid>
        <w:gridCol w:w="8221"/>
      </w:tblGrid>
      <w:tr>
        <w:trPr/>
        <w:tc>
          <w:tcPr>
            <w:tcW w:w="8221" w:type="dxa"/>
            <w:tcBorders/>
            <w:vAlign w:val="center"/>
          </w:tcPr>
          <w:p>
            <w:pPr>
              <w:pStyle w:val="TableContents"/>
              <w:bidi w:val="0"/>
              <w:spacing w:before="0" w:after="283"/>
              <w:jc w:val="left"/>
              <w:rPr>
                <w:sz w:val="4"/>
                <w:szCs w:val="4"/>
              </w:rPr>
            </w:pPr>
            <w:r>
              <w:rPr>
                <w:sz w:val="4"/>
                <w:szCs w:val="4"/>
              </w:rPr>
            </w:r>
          </w:p>
        </w:tc>
      </w:tr>
      <w:tr>
        <w:trPr/>
        <w:tc>
          <w:tcPr>
            <w:tcW w:w="82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Lisa Palmer</w:t>
            </w:r>
          </w:p>
        </w:tc>
      </w:tr>
      <w:tr>
        <w:trPr/>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Palmer</w:t>
            </w:r>
          </w:p>
        </w:tc>
      </w:tr>
      <w:tr>
        <w:trPr/>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of Regency Centers Corporation, general partner of registrant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reg-ex31_4.htm"/>
      <w:bookmarkStart w:id="34" w:name="ksregex31_4"/>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and Rule 13a-14(a)</w:t>
      </w:r>
    </w:p>
    <w:p>
      <w:pPr>
        <w:pStyle w:val="TextBody"/>
        <w:bidi w:val="0"/>
        <w:jc w:val="center"/>
        <w:rPr>
          <w:rFonts w:ascii="Times New Roman" w:hAnsi="Times New Roman"/>
          <w:b/>
          <w:color w:val="000000"/>
          <w:sz w:val="20"/>
        </w:rPr>
      </w:pPr>
      <w:r>
        <w:rPr>
          <w:rFonts w:ascii="Times New Roman" w:hAnsi="Times New Roman"/>
          <w:b/>
          <w:color w:val="000000"/>
          <w:sz w:val="20"/>
        </w:rPr>
        <w:t>or 15d-14(a) under the Securities Exchange Act of 1934</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Michael J. Mas,</w:t>
      </w:r>
      <w:r>
        <w:rPr>
          <w:rFonts w:ascii="Times New Roman" w:hAnsi="Times New Roman"/>
          <w:color w:val="000000"/>
          <w:sz w:val="20"/>
        </w:rPr>
        <w:t xml:space="preserv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I have reviewed this Quarterly Report on Form 10-Q of </w:t>
      </w:r>
      <w:r>
        <w:rPr>
          <w:rFonts w:ascii="Times New Roman" w:hAnsi="Times New Roman"/>
          <w:b/>
          <w:color w:val="000000"/>
          <w:sz w:val="20"/>
        </w:rPr>
        <w:t>Regency Centers, L.P.</w:t>
      </w:r>
      <w:r>
        <w:rPr>
          <w:color w:val="000000"/>
        </w:rPr>
        <w:t xml:space="preserve"> </w:t>
      </w:r>
      <w:r>
        <w:rPr>
          <w:rFonts w:ascii="Times New Roman" w:hAnsi="Times New Roman"/>
          <w:color w:val="000000"/>
          <w:sz w:val="20"/>
        </w:rPr>
        <w:t>("registrant");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9151" w:type="dxa"/>
        <w:jc w:val="left"/>
        <w:tblInd w:w="0" w:type="dxa"/>
        <w:tblLayout w:type="fixed"/>
        <w:tblCellMar>
          <w:top w:w="28" w:type="dxa"/>
          <w:left w:w="28" w:type="dxa"/>
          <w:bottom w:w="28" w:type="dxa"/>
          <w:right w:w="28" w:type="dxa"/>
        </w:tblCellMar>
      </w:tblPr>
      <w:tblGrid>
        <w:gridCol w:w="9151"/>
      </w:tblGrid>
      <w:tr>
        <w:trPr/>
        <w:tc>
          <w:tcPr>
            <w:tcW w:w="9151" w:type="dxa"/>
            <w:tcBorders/>
            <w:vAlign w:val="center"/>
          </w:tcPr>
          <w:p>
            <w:pPr>
              <w:pStyle w:val="TableContents"/>
              <w:bidi w:val="0"/>
              <w:spacing w:before="0" w:after="283"/>
              <w:jc w:val="left"/>
              <w:rPr>
                <w:sz w:val="4"/>
                <w:szCs w:val="4"/>
              </w:rPr>
            </w:pPr>
            <w:r>
              <w:rPr>
                <w:sz w:val="4"/>
                <w:szCs w:val="4"/>
              </w:rPr>
            </w:r>
          </w:p>
        </w:tc>
      </w:tr>
      <w:tr>
        <w:trPr/>
        <w:tc>
          <w:tcPr>
            <w:tcW w:w="91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J. Mas</w:t>
            </w:r>
          </w:p>
        </w:tc>
      </w:tr>
      <w:tr>
        <w:trPr/>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Mas</w:t>
            </w:r>
          </w:p>
        </w:tc>
      </w:tr>
      <w:tr>
        <w:trPr/>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of Regency Centers Corporation, general partner of registrant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reg-ex32_1.htm"/>
      <w:bookmarkStart w:id="36" w:name="ksregex32_1"/>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Written Statement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Solely for the purposes of complying with 18 U.S.C. §1350, I, the undersigned Chief Executive Officer of </w:t>
      </w:r>
      <w:r>
        <w:rPr>
          <w:rFonts w:ascii="Times New Roman" w:hAnsi="Times New Roman"/>
          <w:b/>
          <w:color w:val="000000"/>
          <w:sz w:val="20"/>
        </w:rPr>
        <w:t>Regency Centers Corporation</w:t>
      </w:r>
      <w:r>
        <w:rPr>
          <w:rFonts w:ascii="Times New Roman" w:hAnsi="Times New Roman"/>
          <w:color w:val="000000"/>
          <w:sz w:val="20"/>
        </w:rPr>
        <w:t>, hereby certify, based on my knowledge</w:t>
      </w:r>
      <w:r>
        <w:rPr>
          <w:rFonts w:ascii="Times New Roman" w:hAnsi="Times New Roman"/>
          <w:i/>
          <w:color w:val="000000"/>
          <w:sz w:val="20"/>
        </w:rPr>
        <w:t>,</w:t>
      </w:r>
      <w:r>
        <w:rPr>
          <w:rFonts w:ascii="Times New Roman" w:hAnsi="Times New Roman"/>
          <w:color w:val="000000"/>
          <w:sz w:val="20"/>
        </w:rPr>
        <w:t xml:space="preserve"> that the Quarterly Report on Form 10-Q of Regency Centers Corporation for the quarter ended June 30, 2026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b/>
                <w:i/>
                <w:color w:val="000000"/>
                <w:sz w:val="20"/>
              </w:rPr>
            </w:pPr>
            <w:r>
              <w:rPr>
                <w:rFonts w:ascii="Times New Roman" w:hAnsi="Times New Roman"/>
                <w:b/>
                <w:i/>
                <w:color w:val="000000"/>
                <w:sz w:val="20"/>
              </w:rPr>
              <w:t>/s/ Lisa Palmer</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Lisa Palmer</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reg-ex32_2.htm"/>
      <w:bookmarkStart w:id="38" w:name="ksregex32_2"/>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Written Statement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Solely for the purposes of complying with 18 U.S.C. §1350, I, the undersigned Chief Financial Officer of </w:t>
      </w:r>
      <w:r>
        <w:rPr>
          <w:rFonts w:ascii="Times New Roman" w:hAnsi="Times New Roman"/>
          <w:b/>
          <w:color w:val="000000"/>
          <w:sz w:val="20"/>
        </w:rPr>
        <w:t>Regency Centers Corporation</w:t>
      </w:r>
      <w:r>
        <w:rPr>
          <w:rFonts w:ascii="Times New Roman" w:hAnsi="Times New Roman"/>
          <w:color w:val="000000"/>
          <w:sz w:val="20"/>
        </w:rPr>
        <w:t>, hereby certify, based on my knowledge</w:t>
      </w:r>
      <w:r>
        <w:rPr>
          <w:rFonts w:ascii="Times New Roman" w:hAnsi="Times New Roman"/>
          <w:i/>
          <w:color w:val="000000"/>
          <w:sz w:val="20"/>
        </w:rPr>
        <w:t>,</w:t>
      </w:r>
      <w:r>
        <w:rPr>
          <w:rFonts w:ascii="Times New Roman" w:hAnsi="Times New Roman"/>
          <w:color w:val="000000"/>
          <w:sz w:val="20"/>
        </w:rPr>
        <w:t xml:space="preserve"> that the Quarterly Report on Form 10-Q of Regency Centers Corporation for the quarter ended June 30, 2026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418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b/>
                <w:i/>
                <w:color w:val="000000"/>
                <w:sz w:val="20"/>
              </w:rPr>
            </w:pPr>
            <w:r>
              <w:rPr>
                <w:rFonts w:ascii="Times New Roman" w:hAnsi="Times New Roman"/>
                <w:b/>
                <w:i/>
                <w:color w:val="000000"/>
                <w:sz w:val="20"/>
              </w:rPr>
              <w:t>/s/ Michael J. Mas</w:t>
            </w:r>
          </w:p>
        </w:tc>
      </w:tr>
      <w:tr>
        <w:trPr/>
        <w:tc>
          <w:tcPr>
            <w:tcW w:w="418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Michael J. Mas</w:t>
            </w:r>
          </w:p>
        </w:tc>
      </w:tr>
      <w:tr>
        <w:trPr/>
        <w:tc>
          <w:tcPr>
            <w:tcW w:w="418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reg-ex32_3.htm"/>
      <w:bookmarkStart w:id="40" w:name="ksregex32_3"/>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Written Statement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Solely for the purposes of complying with 18 U.S.C. §1350, I, the undersigned Chief Executive Officer of </w:t>
      </w:r>
      <w:r>
        <w:rPr>
          <w:rFonts w:ascii="Times New Roman" w:hAnsi="Times New Roman"/>
          <w:b/>
          <w:color w:val="000000"/>
          <w:sz w:val="20"/>
        </w:rPr>
        <w:t>Regency Centers, L.P.</w:t>
      </w:r>
      <w:r>
        <w:rPr>
          <w:rFonts w:ascii="Times New Roman" w:hAnsi="Times New Roman"/>
          <w:color w:val="000000"/>
          <w:sz w:val="20"/>
        </w:rPr>
        <w:t>, hereby certify, based on my knowledge</w:t>
      </w:r>
      <w:r>
        <w:rPr>
          <w:rFonts w:ascii="Times New Roman" w:hAnsi="Times New Roman"/>
          <w:i/>
          <w:color w:val="000000"/>
          <w:sz w:val="20"/>
        </w:rPr>
        <w:t>,</w:t>
      </w:r>
      <w:r>
        <w:rPr>
          <w:rFonts w:ascii="Times New Roman" w:hAnsi="Times New Roman"/>
          <w:color w:val="000000"/>
          <w:sz w:val="20"/>
        </w:rPr>
        <w:t xml:space="preserve"> that the Quarterly Report on Form 10-Q of Regency Centers, L.P. for the quarter ended June 30, 2026 (the "Report") fully complies with the requirements of Section 13(a) of the Securities Exchange Act of 1934 and that information contained in the Report fairly presents, in all material respects, the financial condition and results of operations of Regency Centers, 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8221" w:type="dxa"/>
        <w:jc w:val="left"/>
        <w:tblInd w:w="0" w:type="dxa"/>
        <w:tblLayout w:type="fixed"/>
        <w:tblCellMar>
          <w:top w:w="28" w:type="dxa"/>
          <w:left w:w="28" w:type="dxa"/>
          <w:bottom w:w="28" w:type="dxa"/>
          <w:right w:w="28" w:type="dxa"/>
        </w:tblCellMar>
      </w:tblPr>
      <w:tblGrid>
        <w:gridCol w:w="8221"/>
      </w:tblGrid>
      <w:tr>
        <w:trPr/>
        <w:tc>
          <w:tcPr>
            <w:tcW w:w="8221" w:type="dxa"/>
            <w:tcBorders/>
            <w:vAlign w:val="center"/>
          </w:tcPr>
          <w:p>
            <w:pPr>
              <w:pStyle w:val="TableContents"/>
              <w:bidi w:val="0"/>
              <w:spacing w:before="0" w:after="283"/>
              <w:jc w:val="left"/>
              <w:rPr>
                <w:sz w:val="4"/>
                <w:szCs w:val="4"/>
              </w:rPr>
            </w:pPr>
            <w:r>
              <w:rPr>
                <w:sz w:val="4"/>
                <w:szCs w:val="4"/>
              </w:rPr>
            </w:r>
          </w:p>
        </w:tc>
      </w:tr>
      <w:tr>
        <w:trPr/>
        <w:tc>
          <w:tcPr>
            <w:tcW w:w="82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Lisa Palmer</w:t>
            </w:r>
          </w:p>
        </w:tc>
      </w:tr>
      <w:tr>
        <w:trPr/>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Palmer</w:t>
            </w:r>
          </w:p>
        </w:tc>
      </w:tr>
      <w:tr>
        <w:trPr/>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of Regency Centers Corporation, general partner of registrant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reg-ex32_4.htm"/>
      <w:bookmarkStart w:id="42" w:name="ksregex32_4"/>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Written Statement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Solely for the purposes of complying with 18 U.S.C. §1350, I, the undersigned Chief Financial Officer of </w:t>
      </w:r>
      <w:r>
        <w:rPr>
          <w:rFonts w:ascii="Times New Roman" w:hAnsi="Times New Roman"/>
          <w:b/>
          <w:color w:val="000000"/>
          <w:sz w:val="20"/>
        </w:rPr>
        <w:t>Regency Centers, L.P.</w:t>
      </w:r>
      <w:r>
        <w:rPr>
          <w:rFonts w:ascii="Times New Roman" w:hAnsi="Times New Roman"/>
          <w:color w:val="000000"/>
          <w:sz w:val="20"/>
        </w:rPr>
        <w:t>, hereby certify, based on my knowledge</w:t>
      </w:r>
      <w:r>
        <w:rPr>
          <w:rFonts w:ascii="Times New Roman" w:hAnsi="Times New Roman"/>
          <w:i/>
          <w:color w:val="000000"/>
          <w:sz w:val="20"/>
        </w:rPr>
        <w:t>,</w:t>
      </w:r>
      <w:r>
        <w:rPr>
          <w:rFonts w:ascii="Times New Roman" w:hAnsi="Times New Roman"/>
          <w:color w:val="000000"/>
          <w:sz w:val="20"/>
        </w:rPr>
        <w:t xml:space="preserve"> that the Quarterly Report on Form 10-Q of Regency Centers, L.P. for the quarter ended June 30, 2026 (the "Report") fully complies with the requirements of Section 13(a) of the Securities Exchange Act of 1934 and that information contained in the Report fairly presents, in all material respects, the financial condition and results of operations of Regency Centers, 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tbl>
      <w:tblPr>
        <w:tblW w:w="9151" w:type="dxa"/>
        <w:jc w:val="left"/>
        <w:tblInd w:w="0" w:type="dxa"/>
        <w:tblLayout w:type="fixed"/>
        <w:tblCellMar>
          <w:top w:w="28" w:type="dxa"/>
          <w:left w:w="28" w:type="dxa"/>
          <w:bottom w:w="28" w:type="dxa"/>
          <w:right w:w="28" w:type="dxa"/>
        </w:tblCellMar>
      </w:tblPr>
      <w:tblGrid>
        <w:gridCol w:w="9151"/>
      </w:tblGrid>
      <w:tr>
        <w:trPr/>
        <w:tc>
          <w:tcPr>
            <w:tcW w:w="9151" w:type="dxa"/>
            <w:tcBorders/>
            <w:vAlign w:val="center"/>
          </w:tcPr>
          <w:p>
            <w:pPr>
              <w:pStyle w:val="TableContents"/>
              <w:bidi w:val="0"/>
              <w:spacing w:before="0" w:after="283"/>
              <w:jc w:val="left"/>
              <w:rPr>
                <w:sz w:val="4"/>
                <w:szCs w:val="4"/>
              </w:rPr>
            </w:pPr>
            <w:r>
              <w:rPr>
                <w:sz w:val="4"/>
                <w:szCs w:val="4"/>
              </w:rPr>
            </w:r>
          </w:p>
        </w:tc>
      </w:tr>
      <w:tr>
        <w:trPr/>
        <w:tc>
          <w:tcPr>
            <w:tcW w:w="91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J. Mas</w:t>
            </w:r>
          </w:p>
        </w:tc>
      </w:tr>
      <w:tr>
        <w:trPr/>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Mas</w:t>
            </w:r>
          </w:p>
        </w:tc>
      </w:tr>
      <w:tr>
        <w:trPr/>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of Regency Centers Corporation, general partner of registrant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29143</Words>
  <Characters>165023</Characters>
  <CharactersWithSpaces>198772</CharactersWithSpaces>
  <Paragraphs>16636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