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reg-20260805.htm"/>
      <w:bookmarkStart w:id="1" w:name="ksreg20260805"/>
      <w:bookmarkEnd w:id="0"/>
      <w:bookmarkEnd w:id="1"/>
      <w:r>
        <w:rPr/>
        <w:t> </w:t>
      </w:r>
    </w:p>
    <w:p>
      <w:pPr>
        <w:pStyle w:val="TextBody"/>
        <w:pBdr>
          <w:bottom w:val="double" w:sz="4" w:space="1" w:color="000000"/>
        </w:pBdr>
        <w:bidi w:val="0"/>
        <w:jc w:val="left"/>
        <w:rPr/>
      </w:pPr>
      <w:r>
        <w:rPr/>
        <w:t> </w:t>
      </w:r>
    </w:p>
    <w:p>
      <w:pPr>
        <w:pStyle w:val="TextBody"/>
        <w:bidi w:val="0"/>
        <w:spacing w:before="40" w:after="283"/>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jc w:val="center"/>
        <w:rPr/>
      </w:pPr>
      <w:r>
        <w:rPr/>
        <w:t> </w:t>
      </w:r>
    </w:p>
    <w:p>
      <w:pPr>
        <w:pStyle w:val="TextBody"/>
        <w:bidi w:val="0"/>
        <w:spacing w:before="80" w:after="283"/>
        <w:jc w:val="center"/>
        <w:rPr>
          <w:rFonts w:ascii="Times New Roman" w:hAnsi="Times New Roman"/>
          <w:b/>
          <w:color w:val="000000"/>
          <w:sz w:val="36"/>
        </w:rPr>
      </w:pPr>
      <w:r>
        <w:rPr>
          <w:rFonts w:ascii="Times New Roman" w:hAnsi="Times New Roman"/>
          <w:b/>
          <w:color w:val="000000"/>
          <w:sz w:val="36"/>
        </w:rPr>
        <w:t>FORM 8-K</w:t>
      </w:r>
    </w:p>
    <w:p>
      <w:pPr>
        <w:pStyle w:val="TextBody"/>
        <w:bidi w:val="0"/>
        <w:spacing w:before="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p>
      <w:pPr>
        <w:pStyle w:val="TextBody"/>
        <w:bidi w:val="0"/>
        <w:spacing w:before="80" w:after="283"/>
        <w:jc w:val="center"/>
        <w:rPr>
          <w:rFonts w:ascii="Times New Roman" w:hAnsi="Times New Roman"/>
          <w:b/>
          <w:color w:val="000000"/>
          <w:sz w:val="24"/>
        </w:rPr>
      </w:pPr>
      <w:r>
        <w:rPr>
          <w:rFonts w:ascii="Times New Roman" w:hAnsi="Times New Roman"/>
          <w:b/>
          <w:color w:val="000000"/>
          <w:sz w:val="24"/>
        </w:rPr>
        <w:t>August 6, 2026 (August 5, 2026)</w:t>
      </w:r>
    </w:p>
    <w:p>
      <w:pPr>
        <w:pStyle w:val="TextBody"/>
        <w:bidi w:val="0"/>
        <w:jc w:val="center"/>
        <w:rPr>
          <w:rFonts w:ascii="Times New Roman" w:hAnsi="Times New Roman"/>
          <w:b/>
          <w:color w:val="000000"/>
          <w:sz w:val="24"/>
        </w:rPr>
      </w:pPr>
      <w:r>
        <w:rPr>
          <w:rFonts w:ascii="Times New Roman" w:hAnsi="Times New Roman"/>
          <w:b/>
          <w:color w:val="000000"/>
          <w:sz w:val="24"/>
        </w:rPr>
        <w:t>Date of Report (Date of earliest event reported)</w:t>
      </w:r>
    </w:p>
    <w:p>
      <w:pPr>
        <w:pStyle w:val="TextBody"/>
        <w:pBdr>
          <w:bottom w:val="single" w:sz="4" w:space="1" w:color="000000"/>
        </w:pBdr>
        <w:bidi w:val="0"/>
        <w:jc w:val="center"/>
        <w:rPr/>
      </w:pPr>
      <w:r>
        <w:rPr/>
        <w:t> </w:t>
      </w:r>
    </w:p>
    <w:p>
      <w:pPr>
        <w:pStyle w:val="TextBody"/>
        <w:bidi w:val="0"/>
        <w:spacing w:before="80" w:after="283"/>
        <w:jc w:val="center"/>
        <w:rPr>
          <w:rFonts w:ascii="Times New Roman" w:hAnsi="Times New Roman"/>
          <w:b/>
          <w:color w:val="000000"/>
          <w:sz w:val="48"/>
        </w:rPr>
      </w:pPr>
      <w:r>
        <w:rPr>
          <w:rFonts w:ascii="Times New Roman" w:hAnsi="Times New Roman"/>
          <w:b/>
          <w:color w:val="000000"/>
          <w:sz w:val="48"/>
        </w:rPr>
        <w:t>REGENCY CENTERS CORPORATION</w:t>
      </w:r>
    </w:p>
    <w:p>
      <w:pPr>
        <w:pStyle w:val="TextBody"/>
        <w:bidi w:val="0"/>
        <w:spacing w:before="80" w:after="283"/>
        <w:jc w:val="center"/>
        <w:rPr>
          <w:rFonts w:ascii="Times New Roman" w:hAnsi="Times New Roman"/>
          <w:b/>
          <w:color w:val="000000"/>
          <w:sz w:val="48"/>
        </w:rPr>
      </w:pPr>
      <w:r>
        <w:rPr>
          <w:rFonts w:ascii="Times New Roman" w:hAnsi="Times New Roman"/>
          <w:b/>
          <w:color w:val="000000"/>
          <w:sz w:val="48"/>
        </w:rPr>
        <w:t>REGENCY CENTERS, L.P.</w:t>
      </w:r>
    </w:p>
    <w:p>
      <w:pPr>
        <w:pStyle w:val="TextBody"/>
        <w:bidi w:val="0"/>
        <w:jc w:val="center"/>
        <w:rPr>
          <w:rFonts w:ascii="Times New Roman" w:hAnsi="Times New Roman"/>
          <w:color w:val="000000"/>
          <w:sz w:val="20"/>
        </w:rPr>
      </w:pPr>
      <w:r>
        <w:rPr>
          <w:rFonts w:ascii="Times New Roman" w:hAnsi="Times New Roman"/>
          <w:color w:val="000000"/>
          <w:sz w:val="20"/>
        </w:rPr>
        <w:t>(Exact name of registrant as specified in its charter)</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161"/>
        <w:gridCol w:w="146"/>
        <w:gridCol w:w="3300"/>
        <w:gridCol w:w="176"/>
        <w:gridCol w:w="3422"/>
      </w:tblGrid>
      <w:tr>
        <w:trPr/>
        <w:tc>
          <w:tcPr>
            <w:tcW w:w="3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0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422" w:type="dxa"/>
            <w:tcBorders/>
            <w:vAlign w:val="center"/>
          </w:tcPr>
          <w:p>
            <w:pPr>
              <w:pStyle w:val="TableContents"/>
              <w:bidi w:val="0"/>
              <w:spacing w:before="0" w:after="283"/>
              <w:jc w:val="left"/>
              <w:rPr>
                <w:sz w:val="4"/>
                <w:szCs w:val="4"/>
              </w:rPr>
            </w:pPr>
            <w:r>
              <w:rPr>
                <w:sz w:val="4"/>
                <w:szCs w:val="4"/>
              </w:rPr>
            </w:r>
          </w:p>
        </w:tc>
      </w:tr>
      <w:tr>
        <w:trPr/>
        <w:tc>
          <w:tcPr>
            <w:tcW w:w="3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00"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1123950" cy="4953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23950" cy="495300"/>
                          </a:xfrm>
                          <a:prstGeom prst="rect">
                            <a:avLst/>
                          </a:prstGeom>
                        </pic:spPr>
                      </pic:pic>
                    </a:graphicData>
                  </a:graphic>
                </wp:inline>
              </w:drawing>
            </w:r>
          </w:p>
        </w:tc>
        <w:tc>
          <w:tcPr>
            <w:tcW w:w="176" w:type="dxa"/>
            <w:tcBorders/>
            <w:tcMar>
              <w:top w:w="0" w:type="dxa"/>
              <w:left w:w="0" w:type="dxa"/>
              <w:bottom w:w="0" w:type="dxa"/>
              <w:right w:w="0" w:type="dxa"/>
            </w:tcMar>
            <w:vAlign w:val="center"/>
          </w:tcPr>
          <w:p>
            <w:pPr>
              <w:pStyle w:val="TableContents"/>
              <w:bidi w:val="0"/>
              <w:spacing w:before="0" w:after="283"/>
              <w:jc w:val="left"/>
              <w:rPr/>
            </w:pPr>
            <w:r>
              <w:rPr/>
              <w:t> </w:t>
            </w:r>
          </w:p>
        </w:tc>
        <w:tc>
          <w:tcPr>
            <w:tcW w:w="342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161" w:type="dxa"/>
            <w:tcBorders/>
            <w:tcMar>
              <w:top w:w="0" w:type="dxa"/>
              <w:left w:w="0" w:type="dxa"/>
              <w:bottom w:w="0" w:type="dxa"/>
              <w:right w:w="0" w:type="dxa"/>
            </w:tcMar>
            <w:vAlign w:val="center"/>
          </w:tcPr>
          <w:p>
            <w:pPr>
              <w:pStyle w:val="TableContents"/>
              <w:bidi w:val="0"/>
              <w:jc w:val="center"/>
              <w:rPr>
                <w:rFonts w:ascii="Times New Roman" w:hAnsi="Times New Roman"/>
                <w:sz w:val="20"/>
              </w:rPr>
            </w:pPr>
            <w:r>
              <w:rPr>
                <w:rFonts w:ascii="Times New Roman" w:hAnsi="Times New Roman"/>
                <w:b/>
                <w:color w:val="000000"/>
                <w:sz w:val="18"/>
              </w:rPr>
              <w:t>Florida</w:t>
            </w:r>
            <w:r>
              <w:rPr>
                <w:rFonts w:ascii="Times New Roman" w:hAnsi="Times New Roman"/>
                <w:color w:val="000000"/>
                <w:sz w:val="20"/>
              </w:rPr>
              <w:t> </w:t>
            </w:r>
            <w:r>
              <w:rPr>
                <w:rFonts w:ascii="Times New Roman" w:hAnsi="Times New Roman"/>
                <w:b/>
                <w:color w:val="000000"/>
                <w:sz w:val="18"/>
              </w:rPr>
              <w:t>(Regency Centers Corporation)</w:t>
            </w:r>
          </w:p>
          <w:p>
            <w:pPr>
              <w:pStyle w:val="TableContents"/>
              <w:bidi w:val="0"/>
              <w:spacing w:before="0" w:after="283"/>
              <w:jc w:val="center"/>
              <w:rPr>
                <w:rFonts w:ascii="Times New Roman" w:hAnsi="Times New Roman"/>
                <w:sz w:val="20"/>
              </w:rPr>
            </w:pPr>
            <w:r>
              <w:rPr>
                <w:rFonts w:ascii="Times New Roman" w:hAnsi="Times New Roman"/>
                <w:b/>
                <w:color w:val="000000"/>
                <w:sz w:val="18"/>
              </w:rPr>
              <w:t>Delaware</w:t>
            </w:r>
            <w:r>
              <w:rPr>
                <w:rFonts w:ascii="Times New Roman" w:hAnsi="Times New Roman"/>
                <w:color w:val="000000"/>
                <w:sz w:val="20"/>
              </w:rPr>
              <w:t> </w:t>
            </w:r>
            <w:r>
              <w:rPr>
                <w:rFonts w:ascii="Times New Roman" w:hAnsi="Times New Roman"/>
                <w:b/>
                <w:color w:val="000000"/>
                <w:sz w:val="18"/>
              </w:rPr>
              <w:t>(Regency Centers, L. P.)</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00" w:type="dxa"/>
            <w:tcBorders/>
            <w:tcMar>
              <w:top w:w="0" w:type="dxa"/>
              <w:left w:w="0" w:type="dxa"/>
              <w:bottom w:w="0" w:type="dxa"/>
              <w:right w:w="0" w:type="dxa"/>
            </w:tcMar>
            <w:vAlign w:val="center"/>
          </w:tcPr>
          <w:p>
            <w:pPr>
              <w:pStyle w:val="TableContents"/>
              <w:bidi w:val="0"/>
              <w:jc w:val="center"/>
              <w:rPr>
                <w:rFonts w:ascii="Times New Roman" w:hAnsi="Times New Roman"/>
                <w:sz w:val="20"/>
              </w:rPr>
            </w:pPr>
            <w:r>
              <w:rPr>
                <w:rFonts w:ascii="Times New Roman" w:hAnsi="Times New Roman"/>
                <w:b/>
                <w:color w:val="000000"/>
                <w:sz w:val="18"/>
              </w:rPr>
              <w:t>001-12298</w:t>
            </w:r>
            <w:r>
              <w:rPr>
                <w:rFonts w:ascii="Times New Roman" w:hAnsi="Times New Roman"/>
                <w:color w:val="000000"/>
                <w:sz w:val="20"/>
              </w:rPr>
              <w:t> </w:t>
            </w:r>
            <w:r>
              <w:rPr>
                <w:rFonts w:ascii="Times New Roman" w:hAnsi="Times New Roman"/>
                <w:b/>
                <w:color w:val="000000"/>
                <w:sz w:val="18"/>
              </w:rPr>
              <w:t>(Regency Centers Corporation)</w:t>
            </w:r>
          </w:p>
          <w:p>
            <w:pPr>
              <w:pStyle w:val="TableContents"/>
              <w:bidi w:val="0"/>
              <w:spacing w:before="0" w:after="283"/>
              <w:jc w:val="center"/>
              <w:rPr>
                <w:rFonts w:ascii="Times New Roman" w:hAnsi="Times New Roman"/>
                <w:sz w:val="20"/>
              </w:rPr>
            </w:pPr>
            <w:r>
              <w:rPr>
                <w:rFonts w:ascii="Times New Roman" w:hAnsi="Times New Roman"/>
                <w:b/>
                <w:color w:val="000000"/>
                <w:sz w:val="18"/>
              </w:rPr>
              <w:t>0-24763</w:t>
            </w:r>
            <w:r>
              <w:rPr>
                <w:rFonts w:ascii="Times New Roman" w:hAnsi="Times New Roman"/>
                <w:color w:val="000000"/>
                <w:sz w:val="20"/>
              </w:rPr>
              <w:t> </w:t>
            </w:r>
            <w:r>
              <w:rPr>
                <w:rFonts w:ascii="Times New Roman" w:hAnsi="Times New Roman"/>
                <w:b/>
                <w:color w:val="000000"/>
                <w:sz w:val="18"/>
              </w:rPr>
              <w:t>(Regency Centers, L.P.)</w:t>
            </w:r>
          </w:p>
        </w:tc>
        <w:tc>
          <w:tcPr>
            <w:tcW w:w="176" w:type="dxa"/>
            <w:tcBorders/>
            <w:tcMar>
              <w:top w:w="0" w:type="dxa"/>
              <w:left w:w="0" w:type="dxa"/>
              <w:bottom w:w="0" w:type="dxa"/>
              <w:right w:w="0" w:type="dxa"/>
            </w:tcMar>
            <w:vAlign w:val="center"/>
          </w:tcPr>
          <w:p>
            <w:pPr>
              <w:pStyle w:val="TableContents"/>
              <w:bidi w:val="0"/>
              <w:spacing w:before="0" w:after="283"/>
              <w:jc w:val="left"/>
              <w:rPr/>
            </w:pPr>
            <w:r>
              <w:rPr/>
              <w:t> </w:t>
            </w:r>
          </w:p>
        </w:tc>
        <w:tc>
          <w:tcPr>
            <w:tcW w:w="3422" w:type="dxa"/>
            <w:tcBorders/>
            <w:tcMar>
              <w:top w:w="0" w:type="dxa"/>
              <w:left w:w="0" w:type="dxa"/>
              <w:bottom w:w="0" w:type="dxa"/>
              <w:right w:w="0" w:type="dxa"/>
            </w:tcMar>
            <w:vAlign w:val="center"/>
          </w:tcPr>
          <w:p>
            <w:pPr>
              <w:pStyle w:val="TableContents"/>
              <w:bidi w:val="0"/>
              <w:jc w:val="center"/>
              <w:rPr>
                <w:rFonts w:ascii="Times New Roman" w:hAnsi="Times New Roman"/>
                <w:sz w:val="20"/>
              </w:rPr>
            </w:pPr>
            <w:r>
              <w:rPr>
                <w:rFonts w:ascii="Times New Roman" w:hAnsi="Times New Roman"/>
                <w:b/>
                <w:color w:val="000000"/>
                <w:sz w:val="18"/>
              </w:rPr>
              <w:t>59-3191743</w:t>
            </w:r>
            <w:r>
              <w:rPr>
                <w:rFonts w:ascii="Times New Roman" w:hAnsi="Times New Roman"/>
                <w:color w:val="000000"/>
                <w:sz w:val="20"/>
              </w:rPr>
              <w:t> </w:t>
            </w:r>
            <w:r>
              <w:rPr>
                <w:rFonts w:ascii="Times New Roman" w:hAnsi="Times New Roman"/>
                <w:b/>
                <w:color w:val="000000"/>
                <w:sz w:val="18"/>
              </w:rPr>
              <w:t>(Regency Centers Corporation)</w:t>
            </w:r>
          </w:p>
          <w:p>
            <w:pPr>
              <w:pStyle w:val="TableContents"/>
              <w:bidi w:val="0"/>
              <w:spacing w:before="0" w:after="283"/>
              <w:ind w:left="0" w:right="0" w:firstLine="30"/>
              <w:jc w:val="center"/>
              <w:rPr>
                <w:rFonts w:ascii="Times New Roman" w:hAnsi="Times New Roman"/>
                <w:sz w:val="20"/>
              </w:rPr>
            </w:pPr>
            <w:r>
              <w:rPr>
                <w:rFonts w:ascii="Times New Roman" w:hAnsi="Times New Roman"/>
                <w:b/>
                <w:color w:val="000000"/>
                <w:sz w:val="18"/>
              </w:rPr>
              <w:t>59-3429602</w:t>
            </w:r>
            <w:r>
              <w:rPr>
                <w:rFonts w:ascii="Times New Roman" w:hAnsi="Times New Roman"/>
                <w:color w:val="000000"/>
                <w:sz w:val="20"/>
              </w:rPr>
              <w:t> </w:t>
            </w:r>
            <w:r>
              <w:rPr>
                <w:rFonts w:ascii="Times New Roman" w:hAnsi="Times New Roman"/>
                <w:b/>
                <w:color w:val="000000"/>
                <w:sz w:val="18"/>
              </w:rPr>
              <w:t>(Regency Centers, L.P.)</w:t>
            </w:r>
          </w:p>
        </w:tc>
      </w:tr>
      <w:tr>
        <w:trPr/>
        <w:tc>
          <w:tcPr>
            <w:tcW w:w="3161"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6"/>
              </w:rPr>
            </w:pPr>
            <w:r>
              <w:rPr>
                <w:rFonts w:ascii="Times New Roman" w:hAnsi="Times New Roman"/>
                <w:color w:val="000000"/>
                <w:sz w:val="16"/>
              </w:rPr>
              <w:t>(State or other jurisdiction of incorporation)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0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(Commission File Number)</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3422"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6"/>
              </w:rPr>
            </w:pPr>
            <w:r>
              <w:rPr>
                <w:rFonts w:ascii="Times New Roman" w:hAnsi="Times New Roman"/>
                <w:color w:val="000000"/>
                <w:sz w:val="16"/>
              </w:rPr>
              <w:t>(IRS Employer Identification No.)</w:t>
            </w:r>
          </w:p>
        </w:tc>
      </w:tr>
    </w:tbl>
    <w:p>
      <w:pPr>
        <w:pStyle w:val="TextBody"/>
        <w:bidi w:val="0"/>
        <w:jc w:val="left"/>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One Independent Drive, Suite 114</w:t>
      </w:r>
    </w:p>
    <w:p>
      <w:pPr>
        <w:pStyle w:val="TextBody"/>
        <w:bidi w:val="0"/>
        <w:jc w:val="center"/>
        <w:rPr>
          <w:rFonts w:ascii="Times New Roman" w:hAnsi="Times New Roman"/>
          <w:sz w:val="20"/>
        </w:rPr>
      </w:pPr>
      <w:r>
        <w:rPr>
          <w:rFonts w:ascii="Times New Roman" w:hAnsi="Times New Roman"/>
          <w:b/>
          <w:color w:val="000000"/>
          <w:sz w:val="24"/>
        </w:rPr>
        <w:t>Jacksonville, Florida</w:t>
      </w:r>
      <w:r>
        <w:rPr>
          <w:rFonts w:ascii="Times New Roman" w:hAnsi="Times New Roman"/>
          <w:color w:val="000000"/>
          <w:sz w:val="20"/>
        </w:rPr>
        <w:t xml:space="preserve"> </w:t>
      </w:r>
      <w:r>
        <w:rPr>
          <w:rFonts w:ascii="Times New Roman" w:hAnsi="Times New Roman"/>
          <w:b/>
          <w:color w:val="000000"/>
          <w:sz w:val="24"/>
        </w:rPr>
        <w:t>32202</w:t>
      </w:r>
    </w:p>
    <w:p>
      <w:pPr>
        <w:pStyle w:val="TextBody"/>
        <w:bidi w:val="0"/>
        <w:jc w:val="center"/>
        <w:rPr>
          <w:rFonts w:ascii="Times New Roman" w:hAnsi="Times New Roman"/>
          <w:color w:val="000000"/>
          <w:sz w:val="16"/>
        </w:rPr>
      </w:pPr>
      <w:r>
        <w:rPr>
          <w:rFonts w:ascii="Times New Roman" w:hAnsi="Times New Roman"/>
          <w:color w:val="000000"/>
          <w:sz w:val="16"/>
        </w:rPr>
        <w:t>(Address of principal executive offices) (Zip Code)</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(904) 598-7000</w:t>
      </w:r>
    </w:p>
    <w:p>
      <w:pPr>
        <w:pStyle w:val="TextBody"/>
        <w:bidi w:val="0"/>
        <w:jc w:val="center"/>
        <w:rPr>
          <w:rFonts w:ascii="Times New Roman" w:hAnsi="Times New Roman"/>
          <w:color w:val="000000"/>
          <w:sz w:val="16"/>
        </w:rPr>
      </w:pPr>
      <w:r>
        <w:rPr>
          <w:rFonts w:ascii="Times New Roman" w:hAnsi="Times New Roman"/>
          <w:color w:val="000000"/>
          <w:sz w:val="16"/>
        </w:rPr>
        <w:t>(Registrant's telephone number, including area code)</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Not Applicable</w:t>
      </w:r>
    </w:p>
    <w:p>
      <w:pPr>
        <w:pStyle w:val="TextBody"/>
        <w:bidi w:val="0"/>
        <w:jc w:val="center"/>
        <w:rPr>
          <w:rFonts w:ascii="Times New Roman" w:hAnsi="Times New Roman"/>
          <w:color w:val="000000"/>
          <w:sz w:val="16"/>
        </w:rPr>
      </w:pPr>
      <w:r>
        <w:rPr>
          <w:rFonts w:ascii="Times New Roman" w:hAnsi="Times New Roman"/>
          <w:color w:val="000000"/>
          <w:sz w:val="16"/>
        </w:rPr>
        <w:t>(Former name or former address, if changed since last report)</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p>
      <w:pPr>
        <w:pStyle w:val="TextBody"/>
        <w:bidi w:val="0"/>
        <w:jc w:val="center"/>
        <w:rPr>
          <w:rFonts w:ascii="Times New Roman" w:hAnsi="Times New Roman"/>
          <w:b/>
          <w:color w:val="000000"/>
          <w:sz w:val="20"/>
        </w:rPr>
      </w:pPr>
      <w:r>
        <w:rPr>
          <w:rFonts w:ascii="Times New Roman" w:hAnsi="Times New Roman"/>
          <w:b/>
          <w:color w:val="000000"/>
          <w:sz w:val="20"/>
        </w:rPr>
        <w:t>Regency Centers Corporation</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5665"/>
        <w:gridCol w:w="146"/>
        <w:gridCol w:w="1212"/>
        <w:gridCol w:w="146"/>
        <w:gridCol w:w="3036"/>
      </w:tblGrid>
      <w:tr>
        <w:trPr/>
        <w:tc>
          <w:tcPr>
            <w:tcW w:w="56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6" w:type="dxa"/>
            <w:tcBorders/>
            <w:vAlign w:val="center"/>
          </w:tcPr>
          <w:p>
            <w:pPr>
              <w:pStyle w:val="TableContents"/>
              <w:bidi w:val="0"/>
              <w:spacing w:before="0" w:after="283"/>
              <w:jc w:val="left"/>
              <w:rPr>
                <w:sz w:val="4"/>
                <w:szCs w:val="4"/>
              </w:rPr>
            </w:pPr>
            <w:r>
              <w:rPr>
                <w:sz w:val="4"/>
                <w:szCs w:val="4"/>
              </w:rPr>
            </w:r>
          </w:p>
        </w:tc>
      </w:tr>
      <w:tr>
        <w:trPr/>
        <w:tc>
          <w:tcPr>
            <w:tcW w:w="5665"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1212"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Trading Symbol</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3036"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566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 $0.01 par value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REG</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0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The Nasdaq Stock Market LLC</w:t>
            </w:r>
          </w:p>
        </w:tc>
      </w:tr>
      <w:tr>
        <w:trPr/>
        <w:tc>
          <w:tcPr>
            <w:tcW w:w="566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6.250% Series A Cumulative Redeemable Preferred Stock, par value $0.01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1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REGCP</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0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The Nasdaq Stock Market LLC</w:t>
            </w:r>
          </w:p>
        </w:tc>
      </w:tr>
      <w:tr>
        <w:trPr/>
        <w:tc>
          <w:tcPr>
            <w:tcW w:w="566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5.875% Series B Cumulative Redeemable Preferred Stock, par value $0.01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1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REGCO</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0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The Nasdaq Stock Market LLC</w:t>
            </w:r>
          </w:p>
        </w:tc>
      </w:tr>
    </w:tbl>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Regency Centers, L.P.</w:t>
      </w:r>
    </w:p>
    <w:tbl>
      <w:tblPr>
        <w:tblW w:w="6206" w:type="dxa"/>
        <w:jc w:val="left"/>
        <w:tblInd w:w="0" w:type="dxa"/>
        <w:tblLayout w:type="fixed"/>
        <w:tblCellMar>
          <w:top w:w="28" w:type="dxa"/>
          <w:left w:w="28" w:type="dxa"/>
          <w:bottom w:w="28" w:type="dxa"/>
          <w:right w:w="28" w:type="dxa"/>
        </w:tblCellMar>
      </w:tblPr>
      <w:tblGrid>
        <w:gridCol w:w="1396"/>
        <w:gridCol w:w="109"/>
        <w:gridCol w:w="1276"/>
        <w:gridCol w:w="109"/>
        <w:gridCol w:w="3316"/>
      </w:tblGrid>
      <w:tr>
        <w:trPr/>
        <w:tc>
          <w:tcPr>
            <w:tcW w:w="1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139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0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76"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Trading Symbol</w:t>
            </w:r>
          </w:p>
        </w:tc>
        <w:tc>
          <w:tcPr>
            <w:tcW w:w="109"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316"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13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None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w:t>
            </w:r>
          </w:p>
        </w:tc>
      </w:tr>
    </w:tbl>
    <w:p>
      <w:pPr>
        <w:pStyle w:val="TextBody"/>
        <w:bidi w:val="0"/>
        <w:spacing w:before="80" w:after="283"/>
        <w:jc w:val="both"/>
        <w:rPr>
          <w:rFonts w:ascii="Times New Roman" w:hAnsi="Times New Roman"/>
          <w:color w:val="000000"/>
          <w:sz w:val="20"/>
        </w:rPr>
      </w:pPr>
      <w:r>
        <w:rPr>
          <w:rFonts w:ascii="Times New Roman" w:hAnsi="Times New Roman"/>
          <w:color w:val="000000"/>
          <w:sz w:val="20"/>
        </w:rPr>
        <w:t>Check the appropriate box below if the Form 8-K filing is intended to simultaneously satisfy the filing obligation of the registrant under any of the following provisions:</w:t>
      </w:r>
    </w:p>
    <w:p>
      <w:pPr>
        <w:pStyle w:val="TextBody"/>
        <w:bidi w:val="0"/>
        <w:jc w:val="left"/>
        <w:rPr/>
      </w:pPr>
      <w:r>
        <w:rPr/>
        <w:t> </w:t>
      </w:r>
    </w:p>
    <w:tbl>
      <w:tblPr>
        <w:tblW w:w="9658" w:type="dxa"/>
        <w:jc w:val="left"/>
        <w:tblInd w:w="0" w:type="dxa"/>
        <w:tblLayout w:type="fixed"/>
        <w:tblCellMar>
          <w:top w:w="28" w:type="dxa"/>
          <w:left w:w="28" w:type="dxa"/>
          <w:bottom w:w="28" w:type="dxa"/>
          <w:right w:w="28" w:type="dxa"/>
        </w:tblCellMar>
      </w:tblPr>
      <w:tblGrid>
        <w:gridCol w:w="331"/>
        <w:gridCol w:w="146"/>
        <w:gridCol w:w="9181"/>
      </w:tblGrid>
      <w:tr>
        <w:trPr/>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8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Written communications pursuant to Rule 425 under the Securities Act (17 CFR 230 .425)</w:t>
            </w:r>
          </w:p>
        </w:tc>
      </w:tr>
      <w:tr>
        <w:trPr/>
        <w:tc>
          <w:tcPr>
            <w:tcW w:w="331"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r>
        <w:trPr/>
        <w:tc>
          <w:tcPr>
            <w:tcW w:w="331"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r>
        <w:trPr/>
        <w:tc>
          <w:tcPr>
            <w:tcW w:w="331"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jc w:val="both"/>
        <w:rPr>
          <w:rFonts w:ascii="Times New Roman" w:hAnsi="Times New Roman"/>
          <w:color w:val="000000"/>
          <w:sz w:val="20"/>
        </w:rPr>
      </w:pPr>
      <w:r>
        <w:rPr>
          <w:rFonts w:ascii="Times New Roman" w:hAnsi="Times New Roman"/>
          <w:color w:val="000000"/>
          <w:sz w:val="20"/>
        </w:rPr>
        <w:t xml:space="preserve">Emerging growth company ☐ </w:t>
      </w:r>
    </w:p>
    <w:p>
      <w:pPr>
        <w:pStyle w:val="TextBody"/>
        <w:bidi w:val="0"/>
        <w:jc w:val="both"/>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pBdr>
          <w:bottom w:val="double" w:sz="4"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tbl>
      <w:tblPr>
        <w:tblW w:w="3302" w:type="dxa"/>
        <w:jc w:val="left"/>
        <w:tblInd w:w="0" w:type="dxa"/>
        <w:tblLayout w:type="fixed"/>
        <w:tblCellMar>
          <w:top w:w="28" w:type="dxa"/>
          <w:left w:w="28" w:type="dxa"/>
          <w:bottom w:w="28" w:type="dxa"/>
          <w:right w:w="28" w:type="dxa"/>
        </w:tblCellMar>
      </w:tblPr>
      <w:tblGrid>
        <w:gridCol w:w="916"/>
        <w:gridCol w:w="2386"/>
      </w:tblGrid>
      <w:tr>
        <w:trPr/>
        <w:tc>
          <w:tcPr>
            <w:tcW w:w="916" w:type="dxa"/>
            <w:tcBorders/>
            <w:vAlign w:val="center"/>
          </w:tcPr>
          <w:p>
            <w:pPr>
              <w:pStyle w:val="TableContents"/>
              <w:bidi w:val="0"/>
              <w:spacing w:before="0" w:after="283"/>
              <w:jc w:val="left"/>
              <w:rPr>
                <w:sz w:val="4"/>
                <w:szCs w:val="4"/>
              </w:rPr>
            </w:pPr>
            <w:r>
              <w:rPr>
                <w:sz w:val="4"/>
                <w:szCs w:val="4"/>
              </w:rPr>
            </w:r>
          </w:p>
        </w:tc>
        <w:tc>
          <w:tcPr>
            <w:tcW w:w="2386" w:type="dxa"/>
            <w:tcBorders/>
            <w:vAlign w:val="center"/>
          </w:tcPr>
          <w:p>
            <w:pPr>
              <w:pStyle w:val="TableContents"/>
              <w:bidi w:val="0"/>
              <w:spacing w:before="0" w:after="283"/>
              <w:jc w:val="left"/>
              <w:rPr>
                <w:sz w:val="4"/>
                <w:szCs w:val="4"/>
              </w:rPr>
            </w:pPr>
            <w:r>
              <w:rPr>
                <w:sz w:val="4"/>
                <w:szCs w:val="4"/>
              </w:rPr>
            </w:r>
          </w:p>
        </w:tc>
      </w:tr>
      <w:tr>
        <w:trPr/>
        <w:tc>
          <w:tcPr>
            <w:tcW w:w="9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7.01</w:t>
            </w:r>
          </w:p>
        </w:tc>
        <w:tc>
          <w:tcPr>
            <w:tcW w:w="238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Regulation FD Disclosures</w:t>
            </w:r>
          </w:p>
        </w:tc>
      </w:tr>
    </w:tbl>
    <w:p>
      <w:pPr>
        <w:pStyle w:val="TextBody"/>
        <w:bidi w:val="0"/>
        <w:jc w:val="both"/>
        <w:rPr/>
      </w:pPr>
      <w:r>
        <w:rPr/>
        <w:t> </w:t>
      </w:r>
    </w:p>
    <w:p>
      <w:pPr>
        <w:pStyle w:val="TextBody"/>
        <w:bidi w:val="0"/>
        <w:jc w:val="both"/>
        <w:rPr>
          <w:rFonts w:ascii="Times New Roman" w:hAnsi="Times New Roman"/>
          <w:sz w:val="20"/>
        </w:rPr>
      </w:pPr>
      <w:r>
        <w:rPr>
          <w:rFonts w:ascii="Times New Roman" w:hAnsi="Times New Roman"/>
          <w:i/>
          <w:color w:val="000000"/>
          <w:sz w:val="20"/>
        </w:rPr>
        <w:t>Declaration of Dividend for Common Stock and Series A and Series B Preferred Stock</w:t>
      </w:r>
      <w:r>
        <w:rPr>
          <w:rFonts w:ascii="Times New Roman" w:hAnsi="Times New Roman"/>
          <w:color w:val="000000"/>
          <w:sz w:val="20"/>
        </w:rPr>
        <w:t xml:space="preserve"> </w:t>
      </w:r>
    </w:p>
    <w:p>
      <w:pPr>
        <w:pStyle w:val="TextBody"/>
        <w:bidi w:val="0"/>
        <w:jc w:val="both"/>
        <w:rPr/>
      </w:pPr>
      <w:r>
        <w:rPr/>
        <w:t> </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 xml:space="preserve">On August 5, 2026, the Board of Directors of Regency Centers Corporation (the “Company”):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Declared a dividend on the Company's common stock of $0.755 per share, payable on October 2, 2026 to shareholders of record as of September 11, 2026.</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Declared a dividend on the Company’s 6.250% Series A Cumulative Redeemable Preferred Stock (the “Series A Preferred Stock”), which will be paid at a rate of $0.390625 per share on October 30, 2026. The dividend will be payable to holders of record of the Company’s Series A Preferred Stock as of the close of business on October 15, 2026; and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Declared a dividend on the Company’s 5.875% Series B Cumulative Redeemable Preferred Stock (the “Series B Preferred Stock”), which will be paid at a rate of $0.367200 per share on October 30, 2026. The dividend will be payable to holders of record of the Company’s Series B Preferred Stock as of the close of business on October 15, 2026. </w:t>
      </w:r>
    </w:p>
    <w:p>
      <w:pPr>
        <w:pStyle w:val="TextBody"/>
        <w:bidi w:val="0"/>
        <w:jc w:val="both"/>
        <w:rPr/>
      </w:pPr>
      <w:r>
        <w:rPr/>
        <w:t> </w:t>
      </w:r>
    </w:p>
    <w:tbl>
      <w:tblPr>
        <w:tblW w:w="4172" w:type="dxa"/>
        <w:jc w:val="left"/>
        <w:tblInd w:w="0" w:type="dxa"/>
        <w:tblLayout w:type="fixed"/>
        <w:tblCellMar>
          <w:top w:w="28" w:type="dxa"/>
          <w:left w:w="28" w:type="dxa"/>
          <w:bottom w:w="28" w:type="dxa"/>
          <w:right w:w="28" w:type="dxa"/>
        </w:tblCellMar>
      </w:tblPr>
      <w:tblGrid>
        <w:gridCol w:w="1141"/>
        <w:gridCol w:w="3031"/>
      </w:tblGrid>
      <w:tr>
        <w:trPr/>
        <w:tc>
          <w:tcPr>
            <w:tcW w:w="1141" w:type="dxa"/>
            <w:tcBorders/>
            <w:vAlign w:val="center"/>
          </w:tcPr>
          <w:p>
            <w:pPr>
              <w:pStyle w:val="TableContents"/>
              <w:bidi w:val="0"/>
              <w:spacing w:before="0" w:after="283"/>
              <w:jc w:val="left"/>
              <w:rPr>
                <w:sz w:val="4"/>
                <w:szCs w:val="4"/>
              </w:rPr>
            </w:pPr>
            <w:r>
              <w:rPr>
                <w:sz w:val="4"/>
                <w:szCs w:val="4"/>
              </w:rPr>
            </w:r>
          </w:p>
        </w:tc>
        <w:tc>
          <w:tcPr>
            <w:tcW w:w="3031" w:type="dxa"/>
            <w:tcBorders/>
            <w:vAlign w:val="center"/>
          </w:tcPr>
          <w:p>
            <w:pPr>
              <w:pStyle w:val="TableContents"/>
              <w:bidi w:val="0"/>
              <w:spacing w:before="0" w:after="283"/>
              <w:jc w:val="left"/>
              <w:rPr>
                <w:sz w:val="4"/>
                <w:szCs w:val="4"/>
              </w:rPr>
            </w:pPr>
            <w:r>
              <w:rPr>
                <w:sz w:val="4"/>
                <w:szCs w:val="4"/>
              </w:rPr>
            </w:r>
          </w:p>
        </w:tc>
      </w:tr>
      <w:tr>
        <w:trPr/>
        <w:tc>
          <w:tcPr>
            <w:tcW w:w="1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9.01(d)</w:t>
            </w:r>
          </w:p>
        </w:tc>
        <w:tc>
          <w:tcPr>
            <w:tcW w:w="303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Financial Statements and Exhibits</w:t>
            </w:r>
          </w:p>
        </w:tc>
      </w:tr>
    </w:tbl>
    <w:p>
      <w:pPr>
        <w:pStyle w:val="TextBody"/>
        <w:bidi w:val="0"/>
        <w:jc w:val="both"/>
        <w:rPr/>
      </w:pPr>
      <w:r>
        <w:rPr/>
        <w:t> </w:t>
      </w:r>
    </w:p>
    <w:tbl>
      <w:tblPr>
        <w:tblW w:w="7112" w:type="dxa"/>
        <w:jc w:val="left"/>
        <w:tblInd w:w="0" w:type="dxa"/>
        <w:tblLayout w:type="fixed"/>
        <w:tblCellMar>
          <w:top w:w="28" w:type="dxa"/>
          <w:left w:w="28" w:type="dxa"/>
          <w:bottom w:w="28" w:type="dxa"/>
          <w:right w:w="28" w:type="dxa"/>
        </w:tblCellMar>
      </w:tblPr>
      <w:tblGrid>
        <w:gridCol w:w="1141"/>
        <w:gridCol w:w="5971"/>
      </w:tblGrid>
      <w:tr>
        <w:trPr/>
        <w:tc>
          <w:tcPr>
            <w:tcW w:w="1141" w:type="dxa"/>
            <w:tcBorders/>
            <w:vAlign w:val="center"/>
          </w:tcPr>
          <w:p>
            <w:pPr>
              <w:pStyle w:val="TableContents"/>
              <w:bidi w:val="0"/>
              <w:spacing w:before="0" w:after="283"/>
              <w:jc w:val="left"/>
              <w:rPr>
                <w:sz w:val="4"/>
                <w:szCs w:val="4"/>
              </w:rPr>
            </w:pPr>
            <w:r>
              <w:rPr>
                <w:sz w:val="4"/>
                <w:szCs w:val="4"/>
              </w:rPr>
            </w:r>
          </w:p>
        </w:tc>
        <w:tc>
          <w:tcPr>
            <w:tcW w:w="5971" w:type="dxa"/>
            <w:tcBorders/>
            <w:vAlign w:val="center"/>
          </w:tcPr>
          <w:p>
            <w:pPr>
              <w:pStyle w:val="TableContents"/>
              <w:bidi w:val="0"/>
              <w:spacing w:before="0" w:after="283"/>
              <w:jc w:val="left"/>
              <w:rPr>
                <w:sz w:val="4"/>
                <w:szCs w:val="4"/>
              </w:rPr>
            </w:pPr>
            <w:r>
              <w:rPr>
                <w:sz w:val="4"/>
                <w:szCs w:val="4"/>
              </w:rPr>
            </w:r>
          </w:p>
        </w:tc>
      </w:tr>
      <w:tr>
        <w:trPr/>
        <w:tc>
          <w:tcPr>
            <w:tcW w:w="1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Exhibit 99.1</w:t>
            </w:r>
          </w:p>
        </w:tc>
        <w:tc>
          <w:tcPr>
            <w:tcW w:w="5971" w:type="dxa"/>
            <w:tcBorders/>
            <w:tcMar>
              <w:top w:w="0" w:type="dxa"/>
              <w:left w:w="0" w:type="dxa"/>
              <w:bottom w:w="0" w:type="dxa"/>
              <w:right w:w="0" w:type="dxa"/>
            </w:tcMar>
            <w:vAlign w:val="center"/>
          </w:tcPr>
          <w:p>
            <w:pPr>
              <w:pStyle w:val="TableContents"/>
              <w:bidi w:val="0"/>
              <w:spacing w:before="0" w:after="283"/>
              <w:jc w:val="both"/>
              <w:rPr/>
            </w:pPr>
            <w:hyperlink w:anchor="reg-ex99_1.htm">
              <w:r>
                <w:rPr>
                  <w:rStyle w:val="InternetLink"/>
                  <w:rFonts w:ascii="Times New Roman" w:hAnsi="Times New Roman"/>
                  <w:color w:val="0000FF"/>
                  <w:sz w:val="20"/>
                  <w:u w:val="single"/>
                </w:rPr>
                <w:t>Press release issued by Regency Centers Corporation on August 6, 2026</w:t>
              </w:r>
            </w:hyperlink>
          </w:p>
        </w:tc>
      </w:tr>
    </w:tbl>
    <w:p>
      <w:pPr>
        <w:pStyle w:val="TextBody"/>
        <w:bidi w:val="0"/>
        <w:jc w:val="left"/>
        <w:rPr/>
      </w:pPr>
      <w:r>
        <w:rPr/>
        <w:t> </w:t>
      </w:r>
    </w:p>
    <w:tbl>
      <w:tblPr>
        <w:tblW w:w="9572" w:type="dxa"/>
        <w:jc w:val="left"/>
        <w:tblInd w:w="0" w:type="dxa"/>
        <w:tblLayout w:type="fixed"/>
        <w:tblCellMar>
          <w:top w:w="28" w:type="dxa"/>
          <w:left w:w="28" w:type="dxa"/>
          <w:bottom w:w="28" w:type="dxa"/>
          <w:right w:w="28" w:type="dxa"/>
        </w:tblCellMar>
      </w:tblPr>
      <w:tblGrid>
        <w:gridCol w:w="436"/>
        <w:gridCol w:w="9136"/>
      </w:tblGrid>
      <w:tr>
        <w:trPr/>
        <w:tc>
          <w:tcPr>
            <w:tcW w:w="436" w:type="dxa"/>
            <w:tcBorders/>
            <w:vAlign w:val="center"/>
          </w:tcPr>
          <w:p>
            <w:pPr>
              <w:pStyle w:val="TableContents"/>
              <w:bidi w:val="0"/>
              <w:spacing w:before="0" w:after="283"/>
              <w:jc w:val="left"/>
              <w:rPr>
                <w:sz w:val="4"/>
                <w:szCs w:val="4"/>
              </w:rPr>
            </w:pPr>
            <w:r>
              <w:rPr>
                <w:sz w:val="4"/>
                <w:szCs w:val="4"/>
              </w:rPr>
            </w:r>
          </w:p>
        </w:tc>
        <w:tc>
          <w:tcPr>
            <w:tcW w:w="9136" w:type="dxa"/>
            <w:tcBorders/>
            <w:vAlign w:val="center"/>
          </w:tcPr>
          <w:p>
            <w:pPr>
              <w:pStyle w:val="TableContents"/>
              <w:bidi w:val="0"/>
              <w:spacing w:before="0" w:after="283"/>
              <w:jc w:val="left"/>
              <w:rPr>
                <w:sz w:val="4"/>
                <w:szCs w:val="4"/>
              </w:rPr>
            </w:pPr>
            <w:r>
              <w:rPr>
                <w:sz w:val="4"/>
                <w:szCs w:val="4"/>
              </w:rPr>
            </w:r>
          </w:p>
        </w:tc>
      </w:tr>
      <w:tr>
        <w:trPr/>
        <w:tc>
          <w:tcPr>
            <w:tcW w:w="4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913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Cover Page Interactive Data File (the cover page XBRL tags are embedded within the inline XBRL documents)</w:t>
            </w:r>
          </w:p>
        </w:tc>
      </w:tr>
    </w:tbl>
    <w:p>
      <w:pPr>
        <w:pStyle w:val="TextBody"/>
        <w:bidi w:val="0"/>
        <w:jc w:val="both"/>
        <w:rPr/>
      </w:pPr>
      <w:r>
        <w:rPr/>
        <w:t> </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p>
      <w:pPr>
        <w:pStyle w:val="TextBody"/>
        <w:bidi w:val="0"/>
        <w:jc w:val="left"/>
        <w:rPr/>
      </w:pPr>
      <w:r>
        <w:rPr/>
        <w:t> </w:t>
      </w:r>
    </w:p>
    <w:tbl>
      <w:tblPr>
        <w:tblW w:w="6045" w:type="dxa"/>
        <w:jc w:val="left"/>
        <w:tblInd w:w="0" w:type="dxa"/>
        <w:tblLayout w:type="fixed"/>
        <w:tblCellMar>
          <w:top w:w="28" w:type="dxa"/>
          <w:left w:w="28" w:type="dxa"/>
          <w:bottom w:w="28" w:type="dxa"/>
          <w:right w:w="28" w:type="dxa"/>
        </w:tblCellMar>
      </w:tblPr>
      <w:tblGrid>
        <w:gridCol w:w="1366"/>
        <w:gridCol w:w="455"/>
        <w:gridCol w:w="197"/>
        <w:gridCol w:w="4027"/>
      </w:tblGrid>
      <w:tr>
        <w:trPr/>
        <w:tc>
          <w:tcPr>
            <w:tcW w:w="1366"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4027" w:type="dxa"/>
            <w:tcBorders/>
            <w:vAlign w:val="center"/>
          </w:tcPr>
          <w:p>
            <w:pPr>
              <w:pStyle w:val="TableContents"/>
              <w:bidi w:val="0"/>
              <w:spacing w:before="0" w:after="283"/>
              <w:jc w:val="left"/>
              <w:rPr>
                <w:sz w:val="4"/>
                <w:szCs w:val="4"/>
              </w:rPr>
            </w:pPr>
            <w:r>
              <w:rPr>
                <w:sz w:val="4"/>
                <w:szCs w:val="4"/>
              </w:rPr>
            </w:r>
          </w:p>
        </w:tc>
      </w:tr>
      <w:tr>
        <w:trPr/>
        <w:tc>
          <w:tcPr>
            <w:tcW w:w="1366" w:type="dxa"/>
            <w:tcBorders/>
            <w:tcMar>
              <w:top w:w="0" w:type="dxa"/>
              <w:left w:w="0" w:type="dxa"/>
              <w:bottom w:w="0" w:type="dxa"/>
              <w:right w:w="0" w:type="dxa"/>
            </w:tcMar>
            <w:vAlign w:val="center"/>
          </w:tcPr>
          <w:p>
            <w:pPr>
              <w:pStyle w:val="TableContents"/>
              <w:bidi w:val="0"/>
              <w:spacing w:before="0" w:after="283"/>
              <w:jc w:val="left"/>
              <w:rPr/>
            </w:pPr>
            <w:r>
              <w:rPr/>
              <w:t> </w:t>
            </w:r>
          </w:p>
        </w:tc>
        <w:tc>
          <w:tcPr>
            <w:tcW w:w="4679"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REGENCY CENTERS CORPORATION</w:t>
            </w:r>
          </w:p>
        </w:tc>
      </w:tr>
      <w:tr>
        <w:trPr/>
        <w:tc>
          <w:tcPr>
            <w:tcW w:w="1366" w:type="dxa"/>
            <w:tcBorders/>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tcMar>
              <w:top w:w="0" w:type="dxa"/>
              <w:left w:w="0" w:type="dxa"/>
              <w:bottom w:w="0" w:type="dxa"/>
              <w:right w:w="0" w:type="dxa"/>
            </w:tcMar>
            <w:vAlign w:val="center"/>
          </w:tcPr>
          <w:p>
            <w:pPr>
              <w:pStyle w:val="TableContents"/>
              <w:bidi w:val="0"/>
              <w:spacing w:before="0" w:after="283"/>
              <w:jc w:val="left"/>
              <w:rPr/>
            </w:pPr>
            <w:r>
              <w:rPr/>
              <w:t> </w:t>
            </w:r>
          </w:p>
        </w:tc>
        <w:tc>
          <w:tcPr>
            <w:tcW w:w="402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3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August 6, 2026</w:t>
            </w:r>
          </w:p>
        </w:tc>
        <w:tc>
          <w:tcPr>
            <w:tcW w:w="45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97" w:type="dxa"/>
            <w:tcBorders/>
            <w:tcMar>
              <w:top w:w="0" w:type="dxa"/>
              <w:left w:w="0" w:type="dxa"/>
              <w:bottom w:w="0" w:type="dxa"/>
              <w:right w:w="0" w:type="dxa"/>
            </w:tcMar>
            <w:vAlign w:val="center"/>
          </w:tcPr>
          <w:p>
            <w:pPr>
              <w:pStyle w:val="TableContents"/>
              <w:bidi w:val="0"/>
              <w:spacing w:before="0" w:after="283"/>
              <w:jc w:val="left"/>
              <w:rPr/>
            </w:pPr>
            <w:r>
              <w:rPr/>
              <w:t> </w:t>
            </w:r>
          </w:p>
        </w:tc>
        <w:tc>
          <w:tcPr>
            <w:tcW w:w="4027"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/s/ Michael R. Herman</w:t>
            </w:r>
          </w:p>
        </w:tc>
      </w:tr>
      <w:tr>
        <w:trPr/>
        <w:tc>
          <w:tcPr>
            <w:tcW w:w="1366" w:type="dxa"/>
            <w:tcBorders/>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4027" w:type="dxa"/>
            <w:tcBorders/>
            <w:tcMar>
              <w:top w:w="0" w:type="dxa"/>
              <w:left w:w="0" w:type="dxa"/>
              <w:bottom w:w="0" w:type="dxa"/>
              <w:right w:w="0" w:type="dxa"/>
            </w:tcMar>
            <w:vAlign w:val="center"/>
          </w:tcPr>
          <w:p>
            <w:pPr>
              <w:pStyle w:val="TableContents"/>
              <w:bidi w:val="0"/>
              <w:ind w:left="0" w:right="0" w:firstLine="30"/>
              <w:jc w:val="left"/>
              <w:rPr>
                <w:rFonts w:ascii="Times New Roman" w:hAnsi="Times New Roman"/>
                <w:color w:val="000000"/>
                <w:sz w:val="20"/>
              </w:rPr>
            </w:pPr>
            <w:r>
              <w:rPr>
                <w:rFonts w:ascii="Times New Roman" w:hAnsi="Times New Roman"/>
                <w:color w:val="000000"/>
                <w:sz w:val="20"/>
              </w:rPr>
              <w:t>Michael R. Herman, Senior Vice President</w:t>
            </w:r>
          </w:p>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General Counsel and Corporate Secretary</w:t>
            </w:r>
          </w:p>
        </w:tc>
      </w:tr>
      <w:tr>
        <w:trPr/>
        <w:tc>
          <w:tcPr>
            <w:tcW w:w="1366" w:type="dxa"/>
            <w:tcBorders/>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4027"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r>
      <w:tr>
        <w:trPr/>
        <w:tc>
          <w:tcPr>
            <w:tcW w:w="1366" w:type="dxa"/>
            <w:tcBorders/>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4027"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r>
      <w:tr>
        <w:trPr/>
        <w:tc>
          <w:tcPr>
            <w:tcW w:w="1366" w:type="dxa"/>
            <w:tcBorders/>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4027"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r>
      <w:tr>
        <w:trPr/>
        <w:tc>
          <w:tcPr>
            <w:tcW w:w="1366" w:type="dxa"/>
            <w:tcBorders/>
            <w:tcMar>
              <w:top w:w="0" w:type="dxa"/>
              <w:left w:w="0" w:type="dxa"/>
              <w:bottom w:w="0" w:type="dxa"/>
              <w:right w:w="0" w:type="dxa"/>
            </w:tcMar>
            <w:vAlign w:val="center"/>
          </w:tcPr>
          <w:p>
            <w:pPr>
              <w:pStyle w:val="TableContents"/>
              <w:bidi w:val="0"/>
              <w:spacing w:before="0" w:after="283"/>
              <w:jc w:val="left"/>
              <w:rPr/>
            </w:pPr>
            <w:r>
              <w:rPr/>
              <w:t> </w:t>
            </w:r>
          </w:p>
        </w:tc>
        <w:tc>
          <w:tcPr>
            <w:tcW w:w="4679"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REGENCY CENTERS, L.P.</w:t>
            </w:r>
          </w:p>
        </w:tc>
      </w:tr>
      <w:tr>
        <w:trPr/>
        <w:tc>
          <w:tcPr>
            <w:tcW w:w="1366" w:type="dxa"/>
            <w:tcBorders/>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tcMar>
              <w:top w:w="0" w:type="dxa"/>
              <w:left w:w="0" w:type="dxa"/>
              <w:bottom w:w="0" w:type="dxa"/>
              <w:right w:w="0" w:type="dxa"/>
            </w:tcMar>
            <w:vAlign w:val="center"/>
          </w:tcPr>
          <w:p>
            <w:pPr>
              <w:pStyle w:val="TableContents"/>
              <w:bidi w:val="0"/>
              <w:spacing w:before="0" w:after="283"/>
              <w:jc w:val="left"/>
              <w:rPr/>
            </w:pPr>
            <w:r>
              <w:rPr/>
              <w:t> </w:t>
            </w:r>
          </w:p>
        </w:tc>
        <w:tc>
          <w:tcPr>
            <w:tcW w:w="402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366" w:type="dxa"/>
            <w:tcBorders/>
            <w:tcMar>
              <w:top w:w="0" w:type="dxa"/>
              <w:left w:w="0" w:type="dxa"/>
              <w:bottom w:w="0" w:type="dxa"/>
              <w:right w:w="0" w:type="dxa"/>
            </w:tcMar>
            <w:vAlign w:val="center"/>
          </w:tcPr>
          <w:p>
            <w:pPr>
              <w:pStyle w:val="TableContents"/>
              <w:bidi w:val="0"/>
              <w:spacing w:before="0" w:after="283"/>
              <w:jc w:val="left"/>
              <w:rPr/>
            </w:pPr>
            <w:r>
              <w:rPr/>
              <w:t> </w:t>
            </w:r>
          </w:p>
        </w:tc>
        <w:tc>
          <w:tcPr>
            <w:tcW w:w="4679"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By: Regency Centers Corporation, its general partner</w:t>
            </w:r>
          </w:p>
        </w:tc>
      </w:tr>
      <w:tr>
        <w:trPr/>
        <w:tc>
          <w:tcPr>
            <w:tcW w:w="1366" w:type="dxa"/>
            <w:tcBorders/>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tcMar>
              <w:top w:w="0" w:type="dxa"/>
              <w:left w:w="0" w:type="dxa"/>
              <w:bottom w:w="0" w:type="dxa"/>
              <w:right w:w="0" w:type="dxa"/>
            </w:tcMar>
            <w:vAlign w:val="center"/>
          </w:tcPr>
          <w:p>
            <w:pPr>
              <w:pStyle w:val="TableContents"/>
              <w:bidi w:val="0"/>
              <w:spacing w:before="0" w:after="283"/>
              <w:jc w:val="left"/>
              <w:rPr/>
            </w:pPr>
            <w:r>
              <w:rPr/>
              <w:t> </w:t>
            </w:r>
          </w:p>
        </w:tc>
        <w:tc>
          <w:tcPr>
            <w:tcW w:w="402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3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August 6, 2026</w:t>
            </w:r>
          </w:p>
        </w:tc>
        <w:tc>
          <w:tcPr>
            <w:tcW w:w="45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97" w:type="dxa"/>
            <w:tcBorders/>
            <w:tcMar>
              <w:top w:w="0" w:type="dxa"/>
              <w:left w:w="0" w:type="dxa"/>
              <w:bottom w:w="0" w:type="dxa"/>
              <w:right w:w="0" w:type="dxa"/>
            </w:tcMar>
            <w:vAlign w:val="center"/>
          </w:tcPr>
          <w:p>
            <w:pPr>
              <w:pStyle w:val="TableContents"/>
              <w:bidi w:val="0"/>
              <w:spacing w:before="0" w:after="283"/>
              <w:jc w:val="left"/>
              <w:rPr/>
            </w:pPr>
            <w:r>
              <w:rPr/>
              <w:t> </w:t>
            </w:r>
          </w:p>
        </w:tc>
        <w:tc>
          <w:tcPr>
            <w:tcW w:w="4027"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/s/ Michael R. Herman</w:t>
            </w:r>
          </w:p>
        </w:tc>
      </w:tr>
      <w:tr>
        <w:trPr/>
        <w:tc>
          <w:tcPr>
            <w:tcW w:w="1366" w:type="dxa"/>
            <w:tcBorders/>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4027" w:type="dxa"/>
            <w:tcBorders/>
            <w:tcMar>
              <w:top w:w="0" w:type="dxa"/>
              <w:left w:w="0" w:type="dxa"/>
              <w:bottom w:w="0" w:type="dxa"/>
              <w:right w:w="0" w:type="dxa"/>
            </w:tcMar>
            <w:vAlign w:val="center"/>
          </w:tcPr>
          <w:p>
            <w:pPr>
              <w:pStyle w:val="TableContents"/>
              <w:bidi w:val="0"/>
              <w:ind w:left="0" w:right="0" w:firstLine="30"/>
              <w:jc w:val="left"/>
              <w:rPr>
                <w:rFonts w:ascii="Times New Roman" w:hAnsi="Times New Roman"/>
                <w:color w:val="000000"/>
                <w:sz w:val="20"/>
              </w:rPr>
            </w:pPr>
            <w:r>
              <w:rPr>
                <w:rFonts w:ascii="Times New Roman" w:hAnsi="Times New Roman"/>
                <w:color w:val="000000"/>
                <w:sz w:val="20"/>
              </w:rPr>
              <w:t>Michael R. Herman, Senior Vice President</w:t>
            </w:r>
          </w:p>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General Counsel and Corporate Secretary</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right"/>
        <w:rPr>
          <w:rFonts w:ascii="Tahoma;sans-serif" w:hAnsi="Tahoma;sans-serif"/>
          <w:b/>
          <w:color w:val="3A3430"/>
          <w:sz w:val="22"/>
        </w:rPr>
      </w:pPr>
      <w:bookmarkStart w:id="2" w:name="reg-ex99_1.htm"/>
      <w:bookmarkStart w:id="3" w:name="ksregex99_1"/>
      <w:bookmarkEnd w:id="2"/>
      <w:bookmarkEnd w:id="3"/>
      <w:r>
        <w:rPr>
          <w:rFonts w:ascii="Tahoma;sans-serif" w:hAnsi="Tahoma;sans-serif"/>
          <w:b/>
          <w:color w:val="3A3430"/>
          <w:sz w:val="22"/>
        </w:rPr>
        <w:t>Exhibit 99.1</w:t>
      </w:r>
      <w:r>
        <w:br w:type="page"/>
      </w:r>
    </w:p>
    <w:tbl>
      <w:tblPr>
        <w:tblW w:w="6657" w:type="dxa"/>
        <w:jc w:val="left"/>
        <w:tblInd w:w="0" w:type="dxa"/>
        <w:tblLayout w:type="fixed"/>
        <w:tblCellMar>
          <w:top w:w="28" w:type="dxa"/>
          <w:left w:w="28" w:type="dxa"/>
          <w:bottom w:w="28" w:type="dxa"/>
          <w:right w:w="28" w:type="dxa"/>
        </w:tblCellMar>
      </w:tblPr>
      <w:tblGrid>
        <w:gridCol w:w="2981"/>
        <w:gridCol w:w="3676"/>
      </w:tblGrid>
      <w:tr>
        <w:trPr/>
        <w:tc>
          <w:tcPr>
            <w:tcW w:w="2981" w:type="dxa"/>
            <w:tcBorders/>
            <w:vAlign w:val="center"/>
          </w:tcPr>
          <w:p>
            <w:pPr>
              <w:pStyle w:val="TableContents"/>
              <w:bidi w:val="0"/>
              <w:spacing w:before="0" w:after="283"/>
              <w:jc w:val="left"/>
              <w:rPr>
                <w:sz w:val="4"/>
                <w:szCs w:val="4"/>
              </w:rPr>
            </w:pPr>
            <w:r>
              <w:rPr>
                <w:sz w:val="4"/>
                <w:szCs w:val="4"/>
              </w:rPr>
            </w:r>
          </w:p>
        </w:tc>
        <w:tc>
          <w:tcPr>
            <w:tcW w:w="3676" w:type="dxa"/>
            <w:tcBorders/>
            <w:vAlign w:val="center"/>
          </w:tcPr>
          <w:p>
            <w:pPr>
              <w:pStyle w:val="TableContents"/>
              <w:bidi w:val="0"/>
              <w:spacing w:before="0" w:after="283"/>
              <w:jc w:val="left"/>
              <w:rPr>
                <w:sz w:val="4"/>
                <w:szCs w:val="4"/>
              </w:rPr>
            </w:pPr>
            <w:r>
              <w:rPr>
                <w:sz w:val="4"/>
                <w:szCs w:val="4"/>
              </w:rPr>
            </w:r>
          </w:p>
        </w:tc>
      </w:tr>
      <w:tr>
        <w:trPr/>
        <w:tc>
          <w:tcPr>
            <w:tcW w:w="2981" w:type="dxa"/>
            <w:vMerge w:val="restart"/>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1828800" cy="10572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828800" cy="1057275"/>
                          </a:xfrm>
                          <a:prstGeom prst="rect">
                            <a:avLst/>
                          </a:prstGeom>
                        </pic:spPr>
                      </pic:pic>
                    </a:graphicData>
                  </a:graphic>
                </wp:inline>
              </w:drawing>
            </w:r>
          </w:p>
        </w:tc>
        <w:tc>
          <w:tcPr>
            <w:tcW w:w="3676" w:type="dxa"/>
            <w:tcBorders/>
            <w:tcMar>
              <w:top w:w="0" w:type="dxa"/>
              <w:left w:w="0" w:type="dxa"/>
              <w:bottom w:w="0" w:type="dxa"/>
              <w:right w:w="0" w:type="dxa"/>
            </w:tcMar>
            <w:vAlign w:val="center"/>
          </w:tcPr>
          <w:p>
            <w:pPr>
              <w:pStyle w:val="TableContents"/>
              <w:bidi w:val="0"/>
              <w:spacing w:before="0" w:after="283"/>
              <w:jc w:val="right"/>
              <w:rPr>
                <w:rFonts w:ascii="Tahoma;sans-serif" w:hAnsi="Tahoma;sans-serif"/>
                <w:b/>
                <w:color w:val="3A3430"/>
                <w:sz w:val="32"/>
              </w:rPr>
            </w:pPr>
            <w:r>
              <w:rPr>
                <w:rFonts w:ascii="Tahoma;sans-serif" w:hAnsi="Tahoma;sans-serif"/>
                <w:b/>
                <w:color w:val="3A3430"/>
                <w:sz w:val="32"/>
              </w:rPr>
              <w:t>News Release</w:t>
            </w:r>
          </w:p>
        </w:tc>
      </w:tr>
      <w:tr>
        <w:trPr/>
        <w:tc>
          <w:tcPr>
            <w:tcW w:w="2981" w:type="dxa"/>
            <w:vMerge w:val="continue"/>
            <w:tcBorders/>
            <w:tcMar>
              <w:top w:w="0" w:type="dxa"/>
              <w:left w:w="0" w:type="dxa"/>
              <w:bottom w:w="0" w:type="dxa"/>
              <w:right w:w="0" w:type="dxa"/>
            </w:tcMar>
            <w:vAlign w:val="center"/>
          </w:tcPr>
          <w:p>
            <w:pPr>
              <w:pStyle w:val="Normal"/>
              <w:bidi w:val="0"/>
              <w:jc w:val="left"/>
              <w:rPr/>
            </w:pPr>
            <w:r>
              <w:rPr/>
            </w:r>
          </w:p>
        </w:tc>
        <w:tc>
          <w:tcPr>
            <w:tcW w:w="3676" w:type="dxa"/>
            <w:tcBorders/>
            <w:tcMar>
              <w:top w:w="0" w:type="dxa"/>
              <w:left w:w="0" w:type="dxa"/>
              <w:bottom w:w="0" w:type="dxa"/>
              <w:right w:w="0" w:type="dxa"/>
            </w:tcMar>
            <w:vAlign w:val="center"/>
          </w:tcPr>
          <w:p>
            <w:pPr>
              <w:pStyle w:val="TableContents"/>
              <w:bidi w:val="0"/>
              <w:spacing w:before="0" w:after="283"/>
              <w:jc w:val="right"/>
              <w:rPr>
                <w:rFonts w:ascii="Tahoma;sans-serif" w:hAnsi="Tahoma;sans-serif"/>
                <w:b/>
                <w:color w:val="000000"/>
                <w:sz w:val="22"/>
              </w:rPr>
            </w:pPr>
            <w:r>
              <w:rPr>
                <w:rFonts w:ascii="Tahoma;sans-serif" w:hAnsi="Tahoma;sans-serif"/>
                <w:b/>
                <w:color w:val="000000"/>
                <w:sz w:val="22"/>
              </w:rPr>
              <w:t>For immediate release</w:t>
            </w:r>
          </w:p>
        </w:tc>
      </w:tr>
      <w:tr>
        <w:trPr/>
        <w:tc>
          <w:tcPr>
            <w:tcW w:w="2981" w:type="dxa"/>
            <w:vMerge w:val="continue"/>
            <w:tcBorders/>
            <w:tcMar>
              <w:top w:w="0" w:type="dxa"/>
              <w:left w:w="0" w:type="dxa"/>
              <w:bottom w:w="0" w:type="dxa"/>
              <w:right w:w="0" w:type="dxa"/>
            </w:tcMar>
            <w:vAlign w:val="center"/>
          </w:tcPr>
          <w:p>
            <w:pPr>
              <w:pStyle w:val="Normal"/>
              <w:bidi w:val="0"/>
              <w:jc w:val="left"/>
              <w:rPr/>
            </w:pPr>
            <w:r>
              <w:rPr/>
            </w:r>
          </w:p>
        </w:tc>
        <w:tc>
          <w:tcPr>
            <w:tcW w:w="367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981" w:type="dxa"/>
            <w:vMerge w:val="continue"/>
            <w:tcBorders/>
            <w:tcMar>
              <w:top w:w="0" w:type="dxa"/>
              <w:left w:w="0" w:type="dxa"/>
              <w:bottom w:w="0" w:type="dxa"/>
              <w:right w:w="0" w:type="dxa"/>
            </w:tcMar>
            <w:vAlign w:val="center"/>
          </w:tcPr>
          <w:p>
            <w:pPr>
              <w:pStyle w:val="Normal"/>
              <w:bidi w:val="0"/>
              <w:jc w:val="left"/>
              <w:rPr/>
            </w:pPr>
            <w:r>
              <w:rPr/>
            </w:r>
          </w:p>
        </w:tc>
        <w:tc>
          <w:tcPr>
            <w:tcW w:w="3676" w:type="dxa"/>
            <w:tcBorders/>
            <w:tcMar>
              <w:top w:w="0" w:type="dxa"/>
              <w:left w:w="0" w:type="dxa"/>
              <w:bottom w:w="0" w:type="dxa"/>
              <w:right w:w="0" w:type="dxa"/>
            </w:tcMar>
            <w:vAlign w:val="center"/>
          </w:tcPr>
          <w:p>
            <w:pPr>
              <w:pStyle w:val="TableContents"/>
              <w:bidi w:val="0"/>
              <w:spacing w:before="0" w:after="283"/>
              <w:jc w:val="right"/>
              <w:rPr>
                <w:rFonts w:ascii="Tahoma;sans-serif" w:hAnsi="Tahoma;sans-serif"/>
                <w:color w:val="3A3430"/>
                <w:sz w:val="22"/>
              </w:rPr>
            </w:pPr>
            <w:r>
              <w:rPr>
                <w:rFonts w:ascii="Tahoma;sans-serif" w:hAnsi="Tahoma;sans-serif"/>
                <w:color w:val="3A3430"/>
                <w:sz w:val="22"/>
              </w:rPr>
              <w:t>Kathryn McKie</w:t>
            </w:r>
          </w:p>
        </w:tc>
      </w:tr>
      <w:tr>
        <w:trPr/>
        <w:tc>
          <w:tcPr>
            <w:tcW w:w="2981" w:type="dxa"/>
            <w:vMerge w:val="continue"/>
            <w:tcBorders/>
            <w:tcMar>
              <w:top w:w="0" w:type="dxa"/>
              <w:left w:w="0" w:type="dxa"/>
              <w:bottom w:w="0" w:type="dxa"/>
              <w:right w:w="0" w:type="dxa"/>
            </w:tcMar>
            <w:vAlign w:val="center"/>
          </w:tcPr>
          <w:p>
            <w:pPr>
              <w:pStyle w:val="Normal"/>
              <w:bidi w:val="0"/>
              <w:jc w:val="left"/>
              <w:rPr/>
            </w:pPr>
            <w:r>
              <w:rPr/>
            </w:r>
          </w:p>
        </w:tc>
        <w:tc>
          <w:tcPr>
            <w:tcW w:w="3676" w:type="dxa"/>
            <w:tcBorders/>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22"/>
              </w:rPr>
            </w:pPr>
            <w:r>
              <w:rPr>
                <w:rFonts w:ascii="Tahoma;sans-serif" w:hAnsi="Tahoma;sans-serif"/>
                <w:color w:val="000000"/>
                <w:sz w:val="22"/>
              </w:rPr>
              <w:t>904 598 7348</w:t>
            </w:r>
          </w:p>
        </w:tc>
      </w:tr>
      <w:tr>
        <w:trPr/>
        <w:tc>
          <w:tcPr>
            <w:tcW w:w="2981" w:type="dxa"/>
            <w:vMerge w:val="continue"/>
            <w:tcBorders/>
            <w:tcMar>
              <w:top w:w="0" w:type="dxa"/>
              <w:left w:w="0" w:type="dxa"/>
              <w:bottom w:w="0" w:type="dxa"/>
              <w:right w:w="0" w:type="dxa"/>
            </w:tcMar>
            <w:vAlign w:val="center"/>
          </w:tcPr>
          <w:p>
            <w:pPr>
              <w:pStyle w:val="Normal"/>
              <w:bidi w:val="0"/>
              <w:jc w:val="left"/>
              <w:rPr/>
            </w:pPr>
            <w:r>
              <w:rPr/>
            </w:r>
          </w:p>
        </w:tc>
        <w:tc>
          <w:tcPr>
            <w:tcW w:w="3676" w:type="dxa"/>
            <w:tcBorders/>
            <w:tcMar>
              <w:top w:w="0" w:type="dxa"/>
              <w:left w:w="0" w:type="dxa"/>
              <w:bottom w:w="0" w:type="dxa"/>
              <w:right w:w="0" w:type="dxa"/>
            </w:tcMar>
            <w:vAlign w:val="center"/>
          </w:tcPr>
          <w:p>
            <w:pPr>
              <w:pStyle w:val="TableContents"/>
              <w:bidi w:val="0"/>
              <w:spacing w:before="0" w:after="283"/>
              <w:jc w:val="right"/>
              <w:rPr>
                <w:rFonts w:ascii="Tahoma;sans-serif" w:hAnsi="Tahoma;sans-serif"/>
                <w:color w:val="3A3430"/>
                <w:sz w:val="22"/>
              </w:rPr>
            </w:pPr>
            <w:r>
              <w:rPr>
                <w:rFonts w:ascii="Tahoma;sans-serif" w:hAnsi="Tahoma;sans-serif"/>
                <w:color w:val="3A3430"/>
                <w:sz w:val="22"/>
              </w:rPr>
              <w:t>KathrynMcKie@regencycenters.com</w:t>
            </w:r>
          </w:p>
        </w:tc>
      </w:tr>
      <w:tr>
        <w:trPr/>
        <w:tc>
          <w:tcPr>
            <w:tcW w:w="2981" w:type="dxa"/>
            <w:tcBorders/>
            <w:tcMar>
              <w:top w:w="0" w:type="dxa"/>
              <w:left w:w="0" w:type="dxa"/>
              <w:bottom w:w="0" w:type="dxa"/>
              <w:right w:w="0" w:type="dxa"/>
            </w:tcMar>
            <w:vAlign w:val="center"/>
          </w:tcPr>
          <w:p>
            <w:pPr>
              <w:pStyle w:val="TableContents"/>
              <w:bidi w:val="0"/>
              <w:spacing w:before="0" w:after="283"/>
              <w:jc w:val="left"/>
              <w:rPr/>
            </w:pPr>
            <w:r>
              <w:rPr/>
              <w:t> </w:t>
            </w:r>
          </w:p>
        </w:tc>
        <w:tc>
          <w:tcPr>
            <w:tcW w:w="3676"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center"/>
        <w:rPr/>
      </w:pPr>
      <w:r>
        <w:rPr/>
        <w:t> </w:t>
      </w:r>
    </w:p>
    <w:p>
      <w:pPr>
        <w:pStyle w:val="TextBody"/>
        <w:bidi w:val="0"/>
        <w:jc w:val="center"/>
        <w:rPr/>
      </w:pPr>
      <w:r>
        <w:rPr/>
        <w:t> </w:t>
      </w:r>
    </w:p>
    <w:p>
      <w:pPr>
        <w:pStyle w:val="TextBody"/>
        <w:bidi w:val="0"/>
        <w:jc w:val="center"/>
        <w:rPr>
          <w:rFonts w:ascii="Tahoma;sans-serif" w:hAnsi="Tahoma;sans-serif"/>
          <w:b/>
          <w:color w:val="000000"/>
          <w:sz w:val="24"/>
        </w:rPr>
      </w:pPr>
      <w:r>
        <w:rPr>
          <w:rFonts w:ascii="Tahoma;sans-serif" w:hAnsi="Tahoma;sans-serif"/>
          <w:b/>
          <w:color w:val="000000"/>
          <w:sz w:val="24"/>
        </w:rPr>
        <w:t>Regency Centers Declares Quarterly Dividends</w:t>
      </w:r>
    </w:p>
    <w:p>
      <w:pPr>
        <w:pStyle w:val="TextBody"/>
        <w:bidi w:val="0"/>
        <w:jc w:val="center"/>
        <w:rPr/>
      </w:pPr>
      <w:r>
        <w:rPr/>
        <w:t> </w:t>
      </w:r>
    </w:p>
    <w:p>
      <w:pPr>
        <w:pStyle w:val="TextBody"/>
        <w:bidi w:val="0"/>
        <w:jc w:val="center"/>
        <w:rPr/>
      </w:pPr>
      <w:r>
        <w:rPr/>
        <w:t> </w:t>
      </w:r>
    </w:p>
    <w:p>
      <w:pPr>
        <w:pStyle w:val="TextBody"/>
        <w:bidi w:val="0"/>
        <w:jc w:val="both"/>
        <w:rPr>
          <w:rFonts w:ascii="Times New Roman" w:hAnsi="Times New Roman"/>
          <w:sz w:val="20"/>
        </w:rPr>
      </w:pPr>
      <w:r>
        <w:rPr>
          <w:rFonts w:ascii="Tahoma;sans-serif" w:hAnsi="Tahoma;sans-serif"/>
          <w:b/>
          <w:color w:val="000000"/>
          <w:sz w:val="24"/>
        </w:rPr>
        <w:t>JACKSONVILLE, Fla.</w:t>
      </w:r>
      <w:r>
        <w:rPr>
          <w:rFonts w:ascii="Times New Roman" w:hAnsi="Times New Roman"/>
          <w:color w:val="000000"/>
          <w:sz w:val="20"/>
        </w:rPr>
        <w:t xml:space="preserve"> </w:t>
      </w:r>
      <w:r>
        <w:rPr>
          <w:rFonts w:ascii="Tahoma;sans-serif" w:hAnsi="Tahoma;sans-serif"/>
          <w:color w:val="000000"/>
          <w:sz w:val="24"/>
        </w:rPr>
        <w:t>(August 6, 2026) – Regency Centers Corporation (“Regency Centers,” “Regency” or the “Company”) (NASDAQ: REG) announced today that the Company’s Board of Directors (the “Board”) declared quarterly cash dividends on Regency’s common stock, Series A preferred stock, and Series B preferred stock, respectively.</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ahoma;sans-serif" w:hAnsi="Tahoma;sans-serif"/>
          <w:color w:val="000000"/>
          <w:sz w:val="24"/>
        </w:rPr>
      </w:pPr>
      <w:r>
        <w:rPr>
          <w:rFonts w:ascii="Tahoma;sans-serif" w:hAnsi="Tahoma;sans-serif"/>
          <w:color w:val="000000"/>
          <w:sz w:val="24"/>
        </w:rPr>
        <w:t xml:space="preserve">On August 5, 2026, the Board declared a quarterly cash dividend on the Company’s common stock of $0.755 per share. The dividend is payable on October 2, 2026, to shareholders of record as of September 11, 2026. </w:t>
      </w:r>
    </w:p>
    <w:p>
      <w:pPr>
        <w:pStyle w:val="TextBody"/>
        <w:bidi w:val="0"/>
        <w:spacing w:before="120" w:after="283"/>
        <w:jc w:val="left"/>
        <w:rPr>
          <w:color w:val="000000"/>
        </w:rPr>
      </w:pPr>
      <w:r>
        <w:rPr>
          <w:color w:val="000000"/>
        </w:rPr>
        <w:t>•</w:t>
      </w:r>
    </w:p>
    <w:p>
      <w:pPr>
        <w:pStyle w:val="TextBody"/>
        <w:bidi w:val="0"/>
        <w:spacing w:before="120" w:after="283"/>
        <w:jc w:val="left"/>
        <w:rPr>
          <w:rFonts w:ascii="Tahoma;sans-serif" w:hAnsi="Tahoma;sans-serif"/>
          <w:color w:val="000000"/>
          <w:sz w:val="24"/>
        </w:rPr>
      </w:pPr>
      <w:r>
        <w:rPr>
          <w:rFonts w:ascii="Tahoma;sans-serif" w:hAnsi="Tahoma;sans-serif"/>
          <w:color w:val="000000"/>
          <w:sz w:val="24"/>
        </w:rPr>
        <w:t xml:space="preserve">On August 5, 2026, the Board declared a quarterly cash dividend on the Company’s Series A preferred stock of $0.390625 per share. The dividend is payable on October 30, 2026, to shareholders of record as of October 15, 2026. </w:t>
      </w:r>
    </w:p>
    <w:p>
      <w:pPr>
        <w:pStyle w:val="TextBody"/>
        <w:bidi w:val="0"/>
        <w:spacing w:before="120" w:after="283"/>
        <w:jc w:val="left"/>
        <w:rPr>
          <w:color w:val="000000"/>
        </w:rPr>
      </w:pPr>
      <w:r>
        <w:rPr>
          <w:color w:val="000000"/>
        </w:rPr>
        <w:t>•</w:t>
      </w:r>
    </w:p>
    <w:p>
      <w:pPr>
        <w:pStyle w:val="TextBody"/>
        <w:bidi w:val="0"/>
        <w:spacing w:before="120" w:after="283"/>
        <w:jc w:val="left"/>
        <w:rPr>
          <w:rFonts w:ascii="Tahoma;sans-serif" w:hAnsi="Tahoma;sans-serif"/>
          <w:color w:val="000000"/>
          <w:sz w:val="24"/>
        </w:rPr>
      </w:pPr>
      <w:r>
        <w:rPr>
          <w:rFonts w:ascii="Tahoma;sans-serif" w:hAnsi="Tahoma;sans-serif"/>
          <w:color w:val="000000"/>
          <w:sz w:val="24"/>
        </w:rPr>
        <w:t xml:space="preserve">On August 5, 2026, the Board declared a quarterly cash dividend on the Company’s Series B preferred stock of $0.367200 per share. The dividend is payable on October 30, 2026, to shareholders of record as of October 15, 2026. </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sz w:val="20"/>
        </w:rPr>
      </w:pPr>
      <w:r>
        <w:rPr>
          <w:rFonts w:ascii="Tahoma;sans-serif" w:hAnsi="Tahoma;sans-serif"/>
          <w:b/>
          <w:color w:val="000000"/>
          <w:sz w:val="24"/>
        </w:rPr>
        <w:t>About Regency Centers Corporation (NASDAQ: REG)</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ahoma;sans-serif" w:hAnsi="Tahoma;sans-serif"/>
          <w:color w:val="000000"/>
          <w:sz w:val="24"/>
        </w:rPr>
        <w:t xml:space="preserve">Regency Centers is a preeminent national owner, operator, and developer of shopping centers located in suburban trade areas with compelling demographics. Our portfolio includes thriving properties merchandised with highly productive grocers, restaurants, service providers, and best-in-class retailers that connect to their neighborhoods, communities, and customers. Operating as a fully integrated real estate company, Regency Centers is a qualified real estate investment trust (REIT) that is self-administered, self-managed, and an S&amp;P 500 Index member. For more information, please visit </w:t>
      </w:r>
      <w:r>
        <w:rPr>
          <w:rFonts w:ascii="Tahoma;sans-serif" w:hAnsi="Tahoma;sans-serif"/>
          <w:sz w:val="24"/>
        </w:rPr>
        <w:t>RegencyCenters.com</w:t>
      </w:r>
      <w:r>
        <w:rPr>
          <w:rFonts w:ascii="Times New Roman" w:hAnsi="Times New Roman"/>
          <w:color w:val="000000"/>
          <w:sz w:val="20"/>
        </w:rPr>
        <w:t xml:space="preserve"> </w:t>
      </w:r>
    </w:p>
    <w:p>
      <w:pPr>
        <w:pStyle w:val="TextBody"/>
        <w:bidi w:val="0"/>
        <w:jc w:val="both"/>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ahoma">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956</Words>
  <Characters>5266</Characters>
  <CharactersWithSpaces>6218</CharactersWithSpaces>
  <Paragraphs>204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